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 razones para priorizar la adopción de financiación y crédito empresarial en Colombia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DM Sans" w:cs="DM Sans" w:eastAsia="DM Sans" w:hAnsi="DM Sans"/>
          <w:color w:val="1f1f1f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De acuerdo con datos del 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Ministerio de Comercio, Industria y Turismo, las </w:t>
      </w:r>
      <w:r w:rsidDel="00000000" w:rsidR="00000000" w:rsidRPr="00000000">
        <w:rPr>
          <w:rFonts w:ascii="DM Sans" w:cs="DM Sans" w:eastAsia="DM Sans" w:hAnsi="DM Sans"/>
          <w:b w:val="1"/>
          <w:color w:val="1f1f1f"/>
          <w:rtl w:val="0"/>
        </w:rPr>
        <w:t xml:space="preserve">pequeñas y medianas empresas representan el 95.3% del tejido empresarial en Colombia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, de las cuales </w:t>
      </w:r>
      <w:r w:rsidDel="00000000" w:rsidR="00000000" w:rsidRPr="00000000">
        <w:rPr>
          <w:rFonts w:ascii="DM Sans" w:cs="DM Sans" w:eastAsia="DM Sans" w:hAnsi="DM Sans"/>
          <w:b w:val="1"/>
          <w:color w:val="1f1f1f"/>
          <w:rtl w:val="0"/>
        </w:rPr>
        <w:t xml:space="preserve">solo tres de cada 10 sobreviven tras cinco años de operación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, siendo la </w:t>
      </w:r>
      <w:r w:rsidDel="00000000" w:rsidR="00000000" w:rsidRPr="00000000">
        <w:rPr>
          <w:rFonts w:ascii="DM Sans" w:cs="DM Sans" w:eastAsia="DM Sans" w:hAnsi="DM Sans"/>
          <w:b w:val="1"/>
          <w:color w:val="1f1f1f"/>
          <w:rtl w:val="0"/>
        </w:rPr>
        <w:t xml:space="preserve">financiación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b w:val="1"/>
          <w:color w:val="1f1f1f"/>
          <w:rtl w:val="0"/>
        </w:rPr>
        <w:t xml:space="preserve">y acceso a crédito empresarial,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 uno de los principales factores para que estos negocios puedan perdurar, según Confecámaras. </w:t>
      </w:r>
    </w:p>
    <w:p w:rsidR="00000000" w:rsidDel="00000000" w:rsidP="00000000" w:rsidRDefault="00000000" w:rsidRPr="00000000" w14:paraId="00000006">
      <w:pPr>
        <w:jc w:val="left"/>
        <w:rPr>
          <w:rFonts w:ascii="DM Sans" w:cs="DM Sans" w:eastAsia="DM Sans" w:hAnsi="DM Sans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DM Sans" w:cs="DM Sans" w:eastAsia="DM Sans" w:hAnsi="DM Sans"/>
          <w:color w:val="1f1f1f"/>
        </w:rPr>
      </w:pP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Sin embargo, esta problemática no resulta exclusiva de las pequeñas y medianas empresas, sino del segmento empresarial colombiano en general, pues de acuerdo con el más reciente reporte del </w:t>
      </w:r>
      <w:r w:rsidDel="00000000" w:rsidR="00000000" w:rsidRPr="00000000">
        <w:rPr>
          <w:rFonts w:ascii="DM Sans" w:cs="DM Sans" w:eastAsia="DM Sans" w:hAnsi="DM Sans"/>
          <w:b w:val="1"/>
          <w:color w:val="1f1f1f"/>
          <w:rtl w:val="0"/>
        </w:rPr>
        <w:t xml:space="preserve">Global Entrepreneurship Monitor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, una de las condiciones estructurales con mayor área de oportunidad, es la existencia de diferentes fuentes de financiación y la facilidad para acceder a las mismas. </w:t>
      </w:r>
    </w:p>
    <w:p w:rsidR="00000000" w:rsidDel="00000000" w:rsidP="00000000" w:rsidRDefault="00000000" w:rsidRPr="00000000" w14:paraId="00000008">
      <w:pPr>
        <w:jc w:val="left"/>
        <w:rPr>
          <w:rFonts w:ascii="DM Sans" w:cs="DM Sans" w:eastAsia="DM Sans" w:hAnsi="DM Sans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M Sans" w:cs="DM Sans" w:eastAsia="DM Sans" w:hAnsi="DM Sans"/>
          <w:i w:val="1"/>
          <w:color w:val="1f1f1f"/>
        </w:rPr>
      </w:pPr>
      <w:r w:rsidDel="00000000" w:rsidR="00000000" w:rsidRPr="00000000">
        <w:rPr>
          <w:rFonts w:ascii="DM Sans" w:cs="DM Sans" w:eastAsia="DM Sans" w:hAnsi="DM Sans"/>
          <w:i w:val="1"/>
          <w:color w:val="1f1f1f"/>
          <w:rtl w:val="0"/>
        </w:rPr>
        <w:t xml:space="preserve">“</w:t>
      </w:r>
      <w:r w:rsidDel="00000000" w:rsidR="00000000" w:rsidRPr="00000000">
        <w:rPr>
          <w:rFonts w:ascii="DM Sans" w:cs="DM Sans" w:eastAsia="DM Sans" w:hAnsi="DM Sans"/>
          <w:i w:val="1"/>
          <w:color w:val="1f1f1f"/>
          <w:rtl w:val="0"/>
        </w:rPr>
        <w:t xml:space="preserve">Las</w:t>
      </w:r>
      <w:r w:rsidDel="00000000" w:rsidR="00000000" w:rsidRPr="00000000">
        <w:rPr>
          <w:rFonts w:ascii="DM Sans" w:cs="DM Sans" w:eastAsia="DM Sans" w:hAnsi="DM Sans"/>
          <w:i w:val="1"/>
          <w:color w:val="1f1f1f"/>
          <w:rtl w:val="0"/>
        </w:rPr>
        <w:t xml:space="preserve"> altas tasas de interés, pero sobre todo la desinformación, la falta de educación financiera y transferencia de conocimiento, han sido de las principales razones por las cuales las empresas en el país desconocen o no suelen optar por soluciones de financiación que les permitan escalar las operaciones de sus negocios,”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 señala </w:t>
      </w:r>
      <w:r w:rsidDel="00000000" w:rsidR="00000000" w:rsidRPr="00000000">
        <w:rPr>
          <w:rFonts w:ascii="DM Sans" w:cs="DM Sans" w:eastAsia="DM Sans" w:hAnsi="DM Sans"/>
          <w:b w:val="1"/>
          <w:color w:val="1f1f1f"/>
          <w:rtl w:val="0"/>
        </w:rPr>
        <w:t xml:space="preserve">Leonardo Ramos, Gerente General de Clara Colombia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. </w:t>
      </w:r>
      <w:r w:rsidDel="00000000" w:rsidR="00000000" w:rsidRPr="00000000">
        <w:rPr>
          <w:rFonts w:ascii="DM Sans" w:cs="DM Sans" w:eastAsia="DM Sans" w:hAnsi="DM Sans"/>
          <w:i w:val="1"/>
          <w:color w:val="1f1f1f"/>
          <w:rtl w:val="0"/>
        </w:rPr>
        <w:t xml:space="preserve">“En este desconocimiento, las empresas pierden la posibilidad de aprovechar varios de los beneficios que suelen otorgar los productos de crédito.” </w:t>
      </w: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destacó el directivo. </w:t>
      </w:r>
      <w:r w:rsidDel="00000000" w:rsidR="00000000" w:rsidRPr="00000000">
        <w:rPr>
          <w:rFonts w:ascii="DM Sans" w:cs="DM Sans" w:eastAsia="DM Sans" w:hAnsi="DM Sans"/>
          <w:i w:val="1"/>
          <w:color w:val="1f1f1f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DM Sans" w:cs="DM Sans" w:eastAsia="DM Sans" w:hAnsi="DM Sans"/>
          <w:i w:val="1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DM Sans" w:cs="DM Sans" w:eastAsia="DM Sans" w:hAnsi="DM Sans"/>
          <w:color w:val="1f1f1f"/>
        </w:rPr>
      </w:pPr>
      <w:r w:rsidDel="00000000" w:rsidR="00000000" w:rsidRPr="00000000">
        <w:rPr>
          <w:rFonts w:ascii="DM Sans" w:cs="DM Sans" w:eastAsia="DM Sans" w:hAnsi="DM Sans"/>
          <w:color w:val="1f1f1f"/>
          <w:rtl w:val="0"/>
        </w:rPr>
        <w:t xml:space="preserve">De acuerdo con Ramos, cada vez son más los beneficios que pueden impulsar el crecimiento sostenible de las empresas en Colombia, gracias al acceso a líneas de crédito y productos de financiación que ofrecen sobre todo las empresas de tecnología financiera. </w:t>
      </w:r>
    </w:p>
    <w:p w:rsidR="00000000" w:rsidDel="00000000" w:rsidP="00000000" w:rsidRDefault="00000000" w:rsidRPr="00000000" w14:paraId="0000000C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DM Sans" w:cs="DM Sans" w:eastAsia="DM Sans" w:hAnsi="DM Sans"/>
          <w:b w:val="1"/>
          <w:u w:val="none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Aprovechamiento de Descuentos por Pronto Pago</w:t>
      </w:r>
    </w:p>
    <w:p w:rsidR="00000000" w:rsidDel="00000000" w:rsidP="00000000" w:rsidRDefault="00000000" w:rsidRPr="00000000" w14:paraId="0000000E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Usar productos de crédito en muchas ocasiones permite a las empresas aprovechar descuentos por pronto pago con proveedores, al realizar pagos antes de la fecha pactada. Estos descuentos pueden oscilar entre 1% y  10%, dependiendo del tipo de proveedor. </w:t>
      </w:r>
      <w:r w:rsidDel="00000000" w:rsidR="00000000" w:rsidRPr="00000000">
        <w:rPr>
          <w:rFonts w:ascii="DM Sans" w:cs="DM Sans" w:eastAsia="DM Sans" w:hAnsi="DM Sans"/>
          <w:color w:val="1d1c1d"/>
          <w:rtl w:val="0"/>
        </w:rPr>
        <w:t xml:space="preserve">Es importante mencionar que un proveedor no puede ofrecer un precio más alto al pagar con tarjeta de crédito, esto es un hecho que puede generar multas al comercio.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DM Sans" w:cs="DM Sans" w:eastAsia="DM Sans" w:hAnsi="DM Sans"/>
          <w:b w:val="1"/>
          <w:u w:val="none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Compras a una cuota y fondeo de hasta 40 días sin intereses</w:t>
      </w:r>
    </w:p>
    <w:p w:rsidR="00000000" w:rsidDel="00000000" w:rsidP="00000000" w:rsidRDefault="00000000" w:rsidRPr="00000000" w14:paraId="00000015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Algunas tarjetas de crédito corporativas brindan la posibilidad de realizar compras a una sola cuota, lo que permite un fondeo de hasta 40 días sin intereses, brindando a las empresas una mayor flexibilidad en su flujo de efectivo.</w:t>
      </w:r>
    </w:p>
    <w:p w:rsidR="00000000" w:rsidDel="00000000" w:rsidP="00000000" w:rsidRDefault="00000000" w:rsidRPr="00000000" w14:paraId="00000017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rFonts w:ascii="DM Sans" w:cs="DM Sans" w:eastAsia="DM Sans" w:hAnsi="DM Sans"/>
          <w:b w:val="1"/>
          <w:u w:val="none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Incremento de gastos deducibles de impuestos</w:t>
      </w:r>
    </w:p>
    <w:p w:rsidR="00000000" w:rsidDel="00000000" w:rsidP="00000000" w:rsidRDefault="00000000" w:rsidRPr="00000000" w14:paraId="00000019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br w:type="textWrapping"/>
      </w:r>
      <w:r w:rsidDel="00000000" w:rsidR="00000000" w:rsidRPr="00000000">
        <w:rPr>
          <w:rFonts w:ascii="DM Sans" w:cs="DM Sans" w:eastAsia="DM Sans" w:hAnsi="DM Sans"/>
          <w:rtl w:val="0"/>
        </w:rPr>
        <w:t xml:space="preserve">La ordenación de pagos a través de las nuevas plataformas de gestión de gastos proporciona alertas automáticas a los empleados en caso de posibles demoras en la legalización del gasto, lo que simplifica la gestión tributaria y maximiza los gastos deducibles de impuestos.</w:t>
      </w:r>
    </w:p>
    <w:p w:rsidR="00000000" w:rsidDel="00000000" w:rsidP="00000000" w:rsidRDefault="00000000" w:rsidRPr="00000000" w14:paraId="0000001A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rFonts w:ascii="DM Sans" w:cs="DM Sans" w:eastAsia="DM Sans" w:hAnsi="DM Sans"/>
          <w:b w:val="1"/>
          <w:u w:val="none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Seguridad de primer nivel y personalización</w:t>
      </w:r>
    </w:p>
    <w:p w:rsidR="00000000" w:rsidDel="00000000" w:rsidP="00000000" w:rsidRDefault="00000000" w:rsidRPr="00000000" w14:paraId="0000001C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Hoy en día, la seguridad se ha convertido en factor clave para que las empresas puedan depositar su confianza en productos financieros. Entre las características más importantes destacan: </w:t>
      </w: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CVV dinámico, 3DS, factor de doble autenticación y PIN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 para cierto tipo de transacciones. Además, ofrecen la posibilidad de personalizar montos, fechas de activación y desactivación, días de la semana en que la tarjeta estará activa y montos máximos de retiros en cajeros automáticos. </w:t>
      </w:r>
    </w:p>
    <w:p w:rsidR="00000000" w:rsidDel="00000000" w:rsidP="00000000" w:rsidRDefault="00000000" w:rsidRPr="00000000" w14:paraId="0000001E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rFonts w:ascii="DM Sans" w:cs="DM Sans" w:eastAsia="DM Sans" w:hAnsi="DM Sans"/>
          <w:b w:val="1"/>
          <w:u w:val="none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Obtención de Puntos Canjeables</w:t>
      </w:r>
    </w:p>
    <w:p w:rsidR="00000000" w:rsidDel="00000000" w:rsidP="00000000" w:rsidRDefault="00000000" w:rsidRPr="00000000" w14:paraId="00000020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Diversas empresas fintech han desarrollado</w:t>
      </w:r>
      <w:hyperlink r:id="rId6">
        <w:r w:rsidDel="00000000" w:rsidR="00000000" w:rsidRPr="00000000">
          <w:rPr>
            <w:rFonts w:ascii="DM Sans" w:cs="DM Sans" w:eastAsia="DM Sans" w:hAnsi="DM Sans"/>
            <w:color w:val="1155cc"/>
            <w:u w:val="single"/>
            <w:rtl w:val="0"/>
          </w:rPr>
          <w:t xml:space="preserve"> importantes alianzas con grandes jugadores del ecosistema colombiano</w:t>
        </w:r>
      </w:hyperlink>
      <w:r w:rsidDel="00000000" w:rsidR="00000000" w:rsidRPr="00000000">
        <w:rPr>
          <w:rFonts w:ascii="DM Sans" w:cs="DM Sans" w:eastAsia="DM Sans" w:hAnsi="DM Sans"/>
          <w:rtl w:val="0"/>
        </w:rPr>
        <w:t xml:space="preserve">,  en las que éstas obtienen puntos que pueden ser canjeados por millas o bonificaciones para el pago de sus tarjetas, lo que les permite obtener aún más beneficios financieros sin necesidad de afectar sus ingresos. </w:t>
      </w:r>
    </w:p>
    <w:p w:rsidR="00000000" w:rsidDel="00000000" w:rsidP="00000000" w:rsidRDefault="00000000" w:rsidRPr="00000000" w14:paraId="00000022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Estos beneficios comienzan a ser proporcionados por las empresas de tecnología financiera, con la finalidad de hacer del entorno corporativo colombiano un ambiente competitivo, que permita a las empresas del mercado operar de manera más eficiente y escalar de manera rentable a otras economías de la región.</w:t>
      </w:r>
    </w:p>
    <w:p w:rsidR="00000000" w:rsidDel="00000000" w:rsidP="00000000" w:rsidRDefault="00000000" w:rsidRPr="00000000" w14:paraId="00000024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###</w:t>
      </w:r>
    </w:p>
    <w:p w:rsidR="00000000" w:rsidDel="00000000" w:rsidP="00000000" w:rsidRDefault="00000000" w:rsidRPr="00000000" w14:paraId="00000026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Sobre Clara</w:t>
      </w:r>
    </w:p>
    <w:p w:rsidR="00000000" w:rsidDel="00000000" w:rsidP="00000000" w:rsidRDefault="00000000" w:rsidRPr="00000000" w14:paraId="0000002B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Clara es la principal solución latinoamericana para que las empresas realicen y administren todos sus pagos. La plataforma de Clara incluye tarjetas de crédito corporativas, pagos de facturas, además de un software de gestión de gastos en tiempo real.</w:t>
      </w:r>
    </w:p>
    <w:p w:rsidR="00000000" w:rsidDel="00000000" w:rsidP="00000000" w:rsidRDefault="00000000" w:rsidRPr="00000000" w14:paraId="0000002D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Fundada en 2021, Clara opera en Brasil, Colombia y México. Como multinacional latinoamericana, Clara ha logrado asegurar inversiones de algunos de los fondos de capital más estratégicos de la región, como monashees, Kaszek y Canary, así como de inversores globales como GGV, Coatue, DST Global Partners, ICONIQ Growth, General Catalyst y Goldman Sachs.</w:t>
      </w:r>
    </w:p>
    <w:p w:rsidR="00000000" w:rsidDel="00000000" w:rsidP="00000000" w:rsidRDefault="00000000" w:rsidRPr="00000000" w14:paraId="0000002F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La misión de Clara es empoderar a las empresas para que operen con agilidad y claridad, ayudándolas a ser más eficientes y menos burocráticas a través de una plataforma que respalda todos los métodos de pago integrados en su innovadora plataforma de gestión de gastos.</w:t>
      </w:r>
    </w:p>
    <w:p w:rsidR="00000000" w:rsidDel="00000000" w:rsidP="00000000" w:rsidRDefault="00000000" w:rsidRPr="00000000" w14:paraId="00000031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Para obtener más información sobre los productos y soluciones de Clara, visita </w:t>
      </w:r>
      <w:hyperlink r:id="rId7">
        <w:r w:rsidDel="00000000" w:rsidR="00000000" w:rsidRPr="00000000">
          <w:rPr>
            <w:rFonts w:ascii="DM Sans" w:cs="DM Sans" w:eastAsia="DM Sans" w:hAnsi="DM Sans"/>
            <w:color w:val="1155cc"/>
            <w:sz w:val="20"/>
            <w:szCs w:val="20"/>
            <w:u w:val="single"/>
            <w:rtl w:val="0"/>
          </w:rPr>
          <w:t xml:space="preserve">clara.com.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Contacto de prensa </w:t>
      </w:r>
    </w:p>
    <w:p w:rsidR="00000000" w:rsidDel="00000000" w:rsidP="00000000" w:rsidRDefault="00000000" w:rsidRPr="00000000" w14:paraId="00000035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Maximiliano Cervantes</w:t>
      </w:r>
    </w:p>
    <w:p w:rsidR="00000000" w:rsidDel="00000000" w:rsidP="00000000" w:rsidRDefault="00000000" w:rsidRPr="00000000" w14:paraId="00000037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PR Lead </w:t>
      </w:r>
    </w:p>
    <w:p w:rsidR="00000000" w:rsidDel="00000000" w:rsidP="00000000" w:rsidRDefault="00000000" w:rsidRPr="00000000" w14:paraId="00000038">
      <w:pPr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maximiliano.cervantes@clara.team </w:t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+52 55 2095 2427 </w:t>
      </w:r>
    </w:p>
    <w:p w:rsidR="00000000" w:rsidDel="00000000" w:rsidP="00000000" w:rsidRDefault="00000000" w:rsidRPr="00000000" w14:paraId="0000003A">
      <w:pPr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1533525</wp:posOffset>
          </wp:positionH>
          <wp:positionV relativeFrom="paragraph">
            <wp:posOffset>-123824</wp:posOffset>
          </wp:positionV>
          <wp:extent cx="3195638" cy="96790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5638" cy="9679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ra.prezly.com/clara-y-lifemiles-forman-alianza-para-llevar-sus-programas-de-fidelizacion-a-las-alturas" TargetMode="External"/><Relationship Id="rId7" Type="http://schemas.openxmlformats.org/officeDocument/2006/relationships/hyperlink" Target="http://clara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