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7092"/>
        <w:gridCol w:w="2315"/>
        <w:gridCol w:w="1603"/>
      </w:tblGrid>
      <w:tr w:rsidR="00244DAF" w14:paraId="7FBBCD8D" w14:textId="77777777" w:rsidTr="00244DAF">
        <w:trPr>
          <w:trHeight w:val="333"/>
        </w:trPr>
        <w:tc>
          <w:tcPr>
            <w:tcW w:w="9407" w:type="dxa"/>
            <w:gridSpan w:val="2"/>
          </w:tcPr>
          <w:p w14:paraId="15E0A0D5" w14:textId="77777777" w:rsidR="009924EC" w:rsidRPr="00B612A0" w:rsidRDefault="00244DAF" w:rsidP="00B76447">
            <w:pPr>
              <w:rPr>
                <w:b/>
                <w:bCs/>
                <w:color w:val="00A0CB"/>
                <w:spacing w:val="38"/>
                <w:sz w:val="36"/>
                <w:szCs w:val="36"/>
                <w:lang w:val="nl-BE"/>
              </w:rPr>
            </w:pPr>
            <w:r w:rsidRPr="00244DAF">
              <w:rPr>
                <w:rFonts w:ascii="Calibri" w:hAnsi="Calibri"/>
                <w:noProof/>
                <w:sz w:val="24"/>
              </w:rPr>
              <w:drawing>
                <wp:anchor distT="0" distB="0" distL="114300" distR="114300" simplePos="0" relativeHeight="251660800" behindDoc="1" locked="0" layoutInCell="1" allowOverlap="1" wp14:anchorId="2D42073E" wp14:editId="591C9416">
                  <wp:simplePos x="0" y="0"/>
                  <wp:positionH relativeFrom="column">
                    <wp:posOffset>4635500</wp:posOffset>
                  </wp:positionH>
                  <wp:positionV relativeFrom="paragraph">
                    <wp:posOffset>-109220</wp:posOffset>
                  </wp:positionV>
                  <wp:extent cx="1267460" cy="15017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3 at 15.48.00.png"/>
                          <pic:cNvPicPr/>
                        </pic:nvPicPr>
                        <pic:blipFill>
                          <a:blip r:embed="rId8">
                            <a:extLst>
                              <a:ext uri="{28A0092B-C50C-407E-A947-70E740481C1C}">
                                <a14:useLocalDpi xmlns:a14="http://schemas.microsoft.com/office/drawing/2010/main" val="0"/>
                              </a:ext>
                            </a:extLst>
                          </a:blip>
                          <a:stretch>
                            <a:fillRect/>
                          </a:stretch>
                        </pic:blipFill>
                        <pic:spPr>
                          <a:xfrm>
                            <a:off x="0" y="0"/>
                            <a:ext cx="1267460" cy="1501775"/>
                          </a:xfrm>
                          <a:prstGeom prst="rect">
                            <a:avLst/>
                          </a:prstGeom>
                        </pic:spPr>
                      </pic:pic>
                    </a:graphicData>
                  </a:graphic>
                  <wp14:sizeRelH relativeFrom="page">
                    <wp14:pctWidth>0</wp14:pctWidth>
                  </wp14:sizeRelH>
                  <wp14:sizeRelV relativeFrom="page">
                    <wp14:pctHeight>0</wp14:pctHeight>
                  </wp14:sizeRelV>
                </wp:anchor>
              </w:drawing>
            </w:r>
            <w:r w:rsidR="00F16F62">
              <w:rPr>
                <w:b/>
                <w:bCs/>
                <w:color w:val="00A0CB"/>
                <w:spacing w:val="38"/>
                <w:sz w:val="36"/>
                <w:szCs w:val="36"/>
                <w:lang w:val="nl-BE"/>
              </w:rPr>
              <w:t>Vraag aan een expert</w:t>
            </w:r>
          </w:p>
        </w:tc>
        <w:tc>
          <w:tcPr>
            <w:tcW w:w="1603" w:type="dxa"/>
            <w:vMerge w:val="restart"/>
          </w:tcPr>
          <w:p w14:paraId="6586CEE3" w14:textId="77777777" w:rsidR="009924EC" w:rsidRDefault="009924EC" w:rsidP="00B40816">
            <w:pPr>
              <w:rPr>
                <w:rFonts w:ascii="Calibri" w:hAnsi="Calibri"/>
                <w:sz w:val="24"/>
                <w:lang w:val="nl-BE"/>
              </w:rPr>
            </w:pPr>
          </w:p>
        </w:tc>
      </w:tr>
      <w:tr w:rsidR="00244DAF" w:rsidRPr="005539DF" w14:paraId="6CBA6482" w14:textId="77777777" w:rsidTr="00244DAF">
        <w:trPr>
          <w:trHeight w:val="1293"/>
        </w:trPr>
        <w:tc>
          <w:tcPr>
            <w:tcW w:w="7092" w:type="dxa"/>
          </w:tcPr>
          <w:p w14:paraId="62C99A6C" w14:textId="77777777" w:rsidR="005539DF" w:rsidRPr="00E675CC" w:rsidRDefault="00801985" w:rsidP="00B40816">
            <w:pPr>
              <w:spacing w:line="280" w:lineRule="exact"/>
              <w:jc w:val="both"/>
              <w:rPr>
                <w:rFonts w:cs="Arial"/>
                <w:color w:val="00B0F0"/>
                <w:sz w:val="28"/>
                <w:szCs w:val="28"/>
                <w:lang w:val="fr-BE"/>
              </w:rPr>
            </w:pPr>
            <w:r>
              <w:rPr>
                <w:rFonts w:cs="Arial"/>
                <w:color w:val="00B0F0"/>
                <w:sz w:val="28"/>
                <w:szCs w:val="28"/>
                <w:lang w:val="fr-BE"/>
              </w:rPr>
              <w:t>Wat is de</w:t>
            </w:r>
            <w:r w:rsidR="00F16F62">
              <w:rPr>
                <w:rFonts w:cs="Arial"/>
                <w:color w:val="00B0F0"/>
                <w:sz w:val="28"/>
                <w:szCs w:val="28"/>
                <w:lang w:val="fr-BE"/>
              </w:rPr>
              <w:t xml:space="preserve"> deeleconomie</w:t>
            </w:r>
            <w:r>
              <w:rPr>
                <w:rFonts w:cs="Arial"/>
                <w:color w:val="00B0F0"/>
                <w:sz w:val="28"/>
                <w:szCs w:val="28"/>
                <w:lang w:val="fr-BE"/>
              </w:rPr>
              <w:t xml:space="preserve"> en wat is de huidige status</w:t>
            </w:r>
            <w:r w:rsidR="00F16F62">
              <w:rPr>
                <w:rFonts w:cs="Arial"/>
                <w:color w:val="00B0F0"/>
                <w:sz w:val="28"/>
                <w:szCs w:val="28"/>
                <w:lang w:val="fr-BE"/>
              </w:rPr>
              <w:t>?</w:t>
            </w:r>
          </w:p>
          <w:p w14:paraId="6B361958" w14:textId="77777777" w:rsidR="005539DF" w:rsidRPr="000D3292" w:rsidRDefault="005539DF" w:rsidP="00B40816">
            <w:pPr>
              <w:spacing w:line="280" w:lineRule="exact"/>
              <w:jc w:val="both"/>
              <w:rPr>
                <w:rFonts w:cs="Arial"/>
                <w:sz w:val="28"/>
                <w:szCs w:val="28"/>
                <w:lang w:val="fr-BE"/>
              </w:rPr>
            </w:pPr>
          </w:p>
          <w:p w14:paraId="15772554" w14:textId="77777777" w:rsidR="005539DF" w:rsidRPr="000D3292" w:rsidRDefault="005539DF" w:rsidP="00B40816">
            <w:pPr>
              <w:spacing w:line="280" w:lineRule="exact"/>
              <w:jc w:val="both"/>
              <w:rPr>
                <w:rFonts w:cs="Arial"/>
                <w:sz w:val="28"/>
                <w:szCs w:val="28"/>
                <w:lang w:val="fr-BE"/>
              </w:rPr>
            </w:pPr>
          </w:p>
          <w:p w14:paraId="16DFD1C6" w14:textId="77777777" w:rsidR="005539DF" w:rsidRPr="000D3292" w:rsidRDefault="005539DF" w:rsidP="00B40816">
            <w:pPr>
              <w:spacing w:line="280" w:lineRule="exact"/>
              <w:jc w:val="both"/>
              <w:rPr>
                <w:rFonts w:cs="Arial"/>
                <w:sz w:val="28"/>
                <w:szCs w:val="28"/>
                <w:lang w:val="fr-BE"/>
              </w:rPr>
            </w:pPr>
          </w:p>
          <w:p w14:paraId="237F4CA2" w14:textId="77777777" w:rsidR="005539DF" w:rsidRPr="000D3292" w:rsidRDefault="005539DF" w:rsidP="00B40816">
            <w:pPr>
              <w:spacing w:line="280" w:lineRule="exact"/>
              <w:jc w:val="both"/>
              <w:rPr>
                <w:rFonts w:cs="Arial"/>
                <w:sz w:val="28"/>
                <w:szCs w:val="28"/>
                <w:lang w:val="fr-BE"/>
              </w:rPr>
            </w:pPr>
          </w:p>
        </w:tc>
        <w:tc>
          <w:tcPr>
            <w:tcW w:w="2315" w:type="dxa"/>
            <w:vAlign w:val="bottom"/>
          </w:tcPr>
          <w:p w14:paraId="65ABA310" w14:textId="77777777" w:rsidR="00244DAF" w:rsidRDefault="00244DAF" w:rsidP="005539DF">
            <w:pPr>
              <w:jc w:val="right"/>
              <w:rPr>
                <w:rFonts w:cs="Arial"/>
                <w:sz w:val="18"/>
                <w:szCs w:val="18"/>
              </w:rPr>
            </w:pPr>
          </w:p>
          <w:p w14:paraId="049B9035" w14:textId="77777777" w:rsidR="00244DAF" w:rsidRDefault="00244DAF" w:rsidP="005539DF">
            <w:pPr>
              <w:jc w:val="right"/>
              <w:rPr>
                <w:rFonts w:cs="Arial"/>
                <w:sz w:val="18"/>
                <w:szCs w:val="18"/>
              </w:rPr>
            </w:pPr>
          </w:p>
          <w:p w14:paraId="5EF7EA3D" w14:textId="77777777" w:rsidR="00244DAF" w:rsidRDefault="00244DAF" w:rsidP="005539DF">
            <w:pPr>
              <w:jc w:val="right"/>
              <w:rPr>
                <w:rFonts w:cs="Arial"/>
                <w:sz w:val="18"/>
                <w:szCs w:val="18"/>
              </w:rPr>
            </w:pPr>
          </w:p>
          <w:p w14:paraId="67E20DB5" w14:textId="77777777" w:rsidR="00244DAF" w:rsidRDefault="00244DAF" w:rsidP="005539DF">
            <w:pPr>
              <w:jc w:val="right"/>
              <w:rPr>
                <w:rFonts w:cs="Arial"/>
                <w:sz w:val="18"/>
                <w:szCs w:val="18"/>
              </w:rPr>
            </w:pPr>
          </w:p>
          <w:p w14:paraId="6634DA01" w14:textId="77777777" w:rsidR="00244DAF" w:rsidRDefault="00244DAF" w:rsidP="005539DF">
            <w:pPr>
              <w:jc w:val="right"/>
              <w:rPr>
                <w:rFonts w:cs="Arial"/>
                <w:sz w:val="18"/>
                <w:szCs w:val="18"/>
              </w:rPr>
            </w:pPr>
          </w:p>
          <w:p w14:paraId="149C3EDE" w14:textId="77777777" w:rsidR="00244DAF" w:rsidRDefault="00244DAF" w:rsidP="005539DF">
            <w:pPr>
              <w:jc w:val="right"/>
              <w:rPr>
                <w:rFonts w:cs="Arial"/>
                <w:sz w:val="18"/>
                <w:szCs w:val="18"/>
              </w:rPr>
            </w:pPr>
          </w:p>
          <w:p w14:paraId="492490B5" w14:textId="77777777" w:rsidR="005539DF" w:rsidRPr="00B40816" w:rsidRDefault="00D83B11" w:rsidP="005539DF">
            <w:pPr>
              <w:jc w:val="right"/>
              <w:rPr>
                <w:rFonts w:cs="Arial"/>
                <w:sz w:val="18"/>
                <w:szCs w:val="18"/>
              </w:rPr>
            </w:pPr>
            <w:r>
              <w:rPr>
                <w:rFonts w:cs="Arial"/>
                <w:sz w:val="18"/>
                <w:szCs w:val="18"/>
              </w:rPr>
              <w:t xml:space="preserve">Isabelle </w:t>
            </w:r>
            <w:proofErr w:type="spellStart"/>
            <w:r>
              <w:rPr>
                <w:rFonts w:cs="Arial"/>
                <w:sz w:val="18"/>
                <w:szCs w:val="18"/>
              </w:rPr>
              <w:t>Calluwaerts</w:t>
            </w:r>
            <w:proofErr w:type="spellEnd"/>
          </w:p>
          <w:p w14:paraId="1AD0433A" w14:textId="77777777" w:rsidR="005539DF" w:rsidRPr="005539DF" w:rsidRDefault="005539DF" w:rsidP="00244DAF">
            <w:pPr>
              <w:jc w:val="right"/>
              <w:rPr>
                <w:rFonts w:cs="Arial"/>
                <w:sz w:val="28"/>
                <w:szCs w:val="28"/>
              </w:rPr>
            </w:pPr>
            <w:r w:rsidRPr="00B40816">
              <w:rPr>
                <w:rFonts w:cs="Arial"/>
                <w:sz w:val="18"/>
                <w:szCs w:val="18"/>
              </w:rPr>
              <w:t>Legal</w:t>
            </w:r>
            <w:r w:rsidR="00BF373E">
              <w:rPr>
                <w:rFonts w:cs="Arial"/>
                <w:sz w:val="18"/>
                <w:szCs w:val="18"/>
              </w:rPr>
              <w:t xml:space="preserve"> </w:t>
            </w:r>
            <w:r w:rsidR="00D83B11">
              <w:rPr>
                <w:rFonts w:cs="Arial"/>
                <w:sz w:val="18"/>
                <w:szCs w:val="18"/>
              </w:rPr>
              <w:t>Expert</w:t>
            </w:r>
            <w:r w:rsidRPr="00B40816">
              <w:rPr>
                <w:rFonts w:cs="Arial"/>
                <w:sz w:val="18"/>
                <w:szCs w:val="18"/>
              </w:rPr>
              <w:t xml:space="preserve"> </w:t>
            </w:r>
            <w:r w:rsidRPr="00B40816">
              <w:rPr>
                <w:rFonts w:cs="Arial"/>
                <w:sz w:val="18"/>
                <w:szCs w:val="18"/>
              </w:rPr>
              <w:br/>
              <w:t>Partena Professional</w:t>
            </w:r>
          </w:p>
        </w:tc>
        <w:tc>
          <w:tcPr>
            <w:tcW w:w="1603" w:type="dxa"/>
            <w:vMerge/>
          </w:tcPr>
          <w:p w14:paraId="42AFC8E2" w14:textId="77777777" w:rsidR="005539DF" w:rsidRPr="005539DF" w:rsidRDefault="005539DF" w:rsidP="00B40816">
            <w:pPr>
              <w:jc w:val="center"/>
              <w:rPr>
                <w:rFonts w:ascii="Calibri" w:hAnsi="Calibri"/>
                <w:sz w:val="24"/>
              </w:rPr>
            </w:pPr>
          </w:p>
        </w:tc>
      </w:tr>
    </w:tbl>
    <w:p w14:paraId="45AECA55" w14:textId="77777777" w:rsidR="0071493A" w:rsidRPr="00244DAF" w:rsidRDefault="00BF373E" w:rsidP="00AA4348">
      <w:pPr>
        <w:autoSpaceDE w:val="0"/>
        <w:autoSpaceDN w:val="0"/>
        <w:adjustRightInd w:val="0"/>
        <w:jc w:val="both"/>
        <w:rPr>
          <w:rFonts w:cs="Arial"/>
          <w:sz w:val="24"/>
        </w:rPr>
      </w:pPr>
      <w:r>
        <w:rPr>
          <w:noProof/>
        </w:rPr>
        <mc:AlternateContent>
          <mc:Choice Requires="wps">
            <w:drawing>
              <wp:anchor distT="4294967293" distB="4294967293" distL="114300" distR="114300" simplePos="0" relativeHeight="251658752" behindDoc="0" locked="0" layoutInCell="1" allowOverlap="1" wp14:anchorId="386A0388" wp14:editId="561655B1">
                <wp:simplePos x="0" y="0"/>
                <wp:positionH relativeFrom="column">
                  <wp:posOffset>-213360</wp:posOffset>
                </wp:positionH>
                <wp:positionV relativeFrom="paragraph">
                  <wp:posOffset>73025</wp:posOffset>
                </wp:positionV>
                <wp:extent cx="6426835" cy="0"/>
                <wp:effectExtent l="10795" t="10795" r="10795" b="825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0E649"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C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B0nj8IXAgAAKgQAAA4AAAAAAAAAAAAAAAAALgIAAGRycy9lMm9Eb2MueG1sUEsBAi0AFAAGAAgA&#10;AAAhADzftlrcAAAACQEAAA8AAAAAAAAAAAAAAAAAcQQAAGRycy9kb3ducmV2LnhtbFBLBQYAAAAA&#10;BAAEAPMAAAB6BQAAAAA=&#10;" strokecolor="#f6a500" strokeweight="1pt"/>
            </w:pict>
          </mc:Fallback>
        </mc:AlternateContent>
      </w:r>
    </w:p>
    <w:p w14:paraId="5D950980" w14:textId="77777777" w:rsidR="00D83B11" w:rsidRPr="00244DAF" w:rsidRDefault="00F16F62" w:rsidP="00BA07B3">
      <w:pPr>
        <w:spacing w:line="280" w:lineRule="exact"/>
        <w:jc w:val="both"/>
        <w:rPr>
          <w:rFonts w:cs="Arial"/>
          <w:b/>
          <w:sz w:val="24"/>
          <w:lang w:val="nl-BE"/>
        </w:rPr>
      </w:pPr>
      <w:r w:rsidRPr="00244DAF">
        <w:rPr>
          <w:rFonts w:cs="Arial"/>
          <w:b/>
          <w:sz w:val="24"/>
          <w:lang w:val="nl-BE"/>
        </w:rPr>
        <w:t>De FOD Financiën heeft</w:t>
      </w:r>
      <w:bookmarkStart w:id="0" w:name="_GoBack"/>
      <w:bookmarkEnd w:id="0"/>
      <w:r w:rsidRPr="00244DAF">
        <w:rPr>
          <w:rFonts w:cs="Arial"/>
          <w:b/>
          <w:sz w:val="24"/>
          <w:lang w:val="nl-BE"/>
        </w:rPr>
        <w:t xml:space="preserve"> aangekondigd dat het nieuwe fiscale stelsel van de deeleconomie vermoedelijk zal worden uitgesteld tot de herfst.</w:t>
      </w:r>
    </w:p>
    <w:p w14:paraId="399A5F8C" w14:textId="77777777" w:rsidR="00F16F62" w:rsidRPr="00244DAF" w:rsidRDefault="00F16F62" w:rsidP="00BA07B3">
      <w:pPr>
        <w:spacing w:line="280" w:lineRule="exact"/>
        <w:jc w:val="both"/>
        <w:rPr>
          <w:rFonts w:cs="Arial"/>
          <w:sz w:val="24"/>
          <w:lang w:val="nl-BE"/>
        </w:rPr>
      </w:pPr>
    </w:p>
    <w:p w14:paraId="725054D9" w14:textId="77777777" w:rsidR="00D83B11" w:rsidRPr="00244DAF" w:rsidRDefault="00F16F62" w:rsidP="00D83B11">
      <w:pPr>
        <w:spacing w:line="280" w:lineRule="exact"/>
        <w:jc w:val="both"/>
        <w:rPr>
          <w:rFonts w:cs="Arial"/>
          <w:b/>
          <w:color w:val="00A0CB"/>
          <w:sz w:val="22"/>
          <w:szCs w:val="22"/>
          <w:lang w:val="nl-BE"/>
        </w:rPr>
      </w:pPr>
      <w:r w:rsidRPr="00244DAF">
        <w:rPr>
          <w:rFonts w:cs="Arial"/>
          <w:b/>
          <w:color w:val="00A0CB"/>
          <w:sz w:val="22"/>
          <w:szCs w:val="22"/>
          <w:lang w:val="nl-BE"/>
        </w:rPr>
        <w:t>Een deeleconomie, wat is dat precies?</w:t>
      </w:r>
    </w:p>
    <w:p w14:paraId="0ED4049E" w14:textId="77777777" w:rsidR="00F16F62" w:rsidRPr="00244DAF" w:rsidRDefault="00F16F62" w:rsidP="00F16F62">
      <w:pPr>
        <w:spacing w:line="280" w:lineRule="exact"/>
        <w:jc w:val="both"/>
        <w:rPr>
          <w:rFonts w:cs="Arial"/>
          <w:sz w:val="22"/>
          <w:szCs w:val="22"/>
          <w:lang w:val="nl-BE"/>
        </w:rPr>
      </w:pPr>
      <w:r w:rsidRPr="00244DAF">
        <w:rPr>
          <w:rFonts w:cs="Arial"/>
          <w:sz w:val="22"/>
          <w:szCs w:val="22"/>
          <w:lang w:val="nl-BE"/>
        </w:rPr>
        <w:t>Binnen een deeleconomie consumeren, produceren en verhandelen mensen onderling producten, diensten, kennis en geld. Dat verloopt meestal via elektronische platformen die vraag en aanbod bij elkaar brengen.</w:t>
      </w:r>
    </w:p>
    <w:p w14:paraId="76C1D792" w14:textId="77777777" w:rsidR="001602C4" w:rsidRPr="00244DAF" w:rsidRDefault="001602C4" w:rsidP="00F16F62">
      <w:pPr>
        <w:spacing w:line="280" w:lineRule="exact"/>
        <w:jc w:val="both"/>
        <w:rPr>
          <w:rFonts w:cs="Arial"/>
          <w:sz w:val="22"/>
          <w:szCs w:val="22"/>
          <w:lang w:val="nl-BE"/>
        </w:rPr>
      </w:pPr>
    </w:p>
    <w:p w14:paraId="0577E265" w14:textId="77777777" w:rsidR="00F16F62" w:rsidRPr="00244DAF" w:rsidRDefault="00F16F62" w:rsidP="00F16F62">
      <w:pPr>
        <w:spacing w:line="280" w:lineRule="exact"/>
        <w:jc w:val="both"/>
        <w:rPr>
          <w:rFonts w:cs="Arial"/>
          <w:sz w:val="22"/>
          <w:szCs w:val="22"/>
          <w:lang w:val="nl-BE"/>
        </w:rPr>
      </w:pPr>
      <w:r w:rsidRPr="00244DAF">
        <w:rPr>
          <w:rFonts w:cs="Arial"/>
          <w:sz w:val="22"/>
          <w:szCs w:val="22"/>
          <w:lang w:val="nl-BE"/>
        </w:rPr>
        <w:t>De regering heeft voorgesteld om een specifiek fiscaal stelsel in te voeren voor inkomsten die voortkomen uit diensten die een particulier levert aan een andere particulier, door tussenkomst van een online platform. Bijvoorbeeld voor het onderhouden van een tuin, het verstellen van kledij of het geven van gitaarles.</w:t>
      </w:r>
    </w:p>
    <w:p w14:paraId="6334F4F6" w14:textId="77777777" w:rsidR="001602C4" w:rsidRPr="00244DAF" w:rsidRDefault="001602C4" w:rsidP="00F16F62">
      <w:pPr>
        <w:spacing w:line="280" w:lineRule="exact"/>
        <w:jc w:val="both"/>
        <w:rPr>
          <w:rFonts w:cs="Arial"/>
          <w:sz w:val="22"/>
          <w:szCs w:val="22"/>
          <w:lang w:val="nl-BE"/>
        </w:rPr>
      </w:pPr>
    </w:p>
    <w:p w14:paraId="01A66B05" w14:textId="77777777" w:rsidR="00D83B11" w:rsidRPr="00244DAF" w:rsidRDefault="00F16F62" w:rsidP="00F16F62">
      <w:pPr>
        <w:spacing w:line="280" w:lineRule="exact"/>
        <w:jc w:val="both"/>
        <w:rPr>
          <w:rFonts w:cs="Arial"/>
          <w:sz w:val="22"/>
          <w:szCs w:val="22"/>
          <w:lang w:val="nl-BE"/>
        </w:rPr>
      </w:pPr>
      <w:r w:rsidRPr="00244DAF">
        <w:rPr>
          <w:rFonts w:cs="Arial"/>
          <w:sz w:val="22"/>
          <w:szCs w:val="22"/>
          <w:lang w:val="nl-BE"/>
        </w:rPr>
        <w:t>De regering wil zo dit soort inkomsten, waarop momenteel vaak geen enkele belasting wordt betaald, uit de grijze zone halen. Het doel is ook om het ondernemerschap een duwtje in de rug te geven en ervoor te zorgen dat mensen een beperkte activiteit kunnen uitoefenen met een minimum aan formaliteiten.</w:t>
      </w:r>
    </w:p>
    <w:p w14:paraId="686456A3" w14:textId="77777777" w:rsidR="00F16F62" w:rsidRPr="00244DAF" w:rsidRDefault="00F16F62" w:rsidP="00F16F62">
      <w:pPr>
        <w:spacing w:line="280" w:lineRule="exact"/>
        <w:jc w:val="both"/>
        <w:rPr>
          <w:rFonts w:cs="Arial"/>
          <w:b/>
          <w:color w:val="00A0CB"/>
          <w:sz w:val="22"/>
          <w:szCs w:val="22"/>
          <w:lang w:val="nl-BE"/>
        </w:rPr>
      </w:pPr>
    </w:p>
    <w:p w14:paraId="6C5C916A" w14:textId="77777777" w:rsidR="00D83B11" w:rsidRPr="00244DAF" w:rsidRDefault="00F16F62" w:rsidP="00D83B11">
      <w:pPr>
        <w:spacing w:line="280" w:lineRule="exact"/>
        <w:jc w:val="both"/>
        <w:rPr>
          <w:rFonts w:cs="Arial"/>
          <w:b/>
          <w:color w:val="00A0CB"/>
          <w:sz w:val="22"/>
          <w:szCs w:val="22"/>
          <w:lang w:val="nl-BE"/>
        </w:rPr>
      </w:pPr>
      <w:r w:rsidRPr="00244DAF">
        <w:rPr>
          <w:rFonts w:cs="Arial"/>
          <w:b/>
          <w:color w:val="00A0CB"/>
          <w:sz w:val="22"/>
          <w:szCs w:val="22"/>
          <w:lang w:val="nl-BE"/>
        </w:rPr>
        <w:t>Wat houdt het specifieke fiscale stelsel voor de deeleconomie in?</w:t>
      </w:r>
    </w:p>
    <w:p w14:paraId="364391E2" w14:textId="77777777" w:rsidR="001602C4" w:rsidRPr="00244DAF" w:rsidRDefault="00F16F62" w:rsidP="00F16F62">
      <w:pPr>
        <w:spacing w:line="280" w:lineRule="exact"/>
        <w:jc w:val="both"/>
        <w:rPr>
          <w:rFonts w:cs="Arial"/>
          <w:sz w:val="22"/>
          <w:szCs w:val="22"/>
          <w:lang w:val="nl-BE"/>
        </w:rPr>
      </w:pPr>
      <w:r w:rsidRPr="00244DAF">
        <w:rPr>
          <w:rFonts w:cs="Arial"/>
          <w:sz w:val="22"/>
          <w:szCs w:val="22"/>
          <w:lang w:val="nl-BE"/>
        </w:rPr>
        <w:t>Mits bepaalde voorwaarden worden nageleefd, zullen de inkomsten uit zo’n deeleconomie belast worden aan 20%, na toepassing van de forfaitaire beroepskosten van 50%.</w:t>
      </w:r>
    </w:p>
    <w:p w14:paraId="5940670A" w14:textId="77777777" w:rsidR="001602C4" w:rsidRPr="00244DAF" w:rsidRDefault="001602C4" w:rsidP="00F16F62">
      <w:pPr>
        <w:spacing w:line="280" w:lineRule="exact"/>
        <w:jc w:val="both"/>
        <w:rPr>
          <w:rFonts w:cs="Arial"/>
          <w:sz w:val="22"/>
          <w:szCs w:val="22"/>
          <w:lang w:val="nl-BE"/>
        </w:rPr>
      </w:pPr>
    </w:p>
    <w:p w14:paraId="16BDBF9B" w14:textId="77777777" w:rsidR="00F16F62" w:rsidRPr="00244DAF" w:rsidRDefault="00F16F62" w:rsidP="00F16F62">
      <w:pPr>
        <w:spacing w:line="280" w:lineRule="exact"/>
        <w:jc w:val="both"/>
        <w:rPr>
          <w:rFonts w:cs="Arial"/>
          <w:sz w:val="22"/>
          <w:szCs w:val="22"/>
          <w:lang w:val="nl-BE"/>
        </w:rPr>
      </w:pPr>
      <w:r w:rsidRPr="00244DAF">
        <w:rPr>
          <w:rFonts w:cs="Arial"/>
          <w:sz w:val="22"/>
          <w:szCs w:val="22"/>
          <w:lang w:val="nl-BE"/>
        </w:rPr>
        <w:t>Om dit gunstige stelsel te genieten, moeten de diensten enkel geleverd worden aan en door fysieke personen</w:t>
      </w:r>
    </w:p>
    <w:p w14:paraId="086C500A" w14:textId="77777777" w:rsidR="00F16F62" w:rsidRPr="00244DAF" w:rsidRDefault="00F16F62" w:rsidP="001602C4">
      <w:pPr>
        <w:pStyle w:val="ListParagraph"/>
        <w:numPr>
          <w:ilvl w:val="0"/>
          <w:numId w:val="25"/>
        </w:numPr>
        <w:spacing w:line="280" w:lineRule="exact"/>
        <w:jc w:val="both"/>
        <w:rPr>
          <w:rFonts w:cs="Arial"/>
          <w:sz w:val="22"/>
          <w:szCs w:val="22"/>
          <w:lang w:val="nl-BE"/>
        </w:rPr>
      </w:pPr>
      <w:r w:rsidRPr="00244DAF">
        <w:rPr>
          <w:rFonts w:cs="Arial"/>
          <w:sz w:val="22"/>
          <w:szCs w:val="22"/>
          <w:lang w:val="nl-BE"/>
        </w:rPr>
        <w:t>die niet handelen in het kader van hun beroepsactiviteit,</w:t>
      </w:r>
    </w:p>
    <w:p w14:paraId="3E4741FC" w14:textId="77777777" w:rsidR="00F16F62" w:rsidRPr="00244DAF" w:rsidRDefault="00F16F62" w:rsidP="001602C4">
      <w:pPr>
        <w:pStyle w:val="ListParagraph"/>
        <w:numPr>
          <w:ilvl w:val="0"/>
          <w:numId w:val="25"/>
        </w:numPr>
        <w:spacing w:line="280" w:lineRule="exact"/>
        <w:jc w:val="both"/>
        <w:rPr>
          <w:rFonts w:cs="Arial"/>
          <w:sz w:val="22"/>
          <w:szCs w:val="22"/>
          <w:lang w:val="nl-BE"/>
        </w:rPr>
      </w:pPr>
      <w:r w:rsidRPr="00244DAF">
        <w:rPr>
          <w:rFonts w:cs="Arial"/>
          <w:sz w:val="22"/>
          <w:szCs w:val="22"/>
          <w:lang w:val="nl-BE"/>
        </w:rPr>
        <w:t>die handelen door tussenkomst van erkende online platformen.</w:t>
      </w:r>
      <w:r w:rsidR="001602C4" w:rsidRPr="00244DAF">
        <w:rPr>
          <w:rFonts w:cs="Arial"/>
          <w:sz w:val="22"/>
          <w:szCs w:val="22"/>
          <w:lang w:val="nl-BE"/>
        </w:rPr>
        <w:br/>
      </w:r>
    </w:p>
    <w:p w14:paraId="4EBB3CC8" w14:textId="77777777" w:rsidR="00F16F62" w:rsidRPr="00244DAF" w:rsidRDefault="00F16F62" w:rsidP="00F16F62">
      <w:pPr>
        <w:spacing w:line="280" w:lineRule="exact"/>
        <w:jc w:val="both"/>
        <w:rPr>
          <w:rFonts w:cs="Arial"/>
          <w:sz w:val="22"/>
          <w:szCs w:val="22"/>
          <w:lang w:val="nl-BE"/>
        </w:rPr>
      </w:pPr>
      <w:r w:rsidRPr="00244DAF">
        <w:rPr>
          <w:rFonts w:cs="Arial"/>
          <w:sz w:val="22"/>
          <w:szCs w:val="22"/>
          <w:lang w:val="nl-BE"/>
        </w:rPr>
        <w:t>De vergoedingen met betrekking tot de diensten worden enkel via het online platform of door een tussenpersoon van het platform aan de dienstverlener betaald.</w:t>
      </w:r>
    </w:p>
    <w:p w14:paraId="0017B581" w14:textId="77777777" w:rsidR="001602C4" w:rsidRPr="00244DAF" w:rsidRDefault="001602C4" w:rsidP="00F16F62">
      <w:pPr>
        <w:spacing w:line="280" w:lineRule="exact"/>
        <w:jc w:val="both"/>
        <w:rPr>
          <w:rFonts w:cs="Arial"/>
          <w:sz w:val="22"/>
          <w:szCs w:val="22"/>
          <w:lang w:val="nl-BE"/>
        </w:rPr>
      </w:pPr>
    </w:p>
    <w:p w14:paraId="289AB81B" w14:textId="77777777" w:rsidR="001602C4" w:rsidRPr="00244DAF" w:rsidRDefault="00F16F62" w:rsidP="00F16F62">
      <w:pPr>
        <w:spacing w:line="280" w:lineRule="exact"/>
        <w:jc w:val="both"/>
        <w:rPr>
          <w:rFonts w:cs="Arial"/>
          <w:sz w:val="22"/>
          <w:szCs w:val="22"/>
          <w:lang w:val="nl-BE"/>
        </w:rPr>
      </w:pPr>
      <w:r w:rsidRPr="00244DAF">
        <w:rPr>
          <w:rFonts w:cs="Arial"/>
          <w:sz w:val="22"/>
          <w:szCs w:val="22"/>
          <w:lang w:val="nl-BE"/>
        </w:rPr>
        <w:t>Dit specifieke fiscale stelsel geldt echter enkel voor inkomsten onder de bovengrens van €5.000 (geïndexeerd bedrag). Indien die grens wordt overschreden, dan worden de volledige inkomsten beschouwd als gewone beroepsinkomsten voor het lopende jaar en het volgende jaar.</w:t>
      </w:r>
      <w:r w:rsidR="001602C4" w:rsidRPr="00244DAF">
        <w:rPr>
          <w:rFonts w:cs="Arial"/>
          <w:sz w:val="22"/>
          <w:szCs w:val="22"/>
          <w:lang w:val="nl-BE"/>
        </w:rPr>
        <w:t xml:space="preserve"> </w:t>
      </w:r>
    </w:p>
    <w:p w14:paraId="5295BE06" w14:textId="77777777" w:rsidR="00D83B11" w:rsidRPr="00244DAF" w:rsidRDefault="00F16F62" w:rsidP="00D83B11">
      <w:pPr>
        <w:spacing w:line="280" w:lineRule="exact"/>
        <w:jc w:val="both"/>
        <w:rPr>
          <w:rFonts w:cs="Arial"/>
          <w:sz w:val="22"/>
          <w:szCs w:val="22"/>
          <w:lang w:val="nl-BE"/>
        </w:rPr>
      </w:pPr>
      <w:r w:rsidRPr="00244DAF">
        <w:rPr>
          <w:rFonts w:cs="Arial"/>
          <w:sz w:val="22"/>
          <w:szCs w:val="22"/>
          <w:lang w:val="nl-BE"/>
        </w:rPr>
        <w:lastRenderedPageBreak/>
        <w:t>Het fiscale stelsel zoals voorzien is niet van toepassing op de inkomsten uit de levering van goederen of het verhuur van roerende of onroerende goederen.</w:t>
      </w:r>
      <w:r w:rsidR="00D83B11" w:rsidRPr="00244DAF">
        <w:rPr>
          <w:rFonts w:cs="Arial"/>
          <w:sz w:val="22"/>
          <w:szCs w:val="22"/>
          <w:lang w:val="nl-BE"/>
        </w:rPr>
        <w:t xml:space="preserve"> </w:t>
      </w:r>
    </w:p>
    <w:p w14:paraId="55A7C7F7" w14:textId="77777777" w:rsidR="00D83B11" w:rsidRPr="00244DAF" w:rsidRDefault="00D83B11" w:rsidP="00D83B11">
      <w:pPr>
        <w:spacing w:line="280" w:lineRule="exact"/>
        <w:jc w:val="both"/>
        <w:rPr>
          <w:rFonts w:cs="Arial"/>
          <w:b/>
          <w:color w:val="00A0CB"/>
          <w:sz w:val="22"/>
          <w:szCs w:val="22"/>
          <w:lang w:val="nl-BE"/>
        </w:rPr>
      </w:pPr>
    </w:p>
    <w:p w14:paraId="20AF3C21" w14:textId="609DAC60" w:rsidR="00D83B11" w:rsidRPr="00244DAF" w:rsidRDefault="00795127" w:rsidP="00D83B11">
      <w:pPr>
        <w:spacing w:line="280" w:lineRule="exact"/>
        <w:jc w:val="both"/>
        <w:rPr>
          <w:rFonts w:cs="Arial"/>
          <w:b/>
          <w:color w:val="00A0CB"/>
          <w:sz w:val="22"/>
          <w:szCs w:val="22"/>
          <w:lang w:val="nl-BE"/>
        </w:rPr>
      </w:pPr>
      <w:r>
        <w:rPr>
          <w:rFonts w:cs="Arial"/>
          <w:b/>
          <w:color w:val="00A0CB"/>
          <w:sz w:val="22"/>
          <w:szCs w:val="22"/>
          <w:lang w:val="nl-BE"/>
        </w:rPr>
        <w:t>Hoe staat het met de e</w:t>
      </w:r>
      <w:r w:rsidR="00F16F62" w:rsidRPr="00244DAF">
        <w:rPr>
          <w:rFonts w:cs="Arial"/>
          <w:b/>
          <w:color w:val="00A0CB"/>
          <w:sz w:val="22"/>
          <w:szCs w:val="22"/>
          <w:lang w:val="nl-BE"/>
        </w:rPr>
        <w:t>rkenning en formaliteiten?</w:t>
      </w:r>
    </w:p>
    <w:p w14:paraId="7DA278F4" w14:textId="77777777" w:rsidR="00F16F62" w:rsidRPr="00244DAF" w:rsidRDefault="00F16F62" w:rsidP="00F16F62">
      <w:pPr>
        <w:spacing w:line="280" w:lineRule="exact"/>
        <w:jc w:val="both"/>
        <w:rPr>
          <w:rFonts w:cs="Arial"/>
          <w:sz w:val="22"/>
          <w:szCs w:val="22"/>
          <w:lang w:val="nl-BE"/>
        </w:rPr>
      </w:pPr>
      <w:r w:rsidRPr="00244DAF">
        <w:rPr>
          <w:rFonts w:cs="Arial"/>
          <w:sz w:val="22"/>
          <w:szCs w:val="22"/>
          <w:lang w:val="nl-BE"/>
        </w:rPr>
        <w:t xml:space="preserve">Allereerst moeten de platformen die als tussenpersoon fungeren, erkend zijn. De erkenningsvoorwaarden moeten nog vastgelegd worden bij Koninklijk Besluit. Dat is nog niet gebeurd en daarom zal dit nieuwe fiscale stelsel later in werking treden dan voorzien. </w:t>
      </w:r>
    </w:p>
    <w:p w14:paraId="5D0726F8" w14:textId="77777777" w:rsidR="001602C4" w:rsidRPr="00244DAF" w:rsidRDefault="001602C4" w:rsidP="00F16F62">
      <w:pPr>
        <w:spacing w:line="280" w:lineRule="exact"/>
        <w:jc w:val="both"/>
        <w:rPr>
          <w:rFonts w:cs="Arial"/>
          <w:sz w:val="22"/>
          <w:szCs w:val="22"/>
          <w:lang w:val="nl-BE"/>
        </w:rPr>
      </w:pPr>
    </w:p>
    <w:p w14:paraId="766EDB85" w14:textId="77777777" w:rsidR="00D83B11" w:rsidRPr="00244DAF" w:rsidRDefault="00F16F62" w:rsidP="00F16F62">
      <w:pPr>
        <w:spacing w:line="280" w:lineRule="exact"/>
        <w:jc w:val="both"/>
        <w:rPr>
          <w:rFonts w:cs="Arial"/>
          <w:b/>
          <w:color w:val="00A0CB"/>
          <w:sz w:val="22"/>
          <w:szCs w:val="22"/>
          <w:lang w:val="nl-BE"/>
        </w:rPr>
      </w:pPr>
      <w:r w:rsidRPr="00244DAF">
        <w:rPr>
          <w:rFonts w:cs="Arial"/>
          <w:sz w:val="22"/>
          <w:szCs w:val="22"/>
          <w:lang w:val="nl-BE"/>
        </w:rPr>
        <w:t>Daarna zullen deze erkende platformen bedrijfsvoorheffing moeten inhouden op de vergoedingen die via hen passeren, die voorheffing moeten doorstorten naar de FOD Financiën en jaarlijks een inlichtingenfiche moeten opstellen.</w:t>
      </w:r>
    </w:p>
    <w:p w14:paraId="15E87EF2" w14:textId="77777777" w:rsidR="00F16F62" w:rsidRPr="00244DAF" w:rsidRDefault="00F16F62" w:rsidP="00D83B11">
      <w:pPr>
        <w:spacing w:line="280" w:lineRule="exact"/>
        <w:jc w:val="both"/>
        <w:rPr>
          <w:rFonts w:cs="Arial"/>
          <w:b/>
          <w:color w:val="00A0CB"/>
          <w:sz w:val="22"/>
          <w:szCs w:val="22"/>
          <w:lang w:val="fr-BE"/>
        </w:rPr>
      </w:pPr>
    </w:p>
    <w:p w14:paraId="135AC6AF" w14:textId="23BA877D" w:rsidR="00D83B11" w:rsidRPr="00244DAF" w:rsidRDefault="00795127" w:rsidP="00D83B11">
      <w:pPr>
        <w:spacing w:line="280" w:lineRule="exact"/>
        <w:jc w:val="both"/>
        <w:rPr>
          <w:rFonts w:cs="Arial"/>
          <w:b/>
          <w:color w:val="00A0CB"/>
          <w:sz w:val="22"/>
          <w:szCs w:val="22"/>
          <w:lang w:val="nl-BE"/>
        </w:rPr>
      </w:pPr>
      <w:r>
        <w:rPr>
          <w:rFonts w:cs="Arial"/>
          <w:b/>
          <w:color w:val="00A0CB"/>
          <w:sz w:val="22"/>
          <w:szCs w:val="22"/>
          <w:lang w:val="nl-BE"/>
        </w:rPr>
        <w:t xml:space="preserve">Hoe vertaalt dit zich </w:t>
      </w:r>
      <w:r w:rsidR="001602C4" w:rsidRPr="00244DAF">
        <w:rPr>
          <w:rFonts w:cs="Arial"/>
          <w:b/>
          <w:color w:val="00A0CB"/>
          <w:sz w:val="22"/>
          <w:szCs w:val="22"/>
          <w:lang w:val="nl-BE"/>
        </w:rPr>
        <w:t>In de praktijk</w:t>
      </w:r>
      <w:r>
        <w:rPr>
          <w:rFonts w:cs="Arial"/>
          <w:b/>
          <w:color w:val="00A0CB"/>
          <w:sz w:val="22"/>
          <w:szCs w:val="22"/>
          <w:lang w:val="nl-BE"/>
        </w:rPr>
        <w:t>?</w:t>
      </w:r>
    </w:p>
    <w:p w14:paraId="1C84E6F7" w14:textId="77777777" w:rsidR="00F16F62" w:rsidRPr="00244DAF" w:rsidRDefault="001602C4" w:rsidP="00D83B11">
      <w:pPr>
        <w:spacing w:line="280" w:lineRule="exact"/>
        <w:jc w:val="both"/>
        <w:rPr>
          <w:rFonts w:cs="Arial"/>
          <w:sz w:val="22"/>
          <w:szCs w:val="22"/>
          <w:lang w:val="nl-BE"/>
        </w:rPr>
      </w:pPr>
      <w:r w:rsidRPr="00244DAF">
        <w:rPr>
          <w:rFonts w:cs="Arial"/>
          <w:sz w:val="22"/>
          <w:szCs w:val="22"/>
          <w:lang w:val="nl-BE"/>
        </w:rPr>
        <w:t>We nemen 2 voorbeelden onder de loep:</w:t>
      </w:r>
    </w:p>
    <w:p w14:paraId="319D5ED5" w14:textId="77777777" w:rsidR="00D83B11" w:rsidRPr="00244DAF" w:rsidRDefault="001602C4" w:rsidP="001602C4">
      <w:pPr>
        <w:pStyle w:val="ListParagraph"/>
        <w:numPr>
          <w:ilvl w:val="0"/>
          <w:numId w:val="24"/>
        </w:numPr>
        <w:spacing w:line="280" w:lineRule="exact"/>
        <w:jc w:val="both"/>
        <w:rPr>
          <w:rFonts w:cs="Arial"/>
          <w:sz w:val="22"/>
          <w:szCs w:val="22"/>
          <w:lang w:val="nl-BE"/>
        </w:rPr>
      </w:pPr>
      <w:r w:rsidRPr="00244DAF">
        <w:rPr>
          <w:rFonts w:cs="Arial"/>
          <w:sz w:val="22"/>
          <w:szCs w:val="22"/>
          <w:lang w:val="nl-BE"/>
        </w:rPr>
        <w:t>Julien, een zelfstandig tuinier van beroep, biedt zijn diensten als tuinier ook aan in zijn vrije tijd via een erkend elektronisch platform. In een dergelijk geval komen de inkomsten die via het platform verlopen niet in aanmerking voor het nieuwe fiscale stelsel. Deze zullen beschouwd worden als beroepsinkomsten, net zoals de inkomsten die gegenereerd worden door zijn hoofdberoepsactiviteit.</w:t>
      </w:r>
    </w:p>
    <w:p w14:paraId="7D4BE7B1" w14:textId="77777777" w:rsidR="001602C4" w:rsidRPr="00244DAF" w:rsidRDefault="001602C4" w:rsidP="001602C4">
      <w:pPr>
        <w:pStyle w:val="ListParagraph"/>
        <w:spacing w:line="280" w:lineRule="exact"/>
        <w:ind w:left="1080"/>
        <w:jc w:val="both"/>
        <w:rPr>
          <w:rFonts w:cs="Arial"/>
          <w:sz w:val="22"/>
          <w:szCs w:val="22"/>
          <w:lang w:val="nl-BE"/>
        </w:rPr>
      </w:pPr>
    </w:p>
    <w:p w14:paraId="64047B18" w14:textId="77777777" w:rsidR="001602C4" w:rsidRPr="00244DAF" w:rsidRDefault="001602C4" w:rsidP="001602C4">
      <w:pPr>
        <w:pStyle w:val="ListParagraph"/>
        <w:numPr>
          <w:ilvl w:val="0"/>
          <w:numId w:val="24"/>
        </w:numPr>
        <w:spacing w:line="280" w:lineRule="exact"/>
        <w:jc w:val="both"/>
        <w:rPr>
          <w:rFonts w:cs="Arial"/>
          <w:sz w:val="22"/>
          <w:szCs w:val="22"/>
          <w:lang w:val="nl-BE"/>
        </w:rPr>
      </w:pPr>
      <w:r w:rsidRPr="00244DAF">
        <w:rPr>
          <w:rFonts w:cs="Arial"/>
          <w:sz w:val="22"/>
          <w:szCs w:val="22"/>
          <w:lang w:val="nl-BE"/>
        </w:rPr>
        <w:t>Thomas, een (loontrekkende) arbeider uit de bouwsector, biedt zijn diensten aan als stukadoor via een erkend elektronisch platform. De inkomsten die voortvloeien uit deze activiteit zullen daarentegen wel het specifieke fiscale stelsel kunnen genieten, indien de volgende voorwaarden vervuld zijn:</w:t>
      </w:r>
    </w:p>
    <w:p w14:paraId="1AF3230F" w14:textId="77777777" w:rsidR="001602C4" w:rsidRPr="00244DAF" w:rsidRDefault="001602C4" w:rsidP="001602C4">
      <w:pPr>
        <w:pStyle w:val="ListParagraph"/>
        <w:numPr>
          <w:ilvl w:val="1"/>
          <w:numId w:val="24"/>
        </w:numPr>
        <w:spacing w:line="280" w:lineRule="exact"/>
        <w:jc w:val="both"/>
        <w:rPr>
          <w:rFonts w:cs="Arial"/>
          <w:sz w:val="22"/>
          <w:szCs w:val="22"/>
          <w:lang w:val="nl-BE"/>
        </w:rPr>
      </w:pPr>
      <w:r w:rsidRPr="00244DAF">
        <w:rPr>
          <w:rFonts w:cs="Arial"/>
          <w:sz w:val="22"/>
          <w:szCs w:val="22"/>
          <w:lang w:val="nl-BE"/>
        </w:rPr>
        <w:t>Indien de inkomsten van Thomas die in 2016 voortvloeien uit de deeleconomie €2.000 bedragen (onder de bovengrens), dan kunnen ze de aanslagvoet van 20% (en de forfaitaire vermindering) genieten.</w:t>
      </w:r>
    </w:p>
    <w:p w14:paraId="7C94BA08" w14:textId="77777777" w:rsidR="00D83B11" w:rsidRPr="00244DAF" w:rsidRDefault="001602C4" w:rsidP="001602C4">
      <w:pPr>
        <w:pStyle w:val="ListParagraph"/>
        <w:numPr>
          <w:ilvl w:val="1"/>
          <w:numId w:val="24"/>
        </w:numPr>
        <w:spacing w:line="280" w:lineRule="exact"/>
        <w:jc w:val="both"/>
        <w:rPr>
          <w:rFonts w:cs="Arial"/>
          <w:sz w:val="22"/>
          <w:szCs w:val="22"/>
          <w:lang w:val="nl-BE"/>
        </w:rPr>
      </w:pPr>
      <w:r w:rsidRPr="00244DAF">
        <w:rPr>
          <w:rFonts w:cs="Arial"/>
          <w:sz w:val="22"/>
          <w:szCs w:val="22"/>
          <w:lang w:val="nl-BE"/>
        </w:rPr>
        <w:t>Indien Thomas in 2017 via het erkend platform €6.000 verdient (boven de bovengrens), dan zullen zijn inkomsten van 2017 en die van 2018 beschouwd worden als beroepsinkomsten en niet in aanmerking komen voor het specifieke stelsel.</w:t>
      </w:r>
      <w:r w:rsidR="00D83B11" w:rsidRPr="00244DAF">
        <w:rPr>
          <w:rFonts w:cs="Arial"/>
          <w:b/>
          <w:color w:val="00A0CB"/>
          <w:sz w:val="22"/>
          <w:szCs w:val="22"/>
          <w:lang w:val="nl-BE"/>
        </w:rPr>
        <w:t xml:space="preserve"> </w:t>
      </w:r>
    </w:p>
    <w:p w14:paraId="70B1BEF6" w14:textId="77777777" w:rsidR="00D83B11" w:rsidRPr="00244DAF" w:rsidRDefault="00D83B11" w:rsidP="00D83B11">
      <w:pPr>
        <w:spacing w:line="280" w:lineRule="exact"/>
        <w:jc w:val="both"/>
        <w:rPr>
          <w:rFonts w:cs="Arial"/>
          <w:b/>
          <w:color w:val="00A0CB"/>
          <w:sz w:val="22"/>
          <w:szCs w:val="22"/>
          <w:lang w:val="nl-BE"/>
        </w:rPr>
      </w:pPr>
    </w:p>
    <w:p w14:paraId="6DF7DF85" w14:textId="77777777" w:rsidR="00D83B11" w:rsidRPr="00244DAF" w:rsidRDefault="001602C4" w:rsidP="00D83B11">
      <w:pPr>
        <w:spacing w:line="280" w:lineRule="exact"/>
        <w:jc w:val="both"/>
        <w:rPr>
          <w:rFonts w:cs="Arial"/>
          <w:b/>
          <w:color w:val="00A0CB"/>
          <w:sz w:val="22"/>
          <w:szCs w:val="22"/>
          <w:lang w:val="fr-BE"/>
        </w:rPr>
      </w:pPr>
      <w:r w:rsidRPr="00244DAF">
        <w:rPr>
          <w:rFonts w:cs="Arial"/>
          <w:b/>
          <w:color w:val="00A0CB"/>
          <w:sz w:val="22"/>
          <w:szCs w:val="22"/>
          <w:lang w:val="fr-BE"/>
        </w:rPr>
        <w:t>En nu?</w:t>
      </w:r>
    </w:p>
    <w:p w14:paraId="5946F0C5" w14:textId="1BEAD14B" w:rsidR="0073727E" w:rsidRPr="00244DAF" w:rsidRDefault="00795127" w:rsidP="003C52F1">
      <w:pPr>
        <w:spacing w:line="280" w:lineRule="exact"/>
        <w:jc w:val="both"/>
        <w:rPr>
          <w:rFonts w:cs="Arial"/>
          <w:sz w:val="22"/>
          <w:szCs w:val="22"/>
          <w:lang w:val="nl-BE"/>
        </w:rPr>
      </w:pPr>
      <w:r>
        <w:rPr>
          <w:rFonts w:cs="Arial"/>
          <w:sz w:val="22"/>
          <w:szCs w:val="22"/>
          <w:lang w:val="nl-BE"/>
        </w:rPr>
        <w:t xml:space="preserve">Nu is het wachten </w:t>
      </w:r>
      <w:r w:rsidR="001602C4" w:rsidRPr="00244DAF">
        <w:rPr>
          <w:rFonts w:cs="Arial"/>
          <w:sz w:val="22"/>
          <w:szCs w:val="22"/>
          <w:lang w:val="nl-BE"/>
        </w:rPr>
        <w:t>op de publicatie van de erkenningscriteria voor de platformen vooraleer het nieuwe stelsel toegepast zal kunnen worden op deze nieuwe vorm van inkomsten.</w:t>
      </w:r>
      <w:r w:rsidR="00560EF7" w:rsidRPr="00244DAF">
        <w:rPr>
          <w:rFonts w:cs="Arial"/>
          <w:sz w:val="22"/>
          <w:szCs w:val="22"/>
          <w:lang w:val="nl-BE"/>
        </w:rPr>
        <w:t xml:space="preserve"> </w:t>
      </w:r>
    </w:p>
    <w:p w14:paraId="118F8E5C" w14:textId="77777777" w:rsidR="007D2BBB" w:rsidRPr="00244DAF" w:rsidRDefault="007D2BBB" w:rsidP="007D2BBB">
      <w:pPr>
        <w:spacing w:line="280" w:lineRule="exact"/>
        <w:rPr>
          <w:rFonts w:cs="Arial"/>
          <w:sz w:val="22"/>
          <w:szCs w:val="22"/>
          <w:lang w:val="nl-BE"/>
        </w:rPr>
      </w:pPr>
    </w:p>
    <w:p w14:paraId="4B551C43" w14:textId="77777777" w:rsidR="007D2BBB" w:rsidRDefault="007D2BBB" w:rsidP="007D2BBB">
      <w:pPr>
        <w:spacing w:line="280" w:lineRule="exact"/>
        <w:rPr>
          <w:rFonts w:cs="Arial"/>
          <w:sz w:val="22"/>
          <w:szCs w:val="22"/>
          <w:lang w:val="nl-BE"/>
        </w:rPr>
      </w:pPr>
    </w:p>
    <w:p w14:paraId="1B2A2310" w14:textId="77777777" w:rsidR="00244DAF" w:rsidRDefault="00244DAF" w:rsidP="007D2BBB">
      <w:pPr>
        <w:spacing w:line="280" w:lineRule="exact"/>
        <w:rPr>
          <w:rFonts w:cs="Arial"/>
          <w:sz w:val="22"/>
          <w:szCs w:val="22"/>
          <w:lang w:val="nl-BE"/>
        </w:rPr>
      </w:pPr>
    </w:p>
    <w:p w14:paraId="3A8FE5CB" w14:textId="77777777" w:rsidR="00244DAF" w:rsidRPr="00624A03" w:rsidRDefault="00244DAF" w:rsidP="00244DAF">
      <w:pPr>
        <w:jc w:val="both"/>
        <w:rPr>
          <w:rFonts w:cs="Arial"/>
          <w:color w:val="F6A500"/>
          <w:sz w:val="28"/>
          <w:szCs w:val="28"/>
          <w:lang w:val="nl-NL"/>
        </w:rPr>
      </w:pPr>
      <w:r w:rsidRPr="00624A03">
        <w:rPr>
          <w:rFonts w:cs="Arial"/>
          <w:color w:val="F6A500"/>
          <w:sz w:val="28"/>
          <w:szCs w:val="28"/>
          <w:lang w:val="nl-NL"/>
        </w:rPr>
        <w:t xml:space="preserve">Over </w:t>
      </w:r>
      <w:proofErr w:type="spellStart"/>
      <w:r w:rsidRPr="00624A03">
        <w:rPr>
          <w:rFonts w:cs="Arial"/>
          <w:color w:val="F6A500"/>
          <w:sz w:val="28"/>
          <w:szCs w:val="28"/>
          <w:lang w:val="nl-NL"/>
        </w:rPr>
        <w:t>Partena</w:t>
      </w:r>
      <w:proofErr w:type="spellEnd"/>
      <w:r w:rsidRPr="00624A03">
        <w:rPr>
          <w:rFonts w:cs="Arial"/>
          <w:color w:val="F6A500"/>
          <w:sz w:val="28"/>
          <w:szCs w:val="28"/>
          <w:lang w:val="nl-NL"/>
        </w:rPr>
        <w:t xml:space="preserve"> Professional</w:t>
      </w:r>
    </w:p>
    <w:p w14:paraId="3D6F7370" w14:textId="77777777" w:rsidR="00244DAF" w:rsidRPr="00DA1955" w:rsidRDefault="00244DAF" w:rsidP="00244DAF">
      <w:pPr>
        <w:jc w:val="both"/>
        <w:rPr>
          <w:rFonts w:cs="Arial"/>
          <w:b/>
          <w:color w:val="404040" w:themeColor="text1" w:themeTint="BF"/>
          <w:sz w:val="24"/>
          <w:lang w:val="fr-FR"/>
        </w:rPr>
      </w:pPr>
      <w:r w:rsidRPr="00BD64B8">
        <w:rPr>
          <w:b/>
          <w:sz w:val="18"/>
          <w:szCs w:val="18"/>
          <w:lang w:val="nl-NL"/>
        </w:rPr>
        <w:br/>
      </w:r>
      <w:proofErr w:type="spellStart"/>
      <w:r w:rsidRPr="00994357">
        <w:rPr>
          <w:szCs w:val="20"/>
          <w:lang w:val="nl-NL"/>
        </w:rPr>
        <w:t>Partena</w:t>
      </w:r>
      <w:proofErr w:type="spellEnd"/>
      <w:r w:rsidRPr="00994357">
        <w:rPr>
          <w:szCs w:val="20"/>
          <w:lang w:val="nl-NL"/>
        </w:rPr>
        <w:t xml:space="preserve"> Professional is een dienstverlener met een sterke focus op ondernemerschap en personeelsbeleid. </w:t>
      </w:r>
      <w:proofErr w:type="spellStart"/>
      <w:r w:rsidRPr="00994357">
        <w:rPr>
          <w:szCs w:val="20"/>
          <w:lang w:val="nl-NL"/>
        </w:rPr>
        <w:t>Partena</w:t>
      </w:r>
      <w:proofErr w:type="spellEnd"/>
      <w:r w:rsidRPr="00994357">
        <w:rPr>
          <w:szCs w:val="20"/>
          <w:lang w:val="nl-NL"/>
        </w:rPr>
        <w:t xml:space="preserve"> Professional ondersteunt en begeleidt starters, </w:t>
      </w:r>
      <w:proofErr w:type="spellStart"/>
      <w:r w:rsidRPr="00994357">
        <w:rPr>
          <w:szCs w:val="20"/>
          <w:lang w:val="nl-NL"/>
        </w:rPr>
        <w:t>KMO’s</w:t>
      </w:r>
      <w:proofErr w:type="spellEnd"/>
      <w:r w:rsidRPr="00994357">
        <w:rPr>
          <w:szCs w:val="20"/>
          <w:lang w:val="nl-NL"/>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lang w:val="nl-NL"/>
          </w:rPr>
          <w:t>www.partena-professional.be</w:t>
        </w:r>
      </w:hyperlink>
      <w:r>
        <w:rPr>
          <w:rStyle w:val="Hyperlink"/>
          <w:szCs w:val="20"/>
          <w:lang w:val="nl-NL"/>
        </w:rPr>
        <w:t>.</w:t>
      </w:r>
    </w:p>
    <w:p w14:paraId="77AC6F98" w14:textId="77777777" w:rsidR="00244DAF" w:rsidRPr="00244DAF" w:rsidRDefault="00244DAF" w:rsidP="007D2BBB">
      <w:pPr>
        <w:spacing w:line="280" w:lineRule="exact"/>
        <w:rPr>
          <w:rFonts w:cs="Arial"/>
          <w:sz w:val="22"/>
          <w:szCs w:val="22"/>
          <w:lang w:val="nl-BE"/>
        </w:rPr>
      </w:pPr>
    </w:p>
    <w:sectPr w:rsidR="00244DAF" w:rsidRPr="00244DAF"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6306" w14:textId="77777777" w:rsidR="00F16F62" w:rsidRDefault="00F16F62">
      <w:r>
        <w:separator/>
      </w:r>
    </w:p>
  </w:endnote>
  <w:endnote w:type="continuationSeparator" w:id="0">
    <w:p w14:paraId="0077700A" w14:textId="77777777" w:rsidR="00F16F62" w:rsidRDefault="00F1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1FAD" w14:textId="77777777" w:rsidR="00F16F62" w:rsidRPr="00CB07BB" w:rsidRDefault="00F16F62">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4CEDED62" wp14:editId="5EB8B77E">
              <wp:simplePos x="0" y="0"/>
              <wp:positionH relativeFrom="column">
                <wp:posOffset>-36195</wp:posOffset>
              </wp:positionH>
              <wp:positionV relativeFrom="paragraph">
                <wp:posOffset>-45720</wp:posOffset>
              </wp:positionV>
              <wp:extent cx="6132195" cy="0"/>
              <wp:effectExtent l="6985" t="7620" r="13970"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7DB91"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CJ41TI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6F645661" wp14:editId="7752BFDF">
              <wp:simplePos x="0" y="0"/>
              <wp:positionH relativeFrom="column">
                <wp:posOffset>5842000</wp:posOffset>
              </wp:positionH>
              <wp:positionV relativeFrom="paragraph">
                <wp:posOffset>-55245</wp:posOffset>
              </wp:positionV>
              <wp:extent cx="5715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B8EF" w14:textId="77777777" w:rsidR="00F16F62" w:rsidRDefault="00F16F62">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C7CB4">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C7CB4">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0r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TOs/0rMCAAC4BQAADgAA&#10;AAAAAAAAAAAAAAAsAgAAZHJzL2Uyb0RvYy54bWxQSwECLQAUAAYACAAAACEAcc+dI90AAAAKAQAA&#10;DwAAAAAAAAAAAAAAAAALBQAAZHJzL2Rvd25yZXYueG1sUEsFBgAAAAAEAAQA8wAAABUGAAAAAA==&#10;" filled="f" stroked="f">
              <v:textbox>
                <w:txbxContent>
                  <w:p w14:paraId="3C97B8EF" w14:textId="77777777" w:rsidR="00F16F62" w:rsidRDefault="00F16F62">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C7CB4">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C7CB4">
                      <w:rPr>
                        <w:rStyle w:val="PageNumber"/>
                        <w:rFonts w:cs="Arial"/>
                        <w:noProof/>
                        <w:sz w:val="16"/>
                      </w:rPr>
                      <w:t>2</w:t>
                    </w:r>
                    <w:r w:rsidRPr="00513D1D">
                      <w:rPr>
                        <w:rStyle w:val="PageNumber"/>
                        <w:rFonts w:cs="Arial"/>
                        <w:sz w:val="16"/>
                      </w:rPr>
                      <w:fldChar w:fldCharType="end"/>
                    </w:r>
                  </w:p>
                </w:txbxContent>
              </v:textbox>
            </v:shape>
          </w:pict>
        </mc:Fallback>
      </mc:AlternateContent>
    </w:r>
    <w:r w:rsidR="00244DAF">
      <w:rPr>
        <w:rFonts w:ascii="Arial" w:hAnsi="Arial" w:cs="Arial"/>
        <w:sz w:val="16"/>
        <w:lang w:val="nl-BE"/>
      </w:rPr>
      <w:t>September</w:t>
    </w:r>
    <w:r>
      <w:rPr>
        <w:rFonts w:ascii="Arial" w:hAnsi="Arial" w:cs="Arial"/>
        <w:sz w:val="16"/>
        <w:lang w:val="nl-BE"/>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469C" w14:textId="77777777" w:rsidR="00F16F62" w:rsidRDefault="00F16F62">
      <w:r>
        <w:separator/>
      </w:r>
    </w:p>
  </w:footnote>
  <w:footnote w:type="continuationSeparator" w:id="0">
    <w:p w14:paraId="4A817828" w14:textId="77777777" w:rsidR="00F16F62" w:rsidRDefault="00F16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A34F" w14:textId="77777777" w:rsidR="00F16F62" w:rsidRDefault="00F16F62" w:rsidP="00CC3F32">
    <w:pPr>
      <w:pStyle w:val="Header"/>
      <w:jc w:val="center"/>
    </w:pPr>
    <w:r>
      <w:rPr>
        <w:noProof/>
      </w:rPr>
      <w:drawing>
        <wp:inline distT="0" distB="0" distL="0" distR="0" wp14:anchorId="14B762D2" wp14:editId="5A56BF18">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457EDD75" w14:textId="77777777" w:rsidR="00F16F62" w:rsidRDefault="00F16F62"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A22BC"/>
    <w:multiLevelType w:val="hybridMultilevel"/>
    <w:tmpl w:val="6A7E0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AEA"/>
    <w:multiLevelType w:val="hybridMultilevel"/>
    <w:tmpl w:val="0BD4FF7A"/>
    <w:lvl w:ilvl="0" w:tplc="2A4627F2">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F471D0B"/>
    <w:multiLevelType w:val="hybridMultilevel"/>
    <w:tmpl w:val="B1E072C4"/>
    <w:lvl w:ilvl="0" w:tplc="0FFCAEB4">
      <w:start w:val="1"/>
      <w:numFmt w:val="decimal"/>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8E3A0F"/>
    <w:multiLevelType w:val="hybridMultilevel"/>
    <w:tmpl w:val="51AEFE7A"/>
    <w:lvl w:ilvl="0" w:tplc="2A4627F2">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DC26BF"/>
    <w:multiLevelType w:val="hybridMultilevel"/>
    <w:tmpl w:val="AC04C7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10"/>
  </w:num>
  <w:num w:numId="5">
    <w:abstractNumId w:val="1"/>
  </w:num>
  <w:num w:numId="6">
    <w:abstractNumId w:val="8"/>
  </w:num>
  <w:num w:numId="7">
    <w:abstractNumId w:val="2"/>
  </w:num>
  <w:num w:numId="8">
    <w:abstractNumId w:val="5"/>
  </w:num>
  <w:num w:numId="9">
    <w:abstractNumId w:val="21"/>
  </w:num>
  <w:num w:numId="10">
    <w:abstractNumId w:val="13"/>
  </w:num>
  <w:num w:numId="11">
    <w:abstractNumId w:val="15"/>
  </w:num>
  <w:num w:numId="12">
    <w:abstractNumId w:val="4"/>
  </w:num>
  <w:num w:numId="13">
    <w:abstractNumId w:val="22"/>
  </w:num>
  <w:num w:numId="14">
    <w:abstractNumId w:val="11"/>
  </w:num>
  <w:num w:numId="15">
    <w:abstractNumId w:val="12"/>
  </w:num>
  <w:num w:numId="16">
    <w:abstractNumId w:val="24"/>
  </w:num>
  <w:num w:numId="17">
    <w:abstractNumId w:val="18"/>
  </w:num>
  <w:num w:numId="18">
    <w:abstractNumId w:val="19"/>
  </w:num>
  <w:num w:numId="19">
    <w:abstractNumId w:val="23"/>
  </w:num>
  <w:num w:numId="20">
    <w:abstractNumId w:val="6"/>
  </w:num>
  <w:num w:numId="21">
    <w:abstractNumId w:val="3"/>
  </w:num>
  <w:num w:numId="22">
    <w:abstractNumId w:val="14"/>
  </w:num>
  <w:num w:numId="23">
    <w:abstractNumId w:val="7"/>
  </w:num>
  <w:num w:numId="24">
    <w:abstractNumId w:val="9"/>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78F"/>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E6307"/>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2C4"/>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C7852"/>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143A"/>
    <w:rsid w:val="00232A38"/>
    <w:rsid w:val="00237398"/>
    <w:rsid w:val="00237412"/>
    <w:rsid w:val="002430CD"/>
    <w:rsid w:val="00244DAF"/>
    <w:rsid w:val="00245611"/>
    <w:rsid w:val="00254CCF"/>
    <w:rsid w:val="00260AD8"/>
    <w:rsid w:val="00262F71"/>
    <w:rsid w:val="002647B4"/>
    <w:rsid w:val="0027610F"/>
    <w:rsid w:val="00281109"/>
    <w:rsid w:val="00282A40"/>
    <w:rsid w:val="00290EF5"/>
    <w:rsid w:val="002960B1"/>
    <w:rsid w:val="002963DE"/>
    <w:rsid w:val="002971E3"/>
    <w:rsid w:val="002A0503"/>
    <w:rsid w:val="002A08D0"/>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269C"/>
    <w:rsid w:val="002F79FB"/>
    <w:rsid w:val="002F7B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52F1"/>
    <w:rsid w:val="003C6862"/>
    <w:rsid w:val="003D0FC0"/>
    <w:rsid w:val="003D14B6"/>
    <w:rsid w:val="003D29E5"/>
    <w:rsid w:val="003D2D44"/>
    <w:rsid w:val="003D2EFA"/>
    <w:rsid w:val="003D4A7D"/>
    <w:rsid w:val="003D5368"/>
    <w:rsid w:val="003D5DD7"/>
    <w:rsid w:val="003D6A1E"/>
    <w:rsid w:val="003D7B4F"/>
    <w:rsid w:val="003E177F"/>
    <w:rsid w:val="003E2F70"/>
    <w:rsid w:val="003E3A65"/>
    <w:rsid w:val="003E40BC"/>
    <w:rsid w:val="003E5E28"/>
    <w:rsid w:val="003F1046"/>
    <w:rsid w:val="003F1376"/>
    <w:rsid w:val="003F6949"/>
    <w:rsid w:val="00401562"/>
    <w:rsid w:val="004028DE"/>
    <w:rsid w:val="00402CC6"/>
    <w:rsid w:val="00403541"/>
    <w:rsid w:val="0040497D"/>
    <w:rsid w:val="00407F85"/>
    <w:rsid w:val="004106B1"/>
    <w:rsid w:val="00422FFB"/>
    <w:rsid w:val="00432F5D"/>
    <w:rsid w:val="00433113"/>
    <w:rsid w:val="00441D35"/>
    <w:rsid w:val="0044706F"/>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459C"/>
    <w:rsid w:val="004A6E43"/>
    <w:rsid w:val="004A7EC0"/>
    <w:rsid w:val="004B2CAA"/>
    <w:rsid w:val="004B3726"/>
    <w:rsid w:val="004B4EF3"/>
    <w:rsid w:val="004B7187"/>
    <w:rsid w:val="004C09D6"/>
    <w:rsid w:val="004C1CAF"/>
    <w:rsid w:val="004C2A3D"/>
    <w:rsid w:val="004C515F"/>
    <w:rsid w:val="004C7CEE"/>
    <w:rsid w:val="004D56BE"/>
    <w:rsid w:val="004D5F3B"/>
    <w:rsid w:val="004E0BEC"/>
    <w:rsid w:val="004E2569"/>
    <w:rsid w:val="004E390A"/>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60EF7"/>
    <w:rsid w:val="0056220C"/>
    <w:rsid w:val="0056455F"/>
    <w:rsid w:val="005665A5"/>
    <w:rsid w:val="00567595"/>
    <w:rsid w:val="005677F8"/>
    <w:rsid w:val="005720BC"/>
    <w:rsid w:val="005729CA"/>
    <w:rsid w:val="00573DFB"/>
    <w:rsid w:val="00574086"/>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3F35"/>
    <w:rsid w:val="005F507A"/>
    <w:rsid w:val="005F6469"/>
    <w:rsid w:val="00602D93"/>
    <w:rsid w:val="006061AE"/>
    <w:rsid w:val="0061036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1B8"/>
    <w:rsid w:val="00650DF9"/>
    <w:rsid w:val="0065130C"/>
    <w:rsid w:val="0065243F"/>
    <w:rsid w:val="006528ED"/>
    <w:rsid w:val="006565A3"/>
    <w:rsid w:val="00657F89"/>
    <w:rsid w:val="00661BC9"/>
    <w:rsid w:val="006637E0"/>
    <w:rsid w:val="006639B1"/>
    <w:rsid w:val="00671D35"/>
    <w:rsid w:val="00672160"/>
    <w:rsid w:val="00680F0E"/>
    <w:rsid w:val="00681007"/>
    <w:rsid w:val="00690B88"/>
    <w:rsid w:val="00690F93"/>
    <w:rsid w:val="00692830"/>
    <w:rsid w:val="006928D1"/>
    <w:rsid w:val="00692AE8"/>
    <w:rsid w:val="00696071"/>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3A6A"/>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3C85"/>
    <w:rsid w:val="0076420A"/>
    <w:rsid w:val="00770A53"/>
    <w:rsid w:val="00774826"/>
    <w:rsid w:val="00781692"/>
    <w:rsid w:val="00785087"/>
    <w:rsid w:val="00786128"/>
    <w:rsid w:val="00786C01"/>
    <w:rsid w:val="00787007"/>
    <w:rsid w:val="007913C0"/>
    <w:rsid w:val="00793C31"/>
    <w:rsid w:val="00795127"/>
    <w:rsid w:val="00795789"/>
    <w:rsid w:val="0079583B"/>
    <w:rsid w:val="00796BD2"/>
    <w:rsid w:val="007A3644"/>
    <w:rsid w:val="007A3C41"/>
    <w:rsid w:val="007A627A"/>
    <w:rsid w:val="007B11E0"/>
    <w:rsid w:val="007B7DAA"/>
    <w:rsid w:val="007C3189"/>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1985"/>
    <w:rsid w:val="00803E50"/>
    <w:rsid w:val="008051A9"/>
    <w:rsid w:val="00814E85"/>
    <w:rsid w:val="008153D0"/>
    <w:rsid w:val="00816AC0"/>
    <w:rsid w:val="008202A1"/>
    <w:rsid w:val="008231DE"/>
    <w:rsid w:val="00824EF7"/>
    <w:rsid w:val="0082747F"/>
    <w:rsid w:val="00827821"/>
    <w:rsid w:val="00831645"/>
    <w:rsid w:val="00831AAE"/>
    <w:rsid w:val="00840D33"/>
    <w:rsid w:val="00846235"/>
    <w:rsid w:val="00850EAC"/>
    <w:rsid w:val="00860314"/>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C7B0E"/>
    <w:rsid w:val="008D0DD1"/>
    <w:rsid w:val="008D15FA"/>
    <w:rsid w:val="008D4174"/>
    <w:rsid w:val="008D4D35"/>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5E38"/>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B7175"/>
    <w:rsid w:val="00AC031F"/>
    <w:rsid w:val="00AC44F5"/>
    <w:rsid w:val="00AC6812"/>
    <w:rsid w:val="00AC7FEA"/>
    <w:rsid w:val="00AD081A"/>
    <w:rsid w:val="00AD0F86"/>
    <w:rsid w:val="00AD640B"/>
    <w:rsid w:val="00AD6A40"/>
    <w:rsid w:val="00AE1B70"/>
    <w:rsid w:val="00AE2288"/>
    <w:rsid w:val="00AE2559"/>
    <w:rsid w:val="00AE2D88"/>
    <w:rsid w:val="00AF38AD"/>
    <w:rsid w:val="00AF473E"/>
    <w:rsid w:val="00AF6BD7"/>
    <w:rsid w:val="00B068FA"/>
    <w:rsid w:val="00B073D4"/>
    <w:rsid w:val="00B107FB"/>
    <w:rsid w:val="00B1170D"/>
    <w:rsid w:val="00B13C0D"/>
    <w:rsid w:val="00B14F3B"/>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07B3"/>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BF373E"/>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67A95"/>
    <w:rsid w:val="00C70297"/>
    <w:rsid w:val="00C70889"/>
    <w:rsid w:val="00C72E36"/>
    <w:rsid w:val="00C82919"/>
    <w:rsid w:val="00C931BC"/>
    <w:rsid w:val="00C9561E"/>
    <w:rsid w:val="00C9688B"/>
    <w:rsid w:val="00CA28F5"/>
    <w:rsid w:val="00CA384D"/>
    <w:rsid w:val="00CA708F"/>
    <w:rsid w:val="00CA7A4F"/>
    <w:rsid w:val="00CB07BB"/>
    <w:rsid w:val="00CB1144"/>
    <w:rsid w:val="00CB4519"/>
    <w:rsid w:val="00CB771C"/>
    <w:rsid w:val="00CC3F32"/>
    <w:rsid w:val="00CC619D"/>
    <w:rsid w:val="00CC7CB4"/>
    <w:rsid w:val="00CD34A3"/>
    <w:rsid w:val="00CD6B40"/>
    <w:rsid w:val="00CD6D2F"/>
    <w:rsid w:val="00CE025B"/>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2D75"/>
    <w:rsid w:val="00D13939"/>
    <w:rsid w:val="00D14789"/>
    <w:rsid w:val="00D1523E"/>
    <w:rsid w:val="00D24290"/>
    <w:rsid w:val="00D25FFF"/>
    <w:rsid w:val="00D32F37"/>
    <w:rsid w:val="00D335D3"/>
    <w:rsid w:val="00D34963"/>
    <w:rsid w:val="00D40592"/>
    <w:rsid w:val="00D42584"/>
    <w:rsid w:val="00D44E5F"/>
    <w:rsid w:val="00D4732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6D0"/>
    <w:rsid w:val="00D76C1A"/>
    <w:rsid w:val="00D81662"/>
    <w:rsid w:val="00D820EB"/>
    <w:rsid w:val="00D83B11"/>
    <w:rsid w:val="00D83B76"/>
    <w:rsid w:val="00D862ED"/>
    <w:rsid w:val="00D87040"/>
    <w:rsid w:val="00D8794E"/>
    <w:rsid w:val="00D912DD"/>
    <w:rsid w:val="00DA352A"/>
    <w:rsid w:val="00DB3AB9"/>
    <w:rsid w:val="00DB3B5C"/>
    <w:rsid w:val="00DB4B74"/>
    <w:rsid w:val="00DC55FF"/>
    <w:rsid w:val="00DC5972"/>
    <w:rsid w:val="00DC6348"/>
    <w:rsid w:val="00DC6CD0"/>
    <w:rsid w:val="00DD0AF2"/>
    <w:rsid w:val="00DD24EF"/>
    <w:rsid w:val="00DD4834"/>
    <w:rsid w:val="00DE13D4"/>
    <w:rsid w:val="00DE1C69"/>
    <w:rsid w:val="00DE3163"/>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324"/>
    <w:rsid w:val="00E27676"/>
    <w:rsid w:val="00E27791"/>
    <w:rsid w:val="00E325DE"/>
    <w:rsid w:val="00E330B8"/>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16F62"/>
    <w:rsid w:val="00F21470"/>
    <w:rsid w:val="00F2346C"/>
    <w:rsid w:val="00F2720E"/>
    <w:rsid w:val="00F35C41"/>
    <w:rsid w:val="00F37B7F"/>
    <w:rsid w:val="00F40C14"/>
    <w:rsid w:val="00F43408"/>
    <w:rsid w:val="00F43B31"/>
    <w:rsid w:val="00F448DC"/>
    <w:rsid w:val="00F536FC"/>
    <w:rsid w:val="00F53870"/>
    <w:rsid w:val="00F5439D"/>
    <w:rsid w:val="00F54BC7"/>
    <w:rsid w:val="00F57289"/>
    <w:rsid w:val="00F57AFF"/>
    <w:rsid w:val="00F61417"/>
    <w:rsid w:val="00F61F2B"/>
    <w:rsid w:val="00F64E6C"/>
    <w:rsid w:val="00F6586B"/>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6C71"/>
    <w:rsid w:val="00FB77A0"/>
    <w:rsid w:val="00FC1AC7"/>
    <w:rsid w:val="00FC323E"/>
    <w:rsid w:val="00FC44A0"/>
    <w:rsid w:val="00FC7A4F"/>
    <w:rsid w:val="00FD5B38"/>
    <w:rsid w:val="00FD72E0"/>
    <w:rsid w:val="00FD7DD0"/>
    <w:rsid w:val="00FE059B"/>
    <w:rsid w:val="00FE4C92"/>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5F79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D83B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D8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4171</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4893</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6</cp:revision>
  <cp:lastPrinted>2016-09-23T09:50:00Z</cp:lastPrinted>
  <dcterms:created xsi:type="dcterms:W3CDTF">2016-09-26T08:49:00Z</dcterms:created>
  <dcterms:modified xsi:type="dcterms:W3CDTF">2016-09-26T09:39:00Z</dcterms:modified>
</cp:coreProperties>
</file>