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5642"/>
        <w:gridCol w:w="1979"/>
        <w:gridCol w:w="1902"/>
      </w:tblGrid>
      <w:tr w:rsidR="002A29FC" w:rsidTr="00C37349">
        <w:trPr>
          <w:trHeight w:val="433"/>
        </w:trPr>
        <w:tc>
          <w:tcPr>
            <w:tcW w:w="7621" w:type="dxa"/>
            <w:gridSpan w:val="2"/>
          </w:tcPr>
          <w:p w:rsidR="002A29FC" w:rsidRPr="00B612A0" w:rsidRDefault="002A29FC" w:rsidP="00C37349">
            <w:pPr>
              <w:rPr>
                <w:b/>
                <w:bCs/>
                <w:color w:val="00A0CB"/>
                <w:spacing w:val="38"/>
                <w:sz w:val="36"/>
                <w:szCs w:val="36"/>
                <w:lang w:val="nl-BE"/>
              </w:rPr>
            </w:pPr>
            <w:r>
              <w:rPr>
                <w:b/>
                <w:bCs/>
                <w:color w:val="00A0CB"/>
                <w:spacing w:val="38"/>
                <w:sz w:val="36"/>
                <w:szCs w:val="36"/>
                <w:lang w:val="nl-BE"/>
              </w:rPr>
              <w:t xml:space="preserve">Question à un </w:t>
            </w:r>
            <w:r w:rsidRPr="00B612A0">
              <w:rPr>
                <w:b/>
                <w:bCs/>
                <w:color w:val="00A0CB"/>
                <w:spacing w:val="38"/>
                <w:sz w:val="36"/>
                <w:szCs w:val="36"/>
                <w:lang w:val="nl-BE"/>
              </w:rPr>
              <w:t>expert</w:t>
            </w:r>
          </w:p>
        </w:tc>
        <w:tc>
          <w:tcPr>
            <w:tcW w:w="1902" w:type="dxa"/>
            <w:vMerge w:val="restart"/>
          </w:tcPr>
          <w:p w:rsidR="002A29FC" w:rsidRDefault="002A29FC" w:rsidP="00C37349">
            <w:pPr>
              <w:rPr>
                <w:rFonts w:ascii="Calibri" w:hAnsi="Calibri"/>
                <w:sz w:val="24"/>
                <w:lang w:val="nl-BE"/>
              </w:rPr>
            </w:pPr>
          </w:p>
        </w:tc>
      </w:tr>
      <w:tr w:rsidR="002A29FC" w:rsidRPr="005539DF" w:rsidTr="00C37349">
        <w:trPr>
          <w:trHeight w:val="1680"/>
        </w:trPr>
        <w:tc>
          <w:tcPr>
            <w:tcW w:w="5642" w:type="dxa"/>
          </w:tcPr>
          <w:p w:rsidR="002A29FC" w:rsidRPr="00E675CC" w:rsidRDefault="002A29FC" w:rsidP="00C37349">
            <w:pPr>
              <w:spacing w:line="280" w:lineRule="exact"/>
              <w:jc w:val="both"/>
              <w:rPr>
                <w:rFonts w:cs="Arial"/>
                <w:color w:val="00B0F0"/>
                <w:sz w:val="28"/>
                <w:szCs w:val="28"/>
                <w:lang w:val="fr-BE"/>
              </w:rPr>
            </w:pPr>
            <w:r>
              <w:rPr>
                <w:rFonts w:cs="Arial"/>
                <w:color w:val="00B0F0"/>
                <w:sz w:val="28"/>
                <w:szCs w:val="28"/>
                <w:lang w:val="fr-BE"/>
              </w:rPr>
              <w:t>Est-il possible de rompre un contrat de travail pour cause de maladie ?</w:t>
            </w:r>
          </w:p>
          <w:p w:rsidR="002A29FC" w:rsidRPr="000D3292" w:rsidRDefault="002A29FC" w:rsidP="00C37349">
            <w:pPr>
              <w:spacing w:line="280" w:lineRule="exact"/>
              <w:jc w:val="both"/>
              <w:rPr>
                <w:rFonts w:cs="Arial"/>
                <w:sz w:val="28"/>
                <w:szCs w:val="28"/>
                <w:lang w:val="fr-BE"/>
              </w:rPr>
            </w:pPr>
          </w:p>
          <w:p w:rsidR="002A29FC" w:rsidRPr="000D3292" w:rsidRDefault="002A29FC" w:rsidP="00C37349">
            <w:pPr>
              <w:spacing w:line="280" w:lineRule="exact"/>
              <w:jc w:val="both"/>
              <w:rPr>
                <w:rFonts w:cs="Arial"/>
                <w:sz w:val="28"/>
                <w:szCs w:val="28"/>
                <w:lang w:val="fr-BE"/>
              </w:rPr>
            </w:pPr>
          </w:p>
          <w:p w:rsidR="002A29FC" w:rsidRPr="000D3292" w:rsidRDefault="002A29FC" w:rsidP="00C37349">
            <w:pPr>
              <w:spacing w:line="280" w:lineRule="exact"/>
              <w:jc w:val="both"/>
              <w:rPr>
                <w:rFonts w:cs="Arial"/>
                <w:sz w:val="28"/>
                <w:szCs w:val="28"/>
                <w:lang w:val="fr-BE"/>
              </w:rPr>
            </w:pPr>
          </w:p>
          <w:p w:rsidR="002A29FC" w:rsidRPr="000D3292" w:rsidRDefault="002A29FC" w:rsidP="00C37349">
            <w:pPr>
              <w:spacing w:line="280" w:lineRule="exact"/>
              <w:jc w:val="both"/>
              <w:rPr>
                <w:rFonts w:cs="Arial"/>
                <w:sz w:val="28"/>
                <w:szCs w:val="28"/>
                <w:lang w:val="fr-BE"/>
              </w:rPr>
            </w:pPr>
          </w:p>
        </w:tc>
        <w:tc>
          <w:tcPr>
            <w:tcW w:w="1979" w:type="dxa"/>
            <w:vAlign w:val="bottom"/>
          </w:tcPr>
          <w:p w:rsidR="00602121" w:rsidRPr="00602121" w:rsidRDefault="00602121" w:rsidP="00C37349">
            <w:pPr>
              <w:jc w:val="right"/>
              <w:rPr>
                <w:rFonts w:cs="Arial"/>
                <w:sz w:val="18"/>
                <w:szCs w:val="18"/>
                <w:lang w:val="fr-FR"/>
              </w:rPr>
            </w:pPr>
            <w:r>
              <w:rPr>
                <w:rFonts w:cs="Arial"/>
                <w:sz w:val="18"/>
                <w:szCs w:val="18"/>
                <w:lang w:val="fr-FR"/>
              </w:rPr>
              <w:t>Véronique Lombaerts</w:t>
            </w:r>
          </w:p>
          <w:p w:rsidR="002A29FC" w:rsidRPr="005539DF" w:rsidRDefault="002A29FC" w:rsidP="00C37349">
            <w:pPr>
              <w:jc w:val="right"/>
              <w:rPr>
                <w:rFonts w:cs="Arial"/>
                <w:sz w:val="28"/>
                <w:szCs w:val="28"/>
              </w:rPr>
            </w:pPr>
            <w:r w:rsidRPr="00B40816">
              <w:rPr>
                <w:rFonts w:cs="Arial"/>
                <w:sz w:val="18"/>
                <w:szCs w:val="18"/>
              </w:rPr>
              <w:t xml:space="preserve">Legal Advisor </w:t>
            </w:r>
            <w:r w:rsidRPr="00B40816">
              <w:rPr>
                <w:rFonts w:cs="Arial"/>
                <w:sz w:val="18"/>
                <w:szCs w:val="18"/>
              </w:rPr>
              <w:br/>
              <w:t>Partena Professional</w:t>
            </w:r>
          </w:p>
        </w:tc>
        <w:tc>
          <w:tcPr>
            <w:tcW w:w="1902" w:type="dxa"/>
            <w:vMerge/>
          </w:tcPr>
          <w:p w:rsidR="002A29FC" w:rsidRPr="005539DF" w:rsidRDefault="002A29FC" w:rsidP="00C37349">
            <w:pPr>
              <w:jc w:val="center"/>
              <w:rPr>
                <w:rFonts w:ascii="Calibri" w:hAnsi="Calibri"/>
                <w:sz w:val="24"/>
              </w:rPr>
            </w:pPr>
          </w:p>
        </w:tc>
      </w:tr>
    </w:tbl>
    <w:p w:rsidR="002A29FC" w:rsidRPr="005539DF" w:rsidRDefault="002A29FC" w:rsidP="002A29FC">
      <w:pPr>
        <w:autoSpaceDE w:val="0"/>
        <w:autoSpaceDN w:val="0"/>
        <w:adjustRightInd w:val="0"/>
        <w:jc w:val="both"/>
        <w:rPr>
          <w:rFonts w:ascii="Calibri" w:hAnsi="Calibri" w:cs="Arial"/>
          <w:sz w:val="24"/>
        </w:rPr>
      </w:pPr>
      <w:r>
        <w:rPr>
          <w:noProof/>
        </w:rPr>
        <mc:AlternateContent>
          <mc:Choice Requires="wps">
            <w:drawing>
              <wp:anchor distT="4294967293" distB="4294967293" distL="114300" distR="114300" simplePos="0" relativeHeight="251659264" behindDoc="0" locked="0" layoutInCell="1" allowOverlap="1" wp14:anchorId="7B88DB00" wp14:editId="4C467786">
                <wp:simplePos x="0" y="0"/>
                <wp:positionH relativeFrom="column">
                  <wp:posOffset>-213360</wp:posOffset>
                </wp:positionH>
                <wp:positionV relativeFrom="paragraph">
                  <wp:posOffset>73025</wp:posOffset>
                </wp:positionV>
                <wp:extent cx="6426835" cy="0"/>
                <wp:effectExtent l="10795" t="10795" r="10795" b="8255"/>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12700">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70D5E5B" id="Line 33"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pt,5.75pt" to="489.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" strokecolor="#f6a500" strokeweight="1pt"/>
            </w:pict>
          </mc:Fallback>
        </mc:AlternateContent>
      </w:r>
    </w:p>
    <w:p w:rsidR="002A29FC" w:rsidRPr="009E4571" w:rsidRDefault="002A29FC" w:rsidP="00602121">
      <w:pPr>
        <w:spacing w:line="280" w:lineRule="exact"/>
        <w:jc w:val="both"/>
        <w:rPr>
          <w:rFonts w:cs="Arial"/>
          <w:b/>
          <w:sz w:val="22"/>
          <w:szCs w:val="22"/>
          <w:lang w:val="fr-BE"/>
        </w:rPr>
      </w:pPr>
      <w:r w:rsidRPr="009E4571">
        <w:rPr>
          <w:rFonts w:cs="Arial"/>
          <w:b/>
          <w:sz w:val="22"/>
          <w:szCs w:val="22"/>
          <w:lang w:val="fr-BE"/>
        </w:rPr>
        <w:t xml:space="preserve">De nombreux employeurs s’interrogent sur les possibilités de rompre le contrat de travail d’un travailleur régulièrement absent pour cause de maladie. </w:t>
      </w:r>
      <w:r w:rsidRPr="009E4571">
        <w:rPr>
          <w:rFonts w:cs="Arial"/>
          <w:b/>
          <w:color w:val="000000" w:themeColor="text1"/>
          <w:sz w:val="22"/>
          <w:szCs w:val="22"/>
          <w:lang w:val="fr-BE"/>
        </w:rPr>
        <w:t xml:space="preserve">Peut-on rompre immédiatement le contrat et payer le préavis ? </w:t>
      </w:r>
      <w:r w:rsidRPr="009E4571">
        <w:rPr>
          <w:rFonts w:cs="Arial"/>
          <w:b/>
          <w:sz w:val="22"/>
          <w:szCs w:val="22"/>
          <w:lang w:val="fr-BE"/>
        </w:rPr>
        <w:t xml:space="preserve">La loi n’est-elle pas plus flexible lorsque le travailleur est en maladie de longue durée.  </w:t>
      </w:r>
    </w:p>
    <w:p w:rsidR="002A29FC" w:rsidRPr="009E4571" w:rsidRDefault="002A29FC" w:rsidP="00602121">
      <w:pPr>
        <w:spacing w:line="280" w:lineRule="exact"/>
        <w:jc w:val="both"/>
        <w:rPr>
          <w:rFonts w:cs="Arial"/>
          <w:b/>
          <w:color w:val="000000" w:themeColor="text1"/>
          <w:sz w:val="22"/>
          <w:szCs w:val="22"/>
          <w:lang w:val="fr-BE"/>
        </w:rPr>
      </w:pPr>
    </w:p>
    <w:p w:rsidR="002A29FC" w:rsidRPr="009E4571" w:rsidRDefault="002A29FC" w:rsidP="00602121">
      <w:pPr>
        <w:jc w:val="both"/>
        <w:rPr>
          <w:rFonts w:cs="Arial"/>
          <w:b/>
          <w:sz w:val="22"/>
          <w:szCs w:val="22"/>
          <w:lang w:val="fr-BE"/>
        </w:rPr>
      </w:pPr>
      <w:bookmarkStart w:id="0" w:name="_GoBack"/>
      <w:r w:rsidRPr="009E4571">
        <w:rPr>
          <w:rFonts w:cs="Arial"/>
          <w:b/>
          <w:sz w:val="22"/>
          <w:szCs w:val="22"/>
          <w:lang w:val="fr-BE"/>
        </w:rPr>
        <w:t xml:space="preserve">Attention à la motivation </w:t>
      </w:r>
    </w:p>
    <w:p w:rsidR="002A29FC" w:rsidRPr="009E4571" w:rsidRDefault="002A29FC" w:rsidP="00602121">
      <w:pPr>
        <w:jc w:val="both"/>
        <w:rPr>
          <w:rFonts w:cs="Arial"/>
          <w:b/>
          <w:sz w:val="22"/>
          <w:szCs w:val="22"/>
          <w:lang w:val="fr-BE"/>
        </w:rPr>
      </w:pPr>
    </w:p>
    <w:p w:rsidR="002A29FC" w:rsidRPr="009E4571" w:rsidRDefault="002A29FC" w:rsidP="00602121">
      <w:pPr>
        <w:jc w:val="both"/>
        <w:rPr>
          <w:rFonts w:cs="Arial"/>
          <w:sz w:val="22"/>
          <w:szCs w:val="22"/>
          <w:lang w:val="fr-FR"/>
        </w:rPr>
      </w:pPr>
      <w:r w:rsidRPr="009E4571">
        <w:rPr>
          <w:rFonts w:cs="Arial"/>
          <w:sz w:val="22"/>
          <w:szCs w:val="22"/>
          <w:lang w:val="fr-FR"/>
        </w:rPr>
        <w:t xml:space="preserve">Tout employeur doit désormais </w:t>
      </w:r>
      <w:r w:rsidRPr="009E4571">
        <w:rPr>
          <w:rFonts w:cs="Arial"/>
          <w:sz w:val="22"/>
          <w:szCs w:val="22"/>
          <w:shd w:val="clear" w:color="auto" w:fill="FFFFFF"/>
          <w:lang w:val="fr-BE"/>
        </w:rPr>
        <w:t>veiller à ce que le licenciement ne puisse pas être considéré comme manifestement déraisonnable.</w:t>
      </w:r>
      <w:r w:rsidRPr="009E4571">
        <w:rPr>
          <w:rFonts w:cs="Arial"/>
          <w:sz w:val="22"/>
          <w:szCs w:val="22"/>
          <w:lang w:val="fr-FR"/>
        </w:rPr>
        <w:t>Sa décision doit donc se baser soit sur l'aptitude (en lien avec les compétences requises pour la fonction) ou la conduite du travailleur, soit sur les nécessités du fonctionnement de l'entreprise.</w:t>
      </w:r>
    </w:p>
    <w:p w:rsidR="002A29FC" w:rsidRPr="009E4571" w:rsidRDefault="002A29FC" w:rsidP="00602121">
      <w:pPr>
        <w:jc w:val="both"/>
        <w:rPr>
          <w:rFonts w:cs="Arial"/>
          <w:sz w:val="22"/>
          <w:szCs w:val="22"/>
          <w:lang w:val="fr-FR"/>
        </w:rPr>
      </w:pPr>
    </w:p>
    <w:p w:rsidR="002A29FC" w:rsidRPr="009E4571" w:rsidRDefault="002A29FC" w:rsidP="00602121">
      <w:pPr>
        <w:jc w:val="both"/>
        <w:rPr>
          <w:rFonts w:cs="Arial"/>
          <w:sz w:val="22"/>
          <w:szCs w:val="22"/>
          <w:lang w:val="fr-FR"/>
        </w:rPr>
      </w:pPr>
      <w:r w:rsidRPr="009E4571">
        <w:rPr>
          <w:rFonts w:cs="Arial"/>
          <w:sz w:val="22"/>
          <w:szCs w:val="22"/>
          <w:lang w:val="fr-BE"/>
        </w:rPr>
        <w:t>Des explications détaillées sur le motif du licenciement ne doivent pas nécessairement être communiquées lors du licenciement mais l</w:t>
      </w:r>
      <w:r w:rsidRPr="009E4571">
        <w:rPr>
          <w:rFonts w:cs="Arial"/>
          <w:sz w:val="22"/>
          <w:szCs w:val="22"/>
          <w:shd w:val="clear" w:color="auto" w:fill="FFFFFF"/>
          <w:lang w:val="fr-BE"/>
        </w:rPr>
        <w:t>a CCT 109 impose à l’employeur d’en fournir au travailleur qui lui en ferait la demande dans les deux mois de la rupture de son contrat de travail.</w:t>
      </w:r>
    </w:p>
    <w:p w:rsidR="002A29FC" w:rsidRPr="009E4571" w:rsidRDefault="002A29FC" w:rsidP="00602121">
      <w:pPr>
        <w:jc w:val="both"/>
        <w:rPr>
          <w:rFonts w:cs="Arial"/>
          <w:sz w:val="22"/>
          <w:szCs w:val="22"/>
          <w:lang w:val="fr-FR"/>
        </w:rPr>
      </w:pPr>
    </w:p>
    <w:p w:rsidR="002A29FC" w:rsidRPr="009E4571" w:rsidRDefault="002A29FC" w:rsidP="00602121">
      <w:pPr>
        <w:jc w:val="both"/>
        <w:rPr>
          <w:rFonts w:cs="Arial"/>
          <w:sz w:val="22"/>
          <w:szCs w:val="22"/>
          <w:lang w:val="fr-FR"/>
        </w:rPr>
      </w:pPr>
      <w:r w:rsidRPr="009E4571">
        <w:rPr>
          <w:rFonts w:cs="Arial"/>
          <w:sz w:val="22"/>
          <w:szCs w:val="22"/>
          <w:lang w:val="fr-FR"/>
        </w:rPr>
        <w:t xml:space="preserve">Lorsqu’un employeur ignore une demande légalement introduite par le travailleur, une première sanction financière lui est déjà d’application : </w:t>
      </w:r>
      <w:r w:rsidRPr="009E4571">
        <w:rPr>
          <w:rFonts w:cs="Arial"/>
          <w:bCs/>
          <w:sz w:val="22"/>
          <w:szCs w:val="22"/>
          <w:lang w:val="fr-FR"/>
        </w:rPr>
        <w:t>une amende civile égale à 2 semaines de rémunération.</w:t>
      </w:r>
    </w:p>
    <w:p w:rsidR="002A29FC" w:rsidRPr="009E4571" w:rsidRDefault="002A29FC" w:rsidP="00602121">
      <w:pPr>
        <w:jc w:val="both"/>
        <w:rPr>
          <w:rFonts w:cs="Arial"/>
          <w:sz w:val="22"/>
          <w:szCs w:val="22"/>
          <w:lang w:val="fr-FR"/>
        </w:rPr>
      </w:pPr>
      <w:r w:rsidRPr="009E4571">
        <w:rPr>
          <w:rFonts w:cs="Arial"/>
          <w:bCs/>
          <w:sz w:val="22"/>
          <w:szCs w:val="22"/>
          <w:lang w:val="fr-FR"/>
        </w:rPr>
        <w:t> </w:t>
      </w:r>
    </w:p>
    <w:p w:rsidR="002A29FC" w:rsidRPr="009E4571" w:rsidRDefault="002A29FC" w:rsidP="00602121">
      <w:pPr>
        <w:jc w:val="both"/>
        <w:rPr>
          <w:rFonts w:cs="Arial"/>
          <w:sz w:val="22"/>
          <w:szCs w:val="22"/>
          <w:lang w:val="fr-FR"/>
        </w:rPr>
      </w:pPr>
      <w:r w:rsidRPr="009E4571">
        <w:rPr>
          <w:rFonts w:cs="Arial"/>
          <w:bCs/>
          <w:sz w:val="22"/>
          <w:szCs w:val="22"/>
          <w:lang w:val="fr-FR"/>
        </w:rPr>
        <w:t>S’il n’arrive pas à convaincre</w:t>
      </w:r>
      <w:r w:rsidRPr="009E4571">
        <w:rPr>
          <w:rFonts w:cs="Arial"/>
          <w:sz w:val="22"/>
          <w:szCs w:val="22"/>
          <w:lang w:val="fr-FR"/>
        </w:rPr>
        <w:t xml:space="preserve"> son travailleur du caractère raisonnable de son licenciement, celui-ci pourrait </w:t>
      </w:r>
      <w:r w:rsidRPr="009E4571">
        <w:rPr>
          <w:rFonts w:cs="Arial"/>
          <w:sz w:val="22"/>
          <w:szCs w:val="22"/>
          <w:shd w:val="clear" w:color="auto" w:fill="FFFFFF"/>
          <w:lang w:val="fr-BE"/>
        </w:rPr>
        <w:t xml:space="preserve">demander, </w:t>
      </w:r>
      <w:r w:rsidRPr="009E4571">
        <w:rPr>
          <w:rFonts w:cs="Arial"/>
          <w:bCs/>
          <w:sz w:val="22"/>
          <w:szCs w:val="22"/>
          <w:shd w:val="clear" w:color="auto" w:fill="FFFFFF"/>
          <w:lang w:val="fr-BE"/>
        </w:rPr>
        <w:t>au tribunal du travail, le paiement d’une indemnité forfaitaire égale à minimum 3 semaines et à maximum 17 semaines de rémunération</w:t>
      </w:r>
      <w:r w:rsidRPr="009E4571">
        <w:rPr>
          <w:rFonts w:cs="Arial"/>
          <w:sz w:val="22"/>
          <w:szCs w:val="22"/>
          <w:shd w:val="clear" w:color="auto" w:fill="FFFFFF"/>
          <w:lang w:val="fr-BE"/>
        </w:rPr>
        <w:t>. Il s’agit d’une fourchette fixée par le législateur dans laquelle le juge peut faire son choix.</w:t>
      </w:r>
    </w:p>
    <w:p w:rsidR="002A29FC" w:rsidRPr="009E4571" w:rsidRDefault="002A29FC" w:rsidP="00602121">
      <w:pPr>
        <w:spacing w:before="100" w:beforeAutospacing="1" w:after="20"/>
        <w:jc w:val="both"/>
        <w:rPr>
          <w:rFonts w:cs="Arial"/>
          <w:lang w:val="fr-FR"/>
        </w:rPr>
      </w:pPr>
      <w:r w:rsidRPr="009E4571">
        <w:rPr>
          <w:rFonts w:cs="Arial"/>
          <w:sz w:val="22"/>
          <w:szCs w:val="22"/>
          <w:shd w:val="clear" w:color="auto" w:fill="FFFFFF"/>
          <w:lang w:val="fr-BE"/>
        </w:rPr>
        <w:t xml:space="preserve">L’employeur doit donc s’assurer </w:t>
      </w:r>
      <w:r w:rsidRPr="009E4571">
        <w:rPr>
          <w:rFonts w:cs="Arial"/>
          <w:sz w:val="22"/>
          <w:szCs w:val="22"/>
          <w:lang w:val="fr-FR"/>
        </w:rPr>
        <w:t>de la preuve d’un motif raisonnable de licenciement et en soi, la maladie n’en est pas un</w:t>
      </w:r>
      <w:r w:rsidRPr="009E4571">
        <w:rPr>
          <w:rFonts w:cs="Arial"/>
          <w:lang w:val="fr-FR"/>
        </w:rPr>
        <w:t>.</w:t>
      </w:r>
    </w:p>
    <w:p w:rsidR="002A29FC" w:rsidRPr="009E4571" w:rsidRDefault="002A29FC" w:rsidP="00602121">
      <w:pPr>
        <w:spacing w:before="100" w:beforeAutospacing="1" w:after="20"/>
        <w:jc w:val="both"/>
        <w:rPr>
          <w:rFonts w:cs="Arial"/>
          <w:b/>
          <w:sz w:val="22"/>
          <w:szCs w:val="22"/>
          <w:lang w:val="fr-FR"/>
        </w:rPr>
      </w:pPr>
      <w:r w:rsidRPr="009E4571">
        <w:rPr>
          <w:rFonts w:cs="Arial"/>
          <w:b/>
          <w:sz w:val="22"/>
          <w:szCs w:val="22"/>
          <w:lang w:val="fr-FR"/>
        </w:rPr>
        <w:t>Peut-on invoquer un motif de désorganisation du travail lié aux absences du travailleur ?</w:t>
      </w:r>
    </w:p>
    <w:p w:rsidR="002A29FC" w:rsidRPr="009E4571" w:rsidRDefault="002A29FC" w:rsidP="00602121">
      <w:pPr>
        <w:jc w:val="both"/>
        <w:rPr>
          <w:rFonts w:cs="Arial"/>
          <w:bCs/>
          <w:sz w:val="22"/>
          <w:szCs w:val="22"/>
          <w:shd w:val="clear" w:color="auto" w:fill="FFFFFF"/>
          <w:lang w:val="fr-BE"/>
        </w:rPr>
      </w:pPr>
    </w:p>
    <w:p w:rsidR="002A29FC" w:rsidRPr="009E4571" w:rsidRDefault="002A29FC" w:rsidP="00602121">
      <w:pPr>
        <w:pStyle w:val="Default"/>
        <w:jc w:val="both"/>
        <w:rPr>
          <w:sz w:val="22"/>
          <w:szCs w:val="22"/>
          <w:shd w:val="clear" w:color="auto" w:fill="FFFFFF"/>
        </w:rPr>
      </w:pPr>
      <w:r w:rsidRPr="009E4571">
        <w:rPr>
          <w:bCs/>
          <w:sz w:val="22"/>
          <w:szCs w:val="22"/>
          <w:shd w:val="clear" w:color="auto" w:fill="FFFFFF"/>
        </w:rPr>
        <w:t xml:space="preserve">Ce qui importe avant tout est que  le motif du licenciement soit exact et démontrable. </w:t>
      </w:r>
      <w:r w:rsidRPr="009E4571">
        <w:rPr>
          <w:sz w:val="22"/>
          <w:szCs w:val="22"/>
          <w:shd w:val="clear" w:color="auto" w:fill="FFFFFF"/>
        </w:rPr>
        <w:t>L’employeur doit utilement inventarier le nombre d’absences, leur durée, leur fréquence, etc …</w:t>
      </w:r>
    </w:p>
    <w:p w:rsidR="002A29FC" w:rsidRPr="009E4571" w:rsidRDefault="002A29FC" w:rsidP="00602121">
      <w:pPr>
        <w:pStyle w:val="Default"/>
        <w:jc w:val="both"/>
        <w:rPr>
          <w:sz w:val="22"/>
          <w:szCs w:val="22"/>
          <w:shd w:val="clear" w:color="auto" w:fill="FFFFFF"/>
        </w:rPr>
      </w:pPr>
      <w:r w:rsidRPr="009E4571">
        <w:rPr>
          <w:bCs/>
          <w:sz w:val="22"/>
          <w:szCs w:val="22"/>
          <w:shd w:val="clear" w:color="auto" w:fill="FFFFFF"/>
        </w:rPr>
        <w:t xml:space="preserve">Il faut également </w:t>
      </w:r>
      <w:r w:rsidRPr="009E4571">
        <w:rPr>
          <w:sz w:val="22"/>
          <w:szCs w:val="22"/>
          <w:shd w:val="clear" w:color="auto" w:fill="FFFFFF"/>
        </w:rPr>
        <w:t xml:space="preserve">démontrer que la désorganisation n’est pas le seul résultat de la maladie de l’intéressé mais qu’elle est liée à l’impossibilité de planifier ou d’organiser la poursuite d’un service, de projets particuliers dans lesquels cette personne était impliquée, pouvoir insister sur l’impossibilité ou la difficulté pour l’entreprise de prévoir quand l’intéressé reviendra au travail, l’impossibilité de le remplacer, l’éventuelle charge de travail non assumée ou devant être reportée sur les autres collègues, etc … </w:t>
      </w:r>
    </w:p>
    <w:p w:rsidR="002A29FC" w:rsidRPr="009E4571" w:rsidRDefault="002A29FC" w:rsidP="00602121">
      <w:pPr>
        <w:pStyle w:val="Default"/>
        <w:jc w:val="both"/>
        <w:rPr>
          <w:sz w:val="22"/>
          <w:szCs w:val="22"/>
          <w:shd w:val="clear" w:color="auto" w:fill="FFFFFF"/>
        </w:rPr>
      </w:pPr>
    </w:p>
    <w:p w:rsidR="002A29FC" w:rsidRPr="009E4571" w:rsidRDefault="002A29FC" w:rsidP="00602121">
      <w:pPr>
        <w:pStyle w:val="Default"/>
        <w:jc w:val="both"/>
        <w:rPr>
          <w:sz w:val="22"/>
          <w:szCs w:val="22"/>
          <w:shd w:val="clear" w:color="auto" w:fill="FFFFFF"/>
        </w:rPr>
      </w:pPr>
    </w:p>
    <w:p w:rsidR="002A29FC" w:rsidRPr="009E4571" w:rsidRDefault="002A29FC" w:rsidP="00602121">
      <w:pPr>
        <w:pStyle w:val="Default"/>
        <w:jc w:val="both"/>
        <w:rPr>
          <w:color w:val="auto"/>
          <w:sz w:val="22"/>
          <w:szCs w:val="22"/>
          <w:lang w:val="fr-FR"/>
        </w:rPr>
      </w:pPr>
      <w:r w:rsidRPr="009E4571">
        <w:rPr>
          <w:sz w:val="22"/>
          <w:szCs w:val="22"/>
          <w:shd w:val="clear" w:color="auto" w:fill="FFFFFF"/>
        </w:rPr>
        <w:lastRenderedPageBreak/>
        <w:t xml:space="preserve">D’autres motifs raisonnables sans lien avec la maladie peuvent toujours être invoqués : par exemple, </w:t>
      </w:r>
      <w:r w:rsidRPr="009E4571">
        <w:rPr>
          <w:color w:val="auto"/>
          <w:sz w:val="22"/>
          <w:szCs w:val="22"/>
          <w:shd w:val="clear" w:color="auto" w:fill="FFFFFF"/>
        </w:rPr>
        <w:t>des erreurs ou des fautes commises par l’intéressé avant son départ en maladie et découvertes par son remplaçant, des éléments objectifs liés à la situation financière de l’entreprise (par exemple : la suppression de ce poste, qui serait devenu excédentaire, une baisse du chiffre d’affaires, etc …).</w:t>
      </w:r>
    </w:p>
    <w:p w:rsidR="002A29FC" w:rsidRPr="009E4571" w:rsidRDefault="002A29FC" w:rsidP="00602121">
      <w:pPr>
        <w:pStyle w:val="Default"/>
        <w:jc w:val="both"/>
        <w:rPr>
          <w:bCs/>
          <w:sz w:val="22"/>
          <w:szCs w:val="22"/>
          <w:shd w:val="clear" w:color="auto" w:fill="FFFFFF"/>
        </w:rPr>
      </w:pPr>
    </w:p>
    <w:p w:rsidR="002A29FC" w:rsidRPr="009E4571" w:rsidRDefault="002A29FC" w:rsidP="00602121">
      <w:pPr>
        <w:pStyle w:val="Default"/>
        <w:jc w:val="both"/>
        <w:rPr>
          <w:sz w:val="22"/>
          <w:szCs w:val="22"/>
          <w:lang w:val="fr-FR"/>
        </w:rPr>
      </w:pPr>
      <w:r w:rsidRPr="009E4571">
        <w:rPr>
          <w:bCs/>
          <w:sz w:val="22"/>
          <w:szCs w:val="22"/>
          <w:shd w:val="clear" w:color="auto" w:fill="FFFFFF"/>
        </w:rPr>
        <w:t xml:space="preserve">La preuve de la réalité du motif doit idéalement toujours reposer sur des éléments objectifs et précis (rapports d’évaluation contradictoires, avertissements écrits, documents divers, </w:t>
      </w:r>
      <w:r w:rsidRPr="009E4571">
        <w:rPr>
          <w:color w:val="auto"/>
          <w:sz w:val="22"/>
          <w:szCs w:val="22"/>
        </w:rPr>
        <w:t xml:space="preserve">données statistiques, économiques et commerciales, comptables et financières, </w:t>
      </w:r>
      <w:r w:rsidRPr="009E4571">
        <w:rPr>
          <w:bCs/>
          <w:sz w:val="22"/>
          <w:szCs w:val="22"/>
          <w:shd w:val="clear" w:color="auto" w:fill="FFFFFF"/>
        </w:rPr>
        <w:t>etc…).</w:t>
      </w:r>
    </w:p>
    <w:p w:rsidR="002A29FC" w:rsidRPr="009E4571" w:rsidRDefault="002A29FC" w:rsidP="00602121">
      <w:pPr>
        <w:jc w:val="both"/>
        <w:rPr>
          <w:rFonts w:cs="Arial"/>
          <w:sz w:val="22"/>
          <w:szCs w:val="22"/>
          <w:lang w:val="fr-FR"/>
        </w:rPr>
      </w:pPr>
      <w:r w:rsidRPr="009E4571">
        <w:rPr>
          <w:rFonts w:cs="Arial"/>
          <w:sz w:val="22"/>
          <w:szCs w:val="22"/>
          <w:shd w:val="clear" w:color="auto" w:fill="FFFFFF"/>
          <w:lang w:val="fr-BE"/>
        </w:rPr>
        <w:br/>
      </w:r>
    </w:p>
    <w:p w:rsidR="002A29FC" w:rsidRPr="009E4571" w:rsidRDefault="002A29FC" w:rsidP="00602121">
      <w:pPr>
        <w:jc w:val="both"/>
        <w:rPr>
          <w:rFonts w:cs="Arial"/>
          <w:b/>
          <w:color w:val="000000" w:themeColor="text1"/>
          <w:sz w:val="22"/>
          <w:szCs w:val="22"/>
          <w:lang w:val="fr-FR"/>
        </w:rPr>
      </w:pPr>
      <w:r w:rsidRPr="009E4571">
        <w:rPr>
          <w:rFonts w:cs="Arial"/>
          <w:b/>
          <w:sz w:val="22"/>
          <w:szCs w:val="22"/>
          <w:lang w:val="fr-FR"/>
        </w:rPr>
        <w:t>L’incapacité de 6 mois, cause autorisée de rupture du contrat de travail ?</w:t>
      </w:r>
    </w:p>
    <w:p w:rsidR="002A29FC" w:rsidRPr="009E4571" w:rsidRDefault="002A29FC" w:rsidP="00602121">
      <w:pPr>
        <w:jc w:val="both"/>
        <w:rPr>
          <w:rFonts w:cs="Arial"/>
          <w:color w:val="000000" w:themeColor="text1"/>
          <w:sz w:val="22"/>
          <w:szCs w:val="22"/>
          <w:lang w:val="fr-BE"/>
        </w:rPr>
      </w:pPr>
    </w:p>
    <w:p w:rsidR="002A29FC" w:rsidRPr="009E4571" w:rsidRDefault="002A29FC" w:rsidP="00602121">
      <w:pPr>
        <w:jc w:val="both"/>
        <w:rPr>
          <w:rFonts w:cs="Arial"/>
          <w:color w:val="000000" w:themeColor="text1"/>
          <w:sz w:val="22"/>
          <w:szCs w:val="22"/>
          <w:lang w:val="fr-BE"/>
        </w:rPr>
      </w:pPr>
      <w:r w:rsidRPr="009E4571">
        <w:rPr>
          <w:rFonts w:cs="Arial"/>
          <w:color w:val="000000" w:themeColor="text1"/>
          <w:sz w:val="22"/>
          <w:szCs w:val="22"/>
          <w:lang w:val="fr-BE"/>
        </w:rPr>
        <w:t>Il n’est légalement plus autorisé de rompre un contrat de travail après une incapacité de travail de 6 mois. En revanche, une incapacité de longue durée pourrait permettre de rompre le contrat de travail pour cause de force majeure médicale.</w:t>
      </w:r>
    </w:p>
    <w:p w:rsidR="002A29FC" w:rsidRPr="009E4571" w:rsidRDefault="002A29FC" w:rsidP="00602121">
      <w:pPr>
        <w:spacing w:line="276" w:lineRule="auto"/>
        <w:jc w:val="both"/>
        <w:rPr>
          <w:rFonts w:eastAsiaTheme="minorHAnsi" w:cs="Arial"/>
          <w:color w:val="000000"/>
          <w:sz w:val="22"/>
          <w:szCs w:val="22"/>
          <w:lang w:val="fr-FR"/>
        </w:rPr>
      </w:pPr>
    </w:p>
    <w:p w:rsidR="002A29FC" w:rsidRPr="009E4571" w:rsidRDefault="002A29FC" w:rsidP="00602121">
      <w:pPr>
        <w:spacing w:line="276" w:lineRule="auto"/>
        <w:jc w:val="both"/>
        <w:rPr>
          <w:rFonts w:eastAsiaTheme="minorHAnsi" w:cs="Arial"/>
          <w:color w:val="000000"/>
          <w:sz w:val="22"/>
          <w:szCs w:val="22"/>
          <w:lang w:val="fr-FR"/>
        </w:rPr>
      </w:pPr>
      <w:r w:rsidRPr="009E4571">
        <w:rPr>
          <w:rFonts w:eastAsiaTheme="minorHAnsi" w:cs="Arial"/>
          <w:color w:val="000000"/>
          <w:sz w:val="22"/>
          <w:szCs w:val="22"/>
          <w:lang w:val="fr-FR"/>
        </w:rPr>
        <w:t xml:space="preserve">En effet, une incapacité de travail peut, sous certaines conditions, constituer un événement de force </w:t>
      </w:r>
      <w:proofErr w:type="gramStart"/>
      <w:r w:rsidRPr="009E4571">
        <w:rPr>
          <w:rFonts w:eastAsiaTheme="minorHAnsi" w:cs="Arial"/>
          <w:color w:val="000000"/>
          <w:sz w:val="22"/>
          <w:szCs w:val="22"/>
          <w:lang w:val="fr-FR"/>
        </w:rPr>
        <w:t>majeure</w:t>
      </w:r>
      <w:proofErr w:type="gramEnd"/>
      <w:r w:rsidRPr="009E4571">
        <w:rPr>
          <w:rFonts w:eastAsiaTheme="minorHAnsi" w:cs="Arial"/>
          <w:color w:val="000000"/>
          <w:sz w:val="22"/>
          <w:szCs w:val="22"/>
          <w:lang w:val="fr-FR"/>
        </w:rPr>
        <w:t xml:space="preserve"> entraînant la rupture immédiate du contrat sans préavis ni indemnité de rupture. C’est la force majeure médicale.</w:t>
      </w:r>
    </w:p>
    <w:p w:rsidR="002A29FC" w:rsidRPr="009E4571" w:rsidRDefault="002A29FC" w:rsidP="00602121">
      <w:pPr>
        <w:spacing w:line="276" w:lineRule="auto"/>
        <w:jc w:val="both"/>
        <w:rPr>
          <w:rFonts w:eastAsiaTheme="minorHAnsi" w:cs="Arial"/>
          <w:color w:val="000000"/>
          <w:sz w:val="22"/>
          <w:szCs w:val="22"/>
          <w:lang w:val="fr-FR"/>
        </w:rPr>
      </w:pPr>
    </w:p>
    <w:p w:rsidR="002A29FC" w:rsidRPr="009E4571" w:rsidRDefault="002A29FC" w:rsidP="00602121">
      <w:pPr>
        <w:spacing w:line="276" w:lineRule="auto"/>
        <w:jc w:val="both"/>
        <w:rPr>
          <w:rFonts w:eastAsiaTheme="minorHAnsi" w:cs="Arial"/>
          <w:color w:val="000000"/>
          <w:sz w:val="22"/>
          <w:szCs w:val="22"/>
          <w:u w:val="single"/>
          <w:lang w:val="fr-FR" w:eastAsia="nl-NL"/>
        </w:rPr>
      </w:pPr>
      <w:r w:rsidRPr="009E4571">
        <w:rPr>
          <w:rFonts w:eastAsiaTheme="minorHAnsi" w:cs="Arial"/>
          <w:color w:val="000000"/>
          <w:sz w:val="22"/>
          <w:szCs w:val="22"/>
          <w:lang w:val="fr-FR" w:eastAsia="nl-NL"/>
        </w:rPr>
        <w:t>Par force majeure médicale, il faut entendre l’incapacité permanente qui empêche définitivement le travailleur de poursuivre le travail convenu.</w:t>
      </w:r>
    </w:p>
    <w:p w:rsidR="002A29FC" w:rsidRPr="009E4571" w:rsidRDefault="002A29FC" w:rsidP="00602121">
      <w:pPr>
        <w:jc w:val="both"/>
        <w:rPr>
          <w:rFonts w:cs="Arial"/>
          <w:color w:val="000000" w:themeColor="text1"/>
          <w:sz w:val="22"/>
          <w:szCs w:val="22"/>
          <w:lang w:val="fr-FR"/>
        </w:rPr>
      </w:pPr>
    </w:p>
    <w:p w:rsidR="002A29FC" w:rsidRPr="009E4571" w:rsidRDefault="002A29FC" w:rsidP="00602121">
      <w:pPr>
        <w:shd w:val="clear" w:color="auto" w:fill="FFFFFF"/>
        <w:spacing w:line="276" w:lineRule="auto"/>
        <w:jc w:val="both"/>
        <w:rPr>
          <w:rFonts w:eastAsiaTheme="minorHAnsi" w:cs="Arial"/>
          <w:color w:val="000000"/>
          <w:sz w:val="22"/>
          <w:szCs w:val="22"/>
          <w:lang w:val="fr-BE"/>
        </w:rPr>
      </w:pPr>
      <w:r w:rsidRPr="009E4571">
        <w:rPr>
          <w:rFonts w:eastAsiaTheme="minorHAnsi" w:cs="Arial"/>
          <w:color w:val="000000"/>
          <w:sz w:val="22"/>
          <w:szCs w:val="22"/>
          <w:lang w:val="fr-BE"/>
        </w:rPr>
        <w:t xml:space="preserve">Il ne s’agit donc pas d’un licenciement mais d’une procédure de rupture qui, à son terme, permet au travailleur de conserver le bénéfice de ses indemnités de chômage/mutuelle alors que l’employeur ne paie aucune indemnité de préavis. </w:t>
      </w:r>
    </w:p>
    <w:p w:rsidR="002A29FC" w:rsidRPr="009E4571" w:rsidRDefault="002A29FC" w:rsidP="00602121">
      <w:pPr>
        <w:shd w:val="clear" w:color="auto" w:fill="FFFFFF"/>
        <w:spacing w:line="276" w:lineRule="auto"/>
        <w:jc w:val="both"/>
        <w:rPr>
          <w:rFonts w:eastAsiaTheme="minorHAnsi" w:cs="Arial"/>
          <w:color w:val="000000"/>
          <w:sz w:val="22"/>
          <w:szCs w:val="22"/>
          <w:lang w:val="fr-BE"/>
        </w:rPr>
      </w:pPr>
    </w:p>
    <w:p w:rsidR="00F94A0E" w:rsidRPr="009E4571" w:rsidRDefault="002A29FC" w:rsidP="009E4571">
      <w:pPr>
        <w:spacing w:line="280" w:lineRule="atLeast"/>
        <w:jc w:val="both"/>
        <w:rPr>
          <w:rFonts w:cs="Arial"/>
          <w:sz w:val="22"/>
          <w:szCs w:val="22"/>
          <w:lang w:val="fr-FR"/>
        </w:rPr>
      </w:pPr>
      <w:r w:rsidRPr="009E4571">
        <w:rPr>
          <w:rFonts w:eastAsiaTheme="minorHAnsi" w:cs="Arial"/>
          <w:color w:val="000000"/>
          <w:sz w:val="22"/>
          <w:szCs w:val="22"/>
          <w:lang w:val="fr-BE"/>
        </w:rPr>
        <w:t>Sa mise en œuvre est toutefois formaliste. Afin de la démarrer, l’employeur devra être en possession d’un certificat du médecin traitant ou spécialiste du travailleur qui atteste que celui-ci est inapte à exercer sa fonction de manière définitive et permanente. Le travailleur pourra alors exercer son droit à bénéficer d’une procédure de reclassement.  I</w:t>
      </w:r>
      <w:r w:rsidRPr="009E4571">
        <w:rPr>
          <w:rFonts w:cs="Arial"/>
          <w:color w:val="000000"/>
          <w:sz w:val="22"/>
          <w:szCs w:val="22"/>
          <w:lang w:val="fr-BE"/>
        </w:rPr>
        <w:t>l s’agit en réalité de la possibilité de se faire examiner par le médecin du travail qui confirmera ou pas le caractère définitif de l’incapacité de travail.</w:t>
      </w:r>
    </w:p>
    <w:bookmarkEnd w:id="0"/>
    <w:sectPr w:rsidR="00F94A0E" w:rsidRPr="009E4571" w:rsidSect="00F13C96">
      <w:headerReference w:type="default" r:id="rId7"/>
      <w:footerReference w:type="default" r:id="rId8"/>
      <w:pgSz w:w="11907" w:h="16840" w:code="9"/>
      <w:pgMar w:top="1418" w:right="1134" w:bottom="1134" w:left="1418" w:header="68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A34" w:rsidRDefault="00602121">
      <w:r>
        <w:separator/>
      </w:r>
    </w:p>
  </w:endnote>
  <w:endnote w:type="continuationSeparator" w:id="0">
    <w:p w:rsidR="008D2A34" w:rsidRDefault="0060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52F" w:rsidRPr="00CB07BB" w:rsidRDefault="002A29FC">
    <w:pPr>
      <w:pStyle w:val="Footer"/>
      <w:rPr>
        <w:rFonts w:ascii="Arial" w:hAnsi="Arial" w:cs="Arial"/>
        <w:sz w:val="16"/>
        <w:lang w:val="nl-BE"/>
      </w:rPr>
    </w:pPr>
    <w:r>
      <w:rPr>
        <w:noProof/>
      </w:rPr>
      <mc:AlternateContent>
        <mc:Choice Requires="wps">
          <w:drawing>
            <wp:anchor distT="4294967293" distB="4294967293" distL="114300" distR="114300" simplePos="0" relativeHeight="251660288" behindDoc="0" locked="0" layoutInCell="1" allowOverlap="1" wp14:anchorId="1CC97946" wp14:editId="783E34E3">
              <wp:simplePos x="0" y="0"/>
              <wp:positionH relativeFrom="column">
                <wp:posOffset>-36195</wp:posOffset>
              </wp:positionH>
              <wp:positionV relativeFrom="paragraph">
                <wp:posOffset>-45720</wp:posOffset>
              </wp:positionV>
              <wp:extent cx="6132195" cy="0"/>
              <wp:effectExtent l="6985" t="7620" r="13970" b="1143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line">
                        <a:avLst/>
                      </a:prstGeom>
                      <a:noFill/>
                      <a:ln w="9525">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26F7047" id="Line 11"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5pt,-3.6pt" to="4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" strokecolor="#f6a500"/>
          </w:pict>
        </mc:Fallback>
      </mc:AlternateContent>
    </w:r>
    <w:r>
      <w:rPr>
        <w:noProof/>
      </w:rPr>
      <mc:AlternateContent>
        <mc:Choice Requires="wps">
          <w:drawing>
            <wp:anchor distT="0" distB="0" distL="114300" distR="114300" simplePos="0" relativeHeight="251659264" behindDoc="0" locked="0" layoutInCell="1" allowOverlap="1" wp14:anchorId="057FED18" wp14:editId="17B75251">
              <wp:simplePos x="0" y="0"/>
              <wp:positionH relativeFrom="column">
                <wp:posOffset>5842000</wp:posOffset>
              </wp:positionH>
              <wp:positionV relativeFrom="paragraph">
                <wp:posOffset>-55245</wp:posOffset>
              </wp:positionV>
              <wp:extent cx="571500" cy="228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52F" w:rsidRDefault="002A29FC">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8F072B">
                            <w:rPr>
                              <w:rStyle w:val="PageNumber"/>
                              <w:rFonts w:cs="Arial"/>
                              <w:noProof/>
                              <w:sz w:val="16"/>
                            </w:rPr>
                            <w:t>2</w:t>
                          </w:r>
                          <w:r w:rsidRPr="00513D1D">
                            <w:rPr>
                              <w:rStyle w:val="PageNumber"/>
                              <w:rFonts w:cs="Arial"/>
                              <w:sz w:val="16"/>
                            </w:rPr>
                            <w:fldChar w:fldCharType="end"/>
                          </w:r>
                          <w:r w:rsidRPr="00513D1D">
                            <w:rPr>
                              <w:rStyle w:val="PageNumber"/>
                              <w:rFonts w:cs="Arial"/>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8F072B">
                            <w:rPr>
                              <w:rStyle w:val="PageNumber"/>
                              <w:rFonts w:cs="Arial"/>
                              <w:noProof/>
                              <w:sz w:val="16"/>
                            </w:rPr>
                            <w:t>2</w:t>
                          </w:r>
                          <w:r w:rsidRPr="00513D1D">
                            <w:rPr>
                              <w:rStyle w:val="PageNumber"/>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460pt;margin-top:-4.3pt;width:4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" filled="f" stroked="f">
              <v:textbox>
                <w:txbxContent>
                  <w:p w:rsidR="00D9252F" w:rsidRDefault="002A29FC">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8F072B">
                      <w:rPr>
                        <w:rStyle w:val="PageNumber"/>
                        <w:rFonts w:cs="Arial"/>
                        <w:noProof/>
                        <w:sz w:val="16"/>
                      </w:rPr>
                      <w:t>2</w:t>
                    </w:r>
                    <w:r w:rsidRPr="00513D1D">
                      <w:rPr>
                        <w:rStyle w:val="PageNumber"/>
                        <w:rFonts w:cs="Arial"/>
                        <w:sz w:val="16"/>
                      </w:rPr>
                      <w:fldChar w:fldCharType="end"/>
                    </w:r>
                    <w:r w:rsidRPr="00513D1D">
                      <w:rPr>
                        <w:rStyle w:val="PageNumber"/>
                        <w:rFonts w:cs="Arial"/>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8F072B">
                      <w:rPr>
                        <w:rStyle w:val="PageNumber"/>
                        <w:rFonts w:cs="Arial"/>
                        <w:noProof/>
                        <w:sz w:val="16"/>
                      </w:rPr>
                      <w:t>2</w:t>
                    </w:r>
                    <w:r w:rsidRPr="00513D1D">
                      <w:rPr>
                        <w:rStyle w:val="PageNumber"/>
                        <w:rFonts w:cs="Arial"/>
                        <w:sz w:val="16"/>
                      </w:rPr>
                      <w:fldChar w:fldCharType="end"/>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A34" w:rsidRDefault="00602121">
      <w:r>
        <w:separator/>
      </w:r>
    </w:p>
  </w:footnote>
  <w:footnote w:type="continuationSeparator" w:id="0">
    <w:p w:rsidR="008D2A34" w:rsidRDefault="006021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52F" w:rsidRDefault="002A29FC" w:rsidP="00CC3F32">
    <w:pPr>
      <w:pStyle w:val="Header"/>
      <w:jc w:val="center"/>
    </w:pPr>
    <w:r>
      <w:rPr>
        <w:noProof/>
      </w:rPr>
      <w:drawing>
        <wp:inline distT="0" distB="0" distL="0" distR="0" wp14:anchorId="2B0002B3" wp14:editId="3A745ABB">
          <wp:extent cx="1872000" cy="695314"/>
          <wp:effectExtent l="19050" t="0" r="0" b="0"/>
          <wp:docPr id="1" name="Picture 1" descr="\\ss-bxl-s-003\groupdir\G-SS-Marketing\COMMUNICATION\CORPORATE\Branding\LOGOS\PNG\Logo_Profess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bxl-s-003\groupdir\G-SS-Marketing\COMMUNICATION\CORPORATE\Branding\LOGOS\PNG\Logo_Professional.png"/>
                  <pic:cNvPicPr>
                    <a:picLocks noChangeAspect="1" noChangeArrowheads="1"/>
                  </pic:cNvPicPr>
                </pic:nvPicPr>
                <pic:blipFill>
                  <a:blip r:embed="rId1"/>
                  <a:srcRect/>
                  <a:stretch>
                    <a:fillRect/>
                  </a:stretch>
                </pic:blipFill>
                <pic:spPr bwMode="auto">
                  <a:xfrm>
                    <a:off x="0" y="0"/>
                    <a:ext cx="1872000" cy="695314"/>
                  </a:xfrm>
                  <a:prstGeom prst="rect">
                    <a:avLst/>
                  </a:prstGeom>
                  <a:noFill/>
                  <a:ln w="9525">
                    <a:noFill/>
                    <a:miter lim="800000"/>
                    <a:headEnd/>
                    <a:tailEnd/>
                  </a:ln>
                </pic:spPr>
              </pic:pic>
            </a:graphicData>
          </a:graphic>
        </wp:inline>
      </w:drawing>
    </w:r>
  </w:p>
  <w:p w:rsidR="00D9252F" w:rsidRDefault="008F072B" w:rsidP="00CC3F32">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9FC"/>
    <w:rsid w:val="002A29FC"/>
    <w:rsid w:val="00602121"/>
    <w:rsid w:val="008D2A34"/>
    <w:rsid w:val="008F072B"/>
    <w:rsid w:val="009E4571"/>
    <w:rsid w:val="00F94A0E"/>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9FC"/>
    <w:pPr>
      <w:spacing w:after="0" w:line="240" w:lineRule="auto"/>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29FC"/>
    <w:pPr>
      <w:tabs>
        <w:tab w:val="center" w:pos="4320"/>
        <w:tab w:val="right" w:pos="8640"/>
      </w:tabs>
    </w:pPr>
    <w:rPr>
      <w:rFonts w:ascii="Verdana" w:hAnsi="Verdana"/>
    </w:rPr>
  </w:style>
  <w:style w:type="character" w:customStyle="1" w:styleId="HeaderChar">
    <w:name w:val="Header Char"/>
    <w:basedOn w:val="DefaultParagraphFont"/>
    <w:link w:val="Header"/>
    <w:rsid w:val="002A29FC"/>
    <w:rPr>
      <w:rFonts w:ascii="Verdana" w:eastAsia="Times New Roman" w:hAnsi="Verdana" w:cs="Times New Roman"/>
      <w:sz w:val="20"/>
      <w:szCs w:val="24"/>
      <w:lang w:val="en-US"/>
    </w:rPr>
  </w:style>
  <w:style w:type="paragraph" w:styleId="Footer">
    <w:name w:val="footer"/>
    <w:basedOn w:val="Normal"/>
    <w:link w:val="FooterChar"/>
    <w:uiPriority w:val="99"/>
    <w:rsid w:val="002A29FC"/>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2A29FC"/>
    <w:rPr>
      <w:rFonts w:ascii="Verdana" w:eastAsia="Times New Roman" w:hAnsi="Verdana" w:cs="Times New Roman"/>
      <w:sz w:val="20"/>
      <w:szCs w:val="24"/>
      <w:lang w:val="en-US"/>
    </w:rPr>
  </w:style>
  <w:style w:type="character" w:styleId="PageNumber">
    <w:name w:val="page number"/>
    <w:basedOn w:val="DefaultParagraphFont"/>
    <w:rsid w:val="002A29FC"/>
  </w:style>
  <w:style w:type="table" w:styleId="TableGrid">
    <w:name w:val="Table Grid"/>
    <w:basedOn w:val="TableNormal"/>
    <w:rsid w:val="002A29FC"/>
    <w:pPr>
      <w:spacing w:after="0" w:line="280" w:lineRule="atLeast"/>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29FC"/>
    <w:pPr>
      <w:autoSpaceDE w:val="0"/>
      <w:autoSpaceDN w:val="0"/>
      <w:adjustRightInd w:val="0"/>
      <w:spacing w:after="0" w:line="240" w:lineRule="auto"/>
    </w:pPr>
    <w:rPr>
      <w:rFonts w:ascii="Arial" w:hAnsi="Arial" w:cs="Arial"/>
      <w:color w:val="000000"/>
      <w:sz w:val="24"/>
      <w:szCs w:val="24"/>
      <w:lang w:val="fr-BE"/>
    </w:rPr>
  </w:style>
  <w:style w:type="paragraph" w:styleId="BalloonText">
    <w:name w:val="Balloon Text"/>
    <w:basedOn w:val="Normal"/>
    <w:link w:val="BalloonTextChar"/>
    <w:uiPriority w:val="99"/>
    <w:semiHidden/>
    <w:unhideWhenUsed/>
    <w:rsid w:val="009E4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571"/>
    <w:rPr>
      <w:rFonts w:ascii="Lucida Grande" w:eastAsia="Times New Roman"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9FC"/>
    <w:pPr>
      <w:spacing w:after="0" w:line="240" w:lineRule="auto"/>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A29FC"/>
    <w:pPr>
      <w:tabs>
        <w:tab w:val="center" w:pos="4320"/>
        <w:tab w:val="right" w:pos="8640"/>
      </w:tabs>
    </w:pPr>
    <w:rPr>
      <w:rFonts w:ascii="Verdana" w:hAnsi="Verdana"/>
    </w:rPr>
  </w:style>
  <w:style w:type="character" w:customStyle="1" w:styleId="HeaderChar">
    <w:name w:val="Header Char"/>
    <w:basedOn w:val="DefaultParagraphFont"/>
    <w:link w:val="Header"/>
    <w:rsid w:val="002A29FC"/>
    <w:rPr>
      <w:rFonts w:ascii="Verdana" w:eastAsia="Times New Roman" w:hAnsi="Verdana" w:cs="Times New Roman"/>
      <w:sz w:val="20"/>
      <w:szCs w:val="24"/>
      <w:lang w:val="en-US"/>
    </w:rPr>
  </w:style>
  <w:style w:type="paragraph" w:styleId="Footer">
    <w:name w:val="footer"/>
    <w:basedOn w:val="Normal"/>
    <w:link w:val="FooterChar"/>
    <w:uiPriority w:val="99"/>
    <w:rsid w:val="002A29FC"/>
    <w:pPr>
      <w:tabs>
        <w:tab w:val="center" w:pos="4320"/>
        <w:tab w:val="right" w:pos="8640"/>
      </w:tabs>
    </w:pPr>
    <w:rPr>
      <w:rFonts w:ascii="Verdana" w:hAnsi="Verdana"/>
    </w:rPr>
  </w:style>
  <w:style w:type="character" w:customStyle="1" w:styleId="FooterChar">
    <w:name w:val="Footer Char"/>
    <w:basedOn w:val="DefaultParagraphFont"/>
    <w:link w:val="Footer"/>
    <w:uiPriority w:val="99"/>
    <w:rsid w:val="002A29FC"/>
    <w:rPr>
      <w:rFonts w:ascii="Verdana" w:eastAsia="Times New Roman" w:hAnsi="Verdana" w:cs="Times New Roman"/>
      <w:sz w:val="20"/>
      <w:szCs w:val="24"/>
      <w:lang w:val="en-US"/>
    </w:rPr>
  </w:style>
  <w:style w:type="character" w:styleId="PageNumber">
    <w:name w:val="page number"/>
    <w:basedOn w:val="DefaultParagraphFont"/>
    <w:rsid w:val="002A29FC"/>
  </w:style>
  <w:style w:type="table" w:styleId="TableGrid">
    <w:name w:val="Table Grid"/>
    <w:basedOn w:val="TableNormal"/>
    <w:rsid w:val="002A29FC"/>
    <w:pPr>
      <w:spacing w:after="0" w:line="280" w:lineRule="atLeast"/>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A29FC"/>
    <w:pPr>
      <w:autoSpaceDE w:val="0"/>
      <w:autoSpaceDN w:val="0"/>
      <w:adjustRightInd w:val="0"/>
      <w:spacing w:after="0" w:line="240" w:lineRule="auto"/>
    </w:pPr>
    <w:rPr>
      <w:rFonts w:ascii="Arial" w:hAnsi="Arial" w:cs="Arial"/>
      <w:color w:val="000000"/>
      <w:sz w:val="24"/>
      <w:szCs w:val="24"/>
      <w:lang w:val="fr-BE"/>
    </w:rPr>
  </w:style>
  <w:style w:type="paragraph" w:styleId="BalloonText">
    <w:name w:val="Balloon Text"/>
    <w:basedOn w:val="Normal"/>
    <w:link w:val="BalloonTextChar"/>
    <w:uiPriority w:val="99"/>
    <w:semiHidden/>
    <w:unhideWhenUsed/>
    <w:rsid w:val="009E45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4571"/>
    <w:rPr>
      <w:rFonts w:ascii="Lucida Grande" w:eastAsia="Times New Roman"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699</Words>
  <Characters>3989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PBC</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Pierart, Pauline</dc:creator>
  <cp:keywords/>
  <dc:description/>
  <cp:lastModifiedBy>Guest User</cp:lastModifiedBy>
  <cp:revision>2</cp:revision>
  <dcterms:created xsi:type="dcterms:W3CDTF">2016-05-02T15:26:00Z</dcterms:created>
  <dcterms:modified xsi:type="dcterms:W3CDTF">2016-05-02T15:26:00Z</dcterms:modified>
</cp:coreProperties>
</file>