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2F2" w:rsidRDefault="001572F2" w:rsidP="004278B1">
      <w:pPr>
        <w:pStyle w:val="NoSpacing"/>
        <w:ind w:left="993"/>
      </w:pPr>
    </w:p>
    <w:p w:rsidR="00B97593" w:rsidRDefault="008D3EBD" w:rsidP="006917E1">
      <w:pPr>
        <w:pStyle w:val="NoSpacing"/>
        <w:ind w:left="993"/>
      </w:pPr>
      <w:r>
        <w:rPr>
          <w:noProof/>
          <w:lang w:val="nl-BE" w:eastAsia="nl-BE"/>
        </w:rPr>
        <mc:AlternateContent>
          <mc:Choice Requires="wps">
            <w:drawing>
              <wp:anchor distT="0" distB="0" distL="114300" distR="114300" simplePos="0" relativeHeight="251656704" behindDoc="0" locked="0" layoutInCell="1" allowOverlap="1">
                <wp:simplePos x="0" y="0"/>
                <wp:positionH relativeFrom="column">
                  <wp:posOffset>1990725</wp:posOffset>
                </wp:positionH>
                <wp:positionV relativeFrom="paragraph">
                  <wp:posOffset>66040</wp:posOffset>
                </wp:positionV>
                <wp:extent cx="4709795" cy="675640"/>
                <wp:effectExtent l="0"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719" w:rsidRPr="00D01FB0" w:rsidRDefault="00791719" w:rsidP="00673D3E">
                            <w:pPr>
                              <w:spacing w:after="0" w:line="240" w:lineRule="auto"/>
                              <w:rPr>
                                <w:rFonts w:ascii="Rockwell" w:hAnsi="Rockwell" w:cs="Rockwell"/>
                                <w:color w:val="00AEEF"/>
                                <w:sz w:val="48"/>
                                <w:szCs w:val="48"/>
                                <w:lang w:val="fr-FR" w:eastAsia="nl-BE"/>
                              </w:rPr>
                            </w:pPr>
                            <w:r w:rsidRPr="00D01FB0">
                              <w:rPr>
                                <w:rFonts w:ascii="Rockwell" w:hAnsi="Rockwell" w:cs="Rockwell"/>
                                <w:color w:val="00AEEF"/>
                                <w:sz w:val="48"/>
                                <w:szCs w:val="48"/>
                                <w:lang w:val="fr-FR" w:eastAsia="nl-BE"/>
                              </w:rPr>
                              <w:t>Communiqué de presse</w:t>
                            </w:r>
                          </w:p>
                          <w:p w:rsidR="00791719" w:rsidRPr="00017FD1" w:rsidRDefault="00791719" w:rsidP="00673D3E">
                            <w:pPr>
                              <w:rPr>
                                <w:color w:val="003768"/>
                                <w:szCs w:val="20"/>
                                <w:lang w:val="fr-FR"/>
                              </w:rPr>
                            </w:pPr>
                            <w:r w:rsidRPr="00017FD1">
                              <w:rPr>
                                <w:rFonts w:ascii="Rockwell" w:hAnsi="Rockwell" w:cs="Rockwell"/>
                                <w:color w:val="003768"/>
                                <w:sz w:val="20"/>
                                <w:szCs w:val="20"/>
                                <w:lang w:val="fr-FR" w:eastAsia="nl-BE"/>
                              </w:rPr>
                              <w:t>Hors séance boursière – Information réglementée*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75pt;margin-top:5.2pt;width:370.85pt;height:5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8kMtgIAALk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" filled="f" stroked="f">
                <v:textbox>
                  <w:txbxContent>
                    <w:p w:rsidR="00791719" w:rsidRPr="00D01FB0" w:rsidRDefault="00791719" w:rsidP="00673D3E">
                      <w:pPr>
                        <w:spacing w:after="0" w:line="240" w:lineRule="auto"/>
                        <w:rPr>
                          <w:rFonts w:ascii="Rockwell" w:hAnsi="Rockwell" w:cs="Rockwell"/>
                          <w:color w:val="00AEEF"/>
                          <w:sz w:val="48"/>
                          <w:szCs w:val="48"/>
                          <w:lang w:val="fr-FR" w:eastAsia="nl-BE"/>
                        </w:rPr>
                      </w:pPr>
                      <w:r w:rsidRPr="00D01FB0">
                        <w:rPr>
                          <w:rFonts w:ascii="Rockwell" w:hAnsi="Rockwell" w:cs="Rockwell"/>
                          <w:color w:val="00AEEF"/>
                          <w:sz w:val="48"/>
                          <w:szCs w:val="48"/>
                          <w:lang w:val="fr-FR" w:eastAsia="nl-BE"/>
                        </w:rPr>
                        <w:t>Communiqué de presse</w:t>
                      </w:r>
                    </w:p>
                    <w:p w:rsidR="00791719" w:rsidRPr="00017FD1" w:rsidRDefault="00791719" w:rsidP="00673D3E">
                      <w:pPr>
                        <w:rPr>
                          <w:color w:val="003768"/>
                          <w:szCs w:val="20"/>
                          <w:lang w:val="fr-FR"/>
                        </w:rPr>
                      </w:pPr>
                      <w:r w:rsidRPr="00017FD1">
                        <w:rPr>
                          <w:rFonts w:ascii="Rockwell" w:hAnsi="Rockwell" w:cs="Rockwell"/>
                          <w:color w:val="003768"/>
                          <w:sz w:val="20"/>
                          <w:szCs w:val="20"/>
                          <w:lang w:val="fr-FR" w:eastAsia="nl-BE"/>
                        </w:rPr>
                        <w:t>Hors séance boursière – Information réglementée*</w:t>
                      </w:r>
                    </w:p>
                  </w:txbxContent>
                </v:textbox>
              </v:shape>
            </w:pict>
          </mc:Fallback>
        </mc:AlternateContent>
      </w:r>
      <w:r w:rsidR="00D57A50">
        <w:rPr>
          <w:noProof/>
          <w:lang w:val="nl-BE" w:eastAsia="nl-BE"/>
        </w:rPr>
        <w:drawing>
          <wp:inline distT="0" distB="0" distL="0" distR="0">
            <wp:extent cx="808355" cy="616585"/>
            <wp:effectExtent l="19050" t="0" r="0" b="0"/>
            <wp:docPr id="1" name="Picture 1" descr="KBC_Logo_5cm_300dpi_no_antial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C_Logo_5cm_300dpi_no_antialias"/>
                    <pic:cNvPicPr>
                      <a:picLocks noChangeAspect="1" noChangeArrowheads="1"/>
                    </pic:cNvPicPr>
                  </pic:nvPicPr>
                  <pic:blipFill>
                    <a:blip r:embed="rId8" cstate="print"/>
                    <a:srcRect/>
                    <a:stretch>
                      <a:fillRect/>
                    </a:stretch>
                  </pic:blipFill>
                  <pic:spPr bwMode="auto">
                    <a:xfrm>
                      <a:off x="0" y="0"/>
                      <a:ext cx="808355" cy="616585"/>
                    </a:xfrm>
                    <a:prstGeom prst="rect">
                      <a:avLst/>
                    </a:prstGeom>
                    <a:noFill/>
                    <a:ln w="9525">
                      <a:noFill/>
                      <a:miter lim="800000"/>
                      <a:headEnd/>
                      <a:tailEnd/>
                    </a:ln>
                  </pic:spPr>
                </pic:pic>
              </a:graphicData>
            </a:graphic>
          </wp:inline>
        </w:drawing>
      </w:r>
    </w:p>
    <w:p w:rsidR="004278B1" w:rsidRDefault="004278B1" w:rsidP="00673D3E">
      <w:pPr>
        <w:pStyle w:val="NoSpacing"/>
        <w:ind w:left="1440"/>
        <w:rPr>
          <w:sz w:val="8"/>
          <w:szCs w:val="8"/>
        </w:rPr>
      </w:pPr>
    </w:p>
    <w:p w:rsidR="00FC36C2" w:rsidRPr="004278B1" w:rsidRDefault="00FC36C2" w:rsidP="00673D3E">
      <w:pPr>
        <w:pStyle w:val="NoSpacing"/>
        <w:ind w:left="1440"/>
        <w:rPr>
          <w:sz w:val="8"/>
          <w:szCs w:val="8"/>
        </w:rPr>
      </w:pPr>
    </w:p>
    <w:p w:rsidR="004278B1" w:rsidRDefault="00D57A50" w:rsidP="00FC36C2">
      <w:pPr>
        <w:pStyle w:val="NoSpacing"/>
        <w:ind w:left="284"/>
      </w:pPr>
      <w:r>
        <w:rPr>
          <w:noProof/>
          <w:lang w:val="nl-BE" w:eastAsia="nl-BE"/>
        </w:rPr>
        <w:drawing>
          <wp:inline distT="0" distB="0" distL="0" distR="0">
            <wp:extent cx="6772910" cy="170180"/>
            <wp:effectExtent l="19050" t="0" r="8890" b="0"/>
            <wp:docPr id="2" name="Picture 2" descr="curve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ve01b"/>
                    <pic:cNvPicPr>
                      <a:picLocks noChangeAspect="1" noChangeArrowheads="1"/>
                    </pic:cNvPicPr>
                  </pic:nvPicPr>
                  <pic:blipFill>
                    <a:blip r:embed="rId9" cstate="print"/>
                    <a:srcRect/>
                    <a:stretch>
                      <a:fillRect/>
                    </a:stretch>
                  </pic:blipFill>
                  <pic:spPr bwMode="auto">
                    <a:xfrm>
                      <a:off x="0" y="0"/>
                      <a:ext cx="6772910" cy="170180"/>
                    </a:xfrm>
                    <a:prstGeom prst="rect">
                      <a:avLst/>
                    </a:prstGeom>
                    <a:noFill/>
                    <a:ln w="9525">
                      <a:noFill/>
                      <a:miter lim="800000"/>
                      <a:headEnd/>
                      <a:tailEnd/>
                    </a:ln>
                  </pic:spPr>
                </pic:pic>
              </a:graphicData>
            </a:graphic>
          </wp:inline>
        </w:drawing>
      </w:r>
    </w:p>
    <w:p w:rsidR="00D14EBE" w:rsidRDefault="00D14EBE" w:rsidP="00D14EBE">
      <w:pPr>
        <w:pStyle w:val="NoSpacing"/>
        <w:ind w:left="993"/>
        <w:rPr>
          <w:lang w:val="fr-FR"/>
        </w:rPr>
      </w:pPr>
    </w:p>
    <w:p w:rsidR="0077354C" w:rsidRPr="009C1678" w:rsidRDefault="00CF64D1" w:rsidP="0077354C">
      <w:pPr>
        <w:ind w:left="993"/>
        <w:rPr>
          <w:color w:val="003768"/>
          <w:lang w:val="fr-FR"/>
        </w:rPr>
      </w:pPr>
      <w:r>
        <w:rPr>
          <w:color w:val="003768"/>
          <w:lang w:val="fr-FR"/>
        </w:rPr>
        <w:t>Bruxelles, 13 Février</w:t>
      </w:r>
      <w:r w:rsidR="00001188">
        <w:rPr>
          <w:color w:val="003768"/>
          <w:lang w:val="fr-FR"/>
        </w:rPr>
        <w:t xml:space="preserve"> 2014</w:t>
      </w:r>
      <w:r w:rsidR="0077354C" w:rsidRPr="009C1678">
        <w:rPr>
          <w:color w:val="003768"/>
          <w:lang w:val="fr-FR"/>
        </w:rPr>
        <w:t xml:space="preserve"> (0</w:t>
      </w:r>
      <w:r w:rsidR="00820EEE">
        <w:rPr>
          <w:color w:val="003768"/>
          <w:lang w:val="fr-FR"/>
        </w:rPr>
        <w:t>7</w:t>
      </w:r>
      <w:r w:rsidR="0077354C" w:rsidRPr="009C1678">
        <w:rPr>
          <w:color w:val="003768"/>
          <w:lang w:val="fr-FR"/>
        </w:rPr>
        <w:t xml:space="preserve">.00 </w:t>
      </w:r>
      <w:r w:rsidR="00F1792B">
        <w:rPr>
          <w:color w:val="003768"/>
          <w:lang w:val="fr-FR"/>
        </w:rPr>
        <w:t>heures</w:t>
      </w:r>
      <w:bookmarkStart w:id="0" w:name="_GoBack"/>
      <w:bookmarkEnd w:id="0"/>
      <w:r w:rsidR="0077354C" w:rsidRPr="009C1678">
        <w:rPr>
          <w:color w:val="003768"/>
          <w:lang w:val="fr-FR"/>
        </w:rPr>
        <w:t>)</w:t>
      </w:r>
    </w:p>
    <w:p w:rsidR="0077354C" w:rsidRPr="00017FD1" w:rsidRDefault="0077354C" w:rsidP="0077354C">
      <w:pPr>
        <w:autoSpaceDE w:val="0"/>
        <w:autoSpaceDN w:val="0"/>
        <w:adjustRightInd w:val="0"/>
        <w:spacing w:after="0" w:line="240" w:lineRule="auto"/>
        <w:ind w:left="993" w:right="4"/>
        <w:rPr>
          <w:rFonts w:cs="Arial"/>
          <w:b/>
          <w:bCs/>
          <w:color w:val="003768"/>
          <w:sz w:val="28"/>
          <w:szCs w:val="28"/>
          <w:lang w:val="fr-FR"/>
        </w:rPr>
      </w:pPr>
    </w:p>
    <w:p w:rsidR="0077354C" w:rsidRPr="00D01FB0" w:rsidRDefault="00CF64D1" w:rsidP="00CF64D1">
      <w:pPr>
        <w:spacing w:after="60"/>
        <w:ind w:left="992" w:right="-31"/>
        <w:jc w:val="both"/>
        <w:rPr>
          <w:rFonts w:ascii="Rockwell" w:hAnsi="Rockwell"/>
          <w:b/>
          <w:color w:val="00AEEF"/>
          <w:lang w:val="fr-FR"/>
        </w:rPr>
      </w:pPr>
      <w:r w:rsidRPr="00CF64D1">
        <w:rPr>
          <w:rFonts w:ascii="Rockwell" w:hAnsi="Rockwell" w:cs="Rockwell,Bold"/>
          <w:b/>
          <w:bCs/>
          <w:color w:val="00AEEF"/>
          <w:sz w:val="48"/>
          <w:szCs w:val="48"/>
          <w:lang w:val="fr-FR"/>
        </w:rPr>
        <w:t>2013: bénéfice de 1 milliard d'euros. 2014: au-delà des restructurations de KBC</w:t>
      </w:r>
    </w:p>
    <w:p w:rsidR="0077354C" w:rsidRPr="00D01FB0" w:rsidRDefault="0077354C" w:rsidP="00CF64D1">
      <w:pPr>
        <w:autoSpaceDE w:val="0"/>
        <w:autoSpaceDN w:val="0"/>
        <w:adjustRightInd w:val="0"/>
        <w:spacing w:after="60" w:line="240" w:lineRule="auto"/>
        <w:ind w:left="992" w:right="4"/>
        <w:jc w:val="both"/>
        <w:rPr>
          <w:rFonts w:cs="Arial"/>
          <w:b/>
          <w:bCs/>
          <w:color w:val="003768"/>
          <w:sz w:val="28"/>
          <w:szCs w:val="28"/>
          <w:lang w:val="fr-FR"/>
        </w:rPr>
      </w:pPr>
    </w:p>
    <w:p w:rsidR="00CF64D1" w:rsidRPr="00727E16" w:rsidRDefault="00CF64D1" w:rsidP="00727E16">
      <w:pPr>
        <w:autoSpaceDE w:val="0"/>
        <w:autoSpaceDN w:val="0"/>
        <w:adjustRightInd w:val="0"/>
        <w:spacing w:after="0" w:line="240" w:lineRule="auto"/>
        <w:ind w:left="992" w:right="6"/>
        <w:jc w:val="both"/>
        <w:rPr>
          <w:rFonts w:cs="Arial"/>
          <w:b/>
          <w:bCs/>
          <w:color w:val="003768"/>
          <w:sz w:val="20"/>
          <w:szCs w:val="20"/>
          <w:lang w:val="fr-FR"/>
        </w:rPr>
      </w:pPr>
      <w:r w:rsidRPr="00727E16">
        <w:rPr>
          <w:rFonts w:cs="Arial"/>
          <w:b/>
          <w:bCs/>
          <w:color w:val="003768"/>
          <w:sz w:val="20"/>
          <w:szCs w:val="20"/>
          <w:lang w:val="fr-FR"/>
        </w:rPr>
        <w:t>KBC clôture 2013 sur un bénéfice net de 1 015 millions d’euros, par rapport à 612 millions d'euros pour l'exercice 2012.</w:t>
      </w:r>
    </w:p>
    <w:p w:rsidR="00CF64D1" w:rsidRPr="00727E16" w:rsidRDefault="00CF64D1" w:rsidP="00CF64D1">
      <w:pPr>
        <w:autoSpaceDE w:val="0"/>
        <w:autoSpaceDN w:val="0"/>
        <w:adjustRightInd w:val="0"/>
        <w:spacing w:after="60" w:line="240" w:lineRule="auto"/>
        <w:ind w:left="992" w:right="6"/>
        <w:jc w:val="both"/>
        <w:rPr>
          <w:rFonts w:cs="Arial"/>
          <w:b/>
          <w:bCs/>
          <w:color w:val="003768"/>
          <w:sz w:val="20"/>
          <w:szCs w:val="20"/>
          <w:lang w:val="fr-FR"/>
        </w:rPr>
      </w:pPr>
      <w:r w:rsidRPr="00727E16">
        <w:rPr>
          <w:rFonts w:cs="Arial"/>
          <w:b/>
          <w:bCs/>
          <w:color w:val="003768"/>
          <w:sz w:val="20"/>
          <w:szCs w:val="20"/>
          <w:lang w:val="fr-FR"/>
        </w:rPr>
        <w:t xml:space="preserve">Au quatrième trimestre 2013, KBC accuse une perte nette de 294 millions d’euros, par rapport à un bénéfice net de 272 millions au troisième trimestre et 240 millions un an auparavant. </w:t>
      </w:r>
    </w:p>
    <w:p w:rsidR="00CF64D1" w:rsidRPr="00727E16" w:rsidRDefault="00CF64D1" w:rsidP="00CF64D1">
      <w:pPr>
        <w:autoSpaceDE w:val="0"/>
        <w:autoSpaceDN w:val="0"/>
        <w:adjustRightInd w:val="0"/>
        <w:spacing w:after="60" w:line="240" w:lineRule="auto"/>
        <w:ind w:left="992" w:right="6"/>
        <w:jc w:val="both"/>
        <w:rPr>
          <w:rFonts w:cs="Arial"/>
          <w:b/>
          <w:bCs/>
          <w:color w:val="003768"/>
          <w:sz w:val="20"/>
          <w:szCs w:val="20"/>
          <w:lang w:val="fr-FR"/>
        </w:rPr>
      </w:pPr>
      <w:r w:rsidRPr="00727E16">
        <w:rPr>
          <w:rFonts w:cs="Arial"/>
          <w:b/>
          <w:bCs/>
          <w:color w:val="003768"/>
          <w:sz w:val="20"/>
          <w:szCs w:val="20"/>
          <w:lang w:val="fr-FR"/>
        </w:rPr>
        <w:t xml:space="preserve">Abstraction faite de l'incidence des activités </w:t>
      </w:r>
      <w:proofErr w:type="spellStart"/>
      <w:r w:rsidRPr="00727E16">
        <w:rPr>
          <w:rFonts w:cs="Arial"/>
          <w:b/>
          <w:bCs/>
          <w:color w:val="003768"/>
          <w:sz w:val="20"/>
          <w:szCs w:val="20"/>
          <w:lang w:val="fr-FR"/>
        </w:rPr>
        <w:t>legacy</w:t>
      </w:r>
      <w:proofErr w:type="spellEnd"/>
      <w:r w:rsidRPr="00727E16">
        <w:rPr>
          <w:rFonts w:cs="Arial"/>
          <w:b/>
          <w:bCs/>
          <w:color w:val="003768"/>
          <w:sz w:val="20"/>
          <w:szCs w:val="20"/>
          <w:lang w:val="fr-FR"/>
        </w:rPr>
        <w:t xml:space="preserve"> (CDO, désinvestissements) et de la valorisation de nos propres risques de crédit, le bénéfice net ajusté s’élève à 960 millions d’euros en 2013, contre 1 496 millions en 2012. Au dernier trimestre de l'année, le bénéfice net ajusté s’est établi à -340 millions d’euros, contre + 457 millions au troisième trimestre et +279 millions d'euros pour le quatrième trimestre 2012.</w:t>
      </w:r>
    </w:p>
    <w:p w:rsidR="00CF64D1" w:rsidRPr="00A64831" w:rsidRDefault="00A64831" w:rsidP="00CF64D1">
      <w:pPr>
        <w:autoSpaceDE w:val="0"/>
        <w:autoSpaceDN w:val="0"/>
        <w:adjustRightInd w:val="0"/>
        <w:spacing w:after="60" w:line="240" w:lineRule="auto"/>
        <w:ind w:left="992" w:right="4"/>
        <w:jc w:val="both"/>
        <w:rPr>
          <w:rFonts w:cs="Arial"/>
          <w:b/>
          <w:bCs/>
          <w:color w:val="003768"/>
          <w:sz w:val="20"/>
          <w:szCs w:val="20"/>
          <w:lang w:val="fr-FR"/>
        </w:rPr>
      </w:pPr>
      <w:r w:rsidRPr="00A64831">
        <w:rPr>
          <w:rFonts w:cs="Arial"/>
          <w:b/>
          <w:bCs/>
          <w:color w:val="003768"/>
          <w:sz w:val="20"/>
          <w:szCs w:val="20"/>
          <w:lang w:val="fr-FR"/>
        </w:rPr>
        <w:t>Johan Thijs, CEO du groupe :</w:t>
      </w:r>
    </w:p>
    <w:p w:rsidR="00A64831" w:rsidRPr="00A64831" w:rsidRDefault="00A64831" w:rsidP="00A64831">
      <w:pPr>
        <w:autoSpaceDE w:val="0"/>
        <w:autoSpaceDN w:val="0"/>
        <w:adjustRightInd w:val="0"/>
        <w:spacing w:after="60" w:line="240" w:lineRule="auto"/>
        <w:ind w:left="992" w:right="6"/>
        <w:jc w:val="both"/>
        <w:rPr>
          <w:rFonts w:cs="Arial"/>
          <w:bCs/>
          <w:i/>
          <w:color w:val="003768"/>
          <w:sz w:val="20"/>
          <w:szCs w:val="20"/>
          <w:lang w:val="fr-FR"/>
        </w:rPr>
      </w:pPr>
      <w:r w:rsidRPr="00485E48">
        <w:rPr>
          <w:rFonts w:cs="Arial"/>
          <w:bCs/>
          <w:i/>
          <w:noProof/>
          <w:color w:val="003768"/>
          <w:sz w:val="20"/>
          <w:szCs w:val="20"/>
          <w:lang w:val="nl-BE" w:eastAsia="nl-BE"/>
        </w:rPr>
        <w:drawing>
          <wp:anchor distT="0" distB="0" distL="114300" distR="114300" simplePos="0" relativeHeight="251660800" behindDoc="0" locked="0" layoutInCell="1" allowOverlap="1" wp14:anchorId="78091CED" wp14:editId="10A7B985">
            <wp:simplePos x="0" y="0"/>
            <wp:positionH relativeFrom="column">
              <wp:posOffset>636905</wp:posOffset>
            </wp:positionH>
            <wp:positionV relativeFrom="paragraph">
              <wp:posOffset>26035</wp:posOffset>
            </wp:positionV>
            <wp:extent cx="790575" cy="1190625"/>
            <wp:effectExtent l="0" t="0" r="9525" b="9525"/>
            <wp:wrapSquare wrapText="bothSides"/>
            <wp:docPr id="7" name="Afbeelding 7" descr="C:\Users\u02014\AppData\Local\Temp\notesBD61A0\johan thijs feb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2014\AppData\Local\Temp\notesBD61A0\johan thijs feb20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831">
        <w:rPr>
          <w:rFonts w:cs="Arial"/>
          <w:bCs/>
          <w:i/>
          <w:color w:val="003768"/>
          <w:sz w:val="20"/>
          <w:szCs w:val="20"/>
          <w:lang w:val="fr-FR"/>
        </w:rPr>
        <w:t xml:space="preserve"> « Les indicateurs récents confirment que la relance économique, qui s'était progressivement dessinée en 2013 se poursuit en 2014. À la faveur de l'embellie de la situation économique, KBC réalise un résultat net de     1 015 millions d'euros pour l'ensemble de l'exercice 2013 ou de 960 millions d'euros en termes ajustés. Le résultat du quatrième trimestre se ressent surtout des pertes de valeur annoncées sur crédits en Irlande, qui se traduisent par une perte nette de 294 millions d'euros ou 340 millions d'euros en termes de bénéfice ajusté. Abstraction faite de cette réduction de valeur supplémentaire à caractère unique (un montant après impôts de 688 millions d'euros), le résultat net se monte à 394 millions d'euros, tandis que le résultat net ajusté s'établit à 348 millions d'euros. Par comparaison avec le trimestre précédent, le groupe a encore accru sa marge d'intérêt nette, le volume des dépôts et des crédits hypothécaires augmentant dans divers pays. Nous enregistrons aussi une hausse de nos revenus de frais et commissions et maintenons un bon ratio combiné, ainsi qu'un excellent ratio charges/revenus. En revanche, les réductions de valeur pour pertes de crédit (abstraction faite de l'Irlande) se creusent quelque peu et les charges d'exploitation augmentent légèrement sous influence saisonnière.</w:t>
      </w:r>
    </w:p>
    <w:p w:rsidR="00A64831" w:rsidRPr="00A64831" w:rsidRDefault="00A64831" w:rsidP="00A64831">
      <w:pPr>
        <w:autoSpaceDE w:val="0"/>
        <w:autoSpaceDN w:val="0"/>
        <w:adjustRightInd w:val="0"/>
        <w:spacing w:after="60" w:line="240" w:lineRule="auto"/>
        <w:ind w:left="992" w:right="6"/>
        <w:jc w:val="both"/>
        <w:rPr>
          <w:rFonts w:cs="Arial"/>
          <w:bCs/>
          <w:i/>
          <w:color w:val="003768"/>
          <w:sz w:val="20"/>
          <w:szCs w:val="20"/>
          <w:lang w:val="fr-FR"/>
        </w:rPr>
      </w:pPr>
      <w:r w:rsidRPr="00A64831">
        <w:rPr>
          <w:rFonts w:cs="Arial"/>
          <w:bCs/>
          <w:i/>
          <w:color w:val="003768"/>
          <w:sz w:val="20"/>
          <w:szCs w:val="20"/>
          <w:lang w:val="fr-FR"/>
        </w:rPr>
        <w:t>Pour le trimestre sous revue, la division Belgique dégage un résultat net de 376 millions d’euros, nettement supérieur aux 295 millions du dernier trimestre de 2012. Par rapport au troisième trimestre, le quatrième trimestre se caractérise par des revenus nets d’intérêts en hausse, des revenus nets de commissions stables, un bon résultat des ventes de produits d’assurance vie mais un ratio combiné non-vie en léger recul par suite d'une hausse des demandes d'indemnisation, une contraction des charges d'exploitation et une hausse des réductions de valeur pour pertes de crédit. Les activités bancaires et d'assurance ont généré respectivement 85% et 15% du résultat net sur la période.</w:t>
      </w:r>
    </w:p>
    <w:p w:rsidR="00A64831" w:rsidRPr="00A64831" w:rsidRDefault="00A64831" w:rsidP="00A64831">
      <w:pPr>
        <w:autoSpaceDE w:val="0"/>
        <w:autoSpaceDN w:val="0"/>
        <w:adjustRightInd w:val="0"/>
        <w:spacing w:after="60" w:line="240" w:lineRule="auto"/>
        <w:ind w:left="992" w:right="6"/>
        <w:jc w:val="both"/>
        <w:rPr>
          <w:rFonts w:cs="Arial"/>
          <w:bCs/>
          <w:i/>
          <w:color w:val="003768"/>
          <w:sz w:val="20"/>
          <w:szCs w:val="20"/>
          <w:lang w:val="fr-FR"/>
        </w:rPr>
      </w:pPr>
      <w:r w:rsidRPr="00A64831">
        <w:rPr>
          <w:rFonts w:cs="Arial"/>
          <w:bCs/>
          <w:i/>
          <w:color w:val="003768"/>
          <w:sz w:val="20"/>
          <w:szCs w:val="20"/>
          <w:lang w:val="fr-FR"/>
        </w:rPr>
        <w:t>Le résultat net de la division République tchèque s'inscrit à 119 millions d’euros, légèrement mieux qu'au dernier trimestre de 2012. En général, les résultats se sont ressentis de l'affaiblissement de la couronne tchèque durant les trois derniers mois de l'année. Par rapport au troisième trimestre, ce trimestre a été marqué par un léger recul des revenus nets d’intérêts, une amélioration du ratio combiné d'assurance non-vie, une augmentation des ventes de produits d’assurance vie branche 23 et des revenus nets de commissions, une hausse des charges d'exploitation due à des effets saisonniers et une augmentation des réductions de valeur pour pertes de crédit. Les activités bancaires et d’assurance ont généré respectivement 92% et 8% du résultat net sur la période.</w:t>
      </w:r>
    </w:p>
    <w:p w:rsidR="00A64831" w:rsidRPr="00A64831" w:rsidRDefault="00A64831" w:rsidP="00A64831">
      <w:pPr>
        <w:autoSpaceDE w:val="0"/>
        <w:autoSpaceDN w:val="0"/>
        <w:adjustRightInd w:val="0"/>
        <w:spacing w:after="60" w:line="240" w:lineRule="auto"/>
        <w:ind w:left="992" w:right="6"/>
        <w:jc w:val="both"/>
        <w:rPr>
          <w:rFonts w:cs="Arial"/>
          <w:bCs/>
          <w:i/>
          <w:color w:val="003768"/>
          <w:sz w:val="20"/>
          <w:szCs w:val="20"/>
          <w:lang w:val="fr-FR"/>
        </w:rPr>
      </w:pPr>
      <w:r w:rsidRPr="00A64831">
        <w:rPr>
          <w:rFonts w:cs="Arial"/>
          <w:bCs/>
          <w:i/>
          <w:color w:val="003768"/>
          <w:sz w:val="20"/>
          <w:szCs w:val="20"/>
          <w:lang w:val="fr-FR"/>
        </w:rPr>
        <w:t xml:space="preserve">À titre exceptionnel et à caractère unique, la division Marchés internationaux affiche un résultat net de -731 millions d'euros. Par rapport au trimestre précédent, le quatrième trimestre a été surtout marqué par des réductions de valeur de 773 millions d'euros sur le portefeuille de crédits irlandais. Par ailleurs, les revenus d'intérêts accusent une </w:t>
      </w:r>
      <w:r w:rsidRPr="00A64831">
        <w:rPr>
          <w:rFonts w:cs="Arial"/>
          <w:bCs/>
          <w:i/>
          <w:color w:val="003768"/>
          <w:sz w:val="20"/>
          <w:szCs w:val="20"/>
          <w:lang w:val="fr-FR"/>
        </w:rPr>
        <w:lastRenderedPageBreak/>
        <w:t>contraction (à cause de l'Irlande), mais les revenus nets de commissions affichent une forte progression (grâce à la Hongrie). Des effets saisonniers et des charges plus élevées en Irlande ont en revanche gonflé les charges. Globalement, les activités bancaires accusent un résultat net négatif de -735 millions d’euros (les résultats positifs en Hongrie (malgré une fiscalité défavorable), en Slovaquie (bénéfices en forte hausse) et en Bulgarie étant épongés par le résultat négatif de l'Irlande), tandis que les activités d'assurance dégagent un résultat net positif de 4 millions d’euros.</w:t>
      </w:r>
    </w:p>
    <w:p w:rsidR="00A64831" w:rsidRPr="00A64831" w:rsidRDefault="00A64831" w:rsidP="00A64831">
      <w:pPr>
        <w:autoSpaceDE w:val="0"/>
        <w:autoSpaceDN w:val="0"/>
        <w:adjustRightInd w:val="0"/>
        <w:spacing w:after="60" w:line="240" w:lineRule="auto"/>
        <w:ind w:left="992" w:right="6"/>
        <w:jc w:val="both"/>
        <w:rPr>
          <w:rFonts w:cs="Arial"/>
          <w:bCs/>
          <w:i/>
          <w:color w:val="003768"/>
          <w:sz w:val="20"/>
          <w:szCs w:val="20"/>
          <w:lang w:val="fr-FR"/>
        </w:rPr>
      </w:pPr>
      <w:r w:rsidRPr="00A64831">
        <w:rPr>
          <w:rFonts w:cs="Arial"/>
          <w:bCs/>
          <w:i/>
          <w:color w:val="003768"/>
          <w:sz w:val="20"/>
          <w:szCs w:val="20"/>
          <w:lang w:val="fr-FR"/>
        </w:rPr>
        <w:t>Comme annoncé en novembre 2013, nous avons réexaminé notre portefeuille de crédits avec une attention particulière pour le portefeuille de crédits irlandais et constitué des provisions supplémentaires pour faire face à la reclassification de 2 milliards d'euros de crédits hypothécaires restructurés. Au vu de la reprise plus lente que prévu du secteur des PME en Irlande et des perspectives plus prudentes sur les flux de trésorerie futurs et la valeur des garanties, nous avons également constitué des provisions pour notre portefeuille de crédits aux entreprises. Au total, les réductions de valeur en découlant se sont élevées en Irlande globalement à 773 millions d’euros au quatrième trimestre 2013. En termes de provisions pour pertes de crédit en Irlande, notre objectif pour les années à venir reste de 150 à 200 millions d'euros pour 2014 et de 50 et 100 millions d'euros pour 2015 et 2016. Ces pronostics reposent sur les projections économiques actuelles. En ce qui concerne les autres pays, les éventuelles incidences sont jugées non significatives pour l'instant.</w:t>
      </w:r>
    </w:p>
    <w:p w:rsidR="00A64831" w:rsidRPr="00A64831" w:rsidRDefault="00A64831" w:rsidP="00A64831">
      <w:pPr>
        <w:autoSpaceDE w:val="0"/>
        <w:autoSpaceDN w:val="0"/>
        <w:adjustRightInd w:val="0"/>
        <w:spacing w:after="60" w:line="240" w:lineRule="auto"/>
        <w:ind w:left="992" w:right="6"/>
        <w:jc w:val="both"/>
        <w:rPr>
          <w:rFonts w:cs="Arial"/>
          <w:bCs/>
          <w:i/>
          <w:color w:val="003768"/>
          <w:sz w:val="20"/>
          <w:szCs w:val="20"/>
          <w:lang w:val="fr-FR"/>
        </w:rPr>
      </w:pPr>
      <w:r w:rsidRPr="00A64831">
        <w:rPr>
          <w:rFonts w:cs="Arial"/>
          <w:bCs/>
          <w:i/>
          <w:color w:val="003768"/>
          <w:sz w:val="20"/>
          <w:szCs w:val="20"/>
          <w:lang w:val="fr-FR"/>
        </w:rPr>
        <w:t xml:space="preserve">Nous avons aussi mis un point final à notre programme de désinvestissements. En décembre, nous avons finalisé la vente de KBC Banka et annoncé qu'un accord avait été conclu sur la cession de la Banque Diamantaire Anversoise au groupe </w:t>
      </w:r>
      <w:proofErr w:type="spellStart"/>
      <w:r w:rsidRPr="00A64831">
        <w:rPr>
          <w:rFonts w:cs="Arial"/>
          <w:bCs/>
          <w:i/>
          <w:color w:val="003768"/>
          <w:sz w:val="20"/>
          <w:szCs w:val="20"/>
          <w:lang w:val="fr-FR"/>
        </w:rPr>
        <w:t>Yinren</w:t>
      </w:r>
      <w:proofErr w:type="spellEnd"/>
      <w:r w:rsidRPr="00A64831">
        <w:rPr>
          <w:rFonts w:cs="Arial"/>
          <w:bCs/>
          <w:i/>
          <w:color w:val="003768"/>
          <w:sz w:val="20"/>
          <w:szCs w:val="20"/>
          <w:lang w:val="fr-FR"/>
        </w:rPr>
        <w:t xml:space="preserve">. Comme annoncé précédemment, nous avons conclu en septembre un accord de vente de KBC Bank </w:t>
      </w:r>
      <w:proofErr w:type="spellStart"/>
      <w:r w:rsidRPr="00A64831">
        <w:rPr>
          <w:rFonts w:cs="Arial"/>
          <w:bCs/>
          <w:i/>
          <w:color w:val="003768"/>
          <w:sz w:val="20"/>
          <w:szCs w:val="20"/>
          <w:lang w:val="fr-FR"/>
        </w:rPr>
        <w:t>Deutschland</w:t>
      </w:r>
      <w:proofErr w:type="spellEnd"/>
      <w:r w:rsidRPr="00A64831">
        <w:rPr>
          <w:rFonts w:cs="Arial"/>
          <w:bCs/>
          <w:i/>
          <w:color w:val="003768"/>
          <w:sz w:val="20"/>
          <w:szCs w:val="20"/>
          <w:lang w:val="fr-FR"/>
        </w:rPr>
        <w:t xml:space="preserve"> AG. Ces différentes transactions devraient au final améliorer le ratio Tier-1 (selon Bâle II) de KBC de quelque 0,3%. </w:t>
      </w:r>
    </w:p>
    <w:p w:rsidR="00A64831" w:rsidRPr="00A64831" w:rsidRDefault="00A64831" w:rsidP="00A64831">
      <w:pPr>
        <w:autoSpaceDE w:val="0"/>
        <w:autoSpaceDN w:val="0"/>
        <w:adjustRightInd w:val="0"/>
        <w:spacing w:after="60" w:line="240" w:lineRule="auto"/>
        <w:ind w:left="992" w:right="6"/>
        <w:jc w:val="both"/>
        <w:rPr>
          <w:rFonts w:cs="Arial"/>
          <w:bCs/>
          <w:i/>
          <w:color w:val="003768"/>
          <w:sz w:val="20"/>
          <w:szCs w:val="20"/>
          <w:lang w:val="fr-FR"/>
        </w:rPr>
      </w:pPr>
      <w:r w:rsidRPr="00A64831">
        <w:rPr>
          <w:rFonts w:cs="Arial"/>
          <w:bCs/>
          <w:i/>
          <w:color w:val="003768"/>
          <w:sz w:val="20"/>
          <w:szCs w:val="20"/>
          <w:lang w:val="fr-FR"/>
        </w:rPr>
        <w:t xml:space="preserve">Nous avons résilié une CDO au premier trimestre 2014, ce qui réduira encore </w:t>
      </w:r>
      <w:proofErr w:type="spellStart"/>
      <w:r w:rsidRPr="00A64831">
        <w:rPr>
          <w:rFonts w:cs="Arial"/>
          <w:bCs/>
          <w:i/>
          <w:color w:val="003768"/>
          <w:sz w:val="20"/>
          <w:szCs w:val="20"/>
          <w:lang w:val="fr-FR"/>
        </w:rPr>
        <w:t>advantage</w:t>
      </w:r>
      <w:proofErr w:type="spellEnd"/>
      <w:r w:rsidRPr="00A64831">
        <w:rPr>
          <w:rFonts w:cs="Arial"/>
          <w:bCs/>
          <w:i/>
          <w:color w:val="003768"/>
          <w:sz w:val="20"/>
          <w:szCs w:val="20"/>
          <w:lang w:val="fr-FR"/>
        </w:rPr>
        <w:t xml:space="preserve"> l'exposition de nos actifs "</w:t>
      </w:r>
      <w:proofErr w:type="spellStart"/>
      <w:r w:rsidRPr="00A64831">
        <w:rPr>
          <w:rFonts w:cs="Arial"/>
          <w:bCs/>
          <w:i/>
          <w:color w:val="003768"/>
          <w:sz w:val="20"/>
          <w:szCs w:val="20"/>
          <w:lang w:val="fr-FR"/>
        </w:rPr>
        <w:t>legacy</w:t>
      </w:r>
      <w:proofErr w:type="spellEnd"/>
      <w:r w:rsidRPr="00A64831">
        <w:rPr>
          <w:rFonts w:cs="Arial"/>
          <w:bCs/>
          <w:i/>
          <w:color w:val="003768"/>
          <w:sz w:val="20"/>
          <w:szCs w:val="20"/>
          <w:lang w:val="fr-FR"/>
        </w:rPr>
        <w:t>", qui représentent environ 2 milliards d'euros en valeur nominale</w:t>
      </w:r>
    </w:p>
    <w:p w:rsidR="00A64831" w:rsidRPr="00A64831" w:rsidRDefault="00A64831" w:rsidP="00A64831">
      <w:pPr>
        <w:autoSpaceDE w:val="0"/>
        <w:autoSpaceDN w:val="0"/>
        <w:adjustRightInd w:val="0"/>
        <w:spacing w:after="60" w:line="240" w:lineRule="auto"/>
        <w:ind w:left="992" w:right="6"/>
        <w:jc w:val="both"/>
        <w:rPr>
          <w:rFonts w:cs="Arial"/>
          <w:bCs/>
          <w:i/>
          <w:color w:val="003768"/>
          <w:sz w:val="20"/>
          <w:szCs w:val="20"/>
          <w:lang w:val="fr-FR"/>
        </w:rPr>
      </w:pPr>
      <w:r w:rsidRPr="00A64831">
        <w:rPr>
          <w:rFonts w:cs="Arial"/>
          <w:bCs/>
          <w:i/>
          <w:color w:val="003768"/>
          <w:sz w:val="20"/>
          <w:szCs w:val="20"/>
          <w:lang w:val="fr-FR"/>
        </w:rPr>
        <w:t xml:space="preserve">En ce qui concerne la gestion du capital, KBC a obtenu au quatrième trimestre le remboursement de 0,7 milliard d'euros de crédits accordés à </w:t>
      </w:r>
      <w:proofErr w:type="spellStart"/>
      <w:r w:rsidRPr="00A64831">
        <w:rPr>
          <w:rFonts w:cs="Arial"/>
          <w:bCs/>
          <w:i/>
          <w:color w:val="003768"/>
          <w:sz w:val="20"/>
          <w:szCs w:val="20"/>
          <w:lang w:val="fr-FR"/>
        </w:rPr>
        <w:t>Cera</w:t>
      </w:r>
      <w:proofErr w:type="spellEnd"/>
      <w:r w:rsidRPr="00A64831">
        <w:rPr>
          <w:rFonts w:cs="Arial"/>
          <w:bCs/>
          <w:i/>
          <w:color w:val="003768"/>
          <w:sz w:val="20"/>
          <w:szCs w:val="20"/>
          <w:lang w:val="fr-FR"/>
        </w:rPr>
        <w:t xml:space="preserve"> et à KBC </w:t>
      </w:r>
      <w:proofErr w:type="spellStart"/>
      <w:r w:rsidRPr="00A64831">
        <w:rPr>
          <w:rFonts w:cs="Arial"/>
          <w:bCs/>
          <w:i/>
          <w:color w:val="003768"/>
          <w:sz w:val="20"/>
          <w:szCs w:val="20"/>
          <w:lang w:val="fr-FR"/>
        </w:rPr>
        <w:t>Ancora</w:t>
      </w:r>
      <w:proofErr w:type="spellEnd"/>
      <w:r w:rsidRPr="00A64831">
        <w:rPr>
          <w:rFonts w:cs="Arial"/>
          <w:bCs/>
          <w:i/>
          <w:color w:val="003768"/>
          <w:sz w:val="20"/>
          <w:szCs w:val="20"/>
          <w:lang w:val="fr-FR"/>
        </w:rPr>
        <w:t xml:space="preserve">. Le produit de la vente d'une partie des parts KBC Groupe détenues par ces deux entités a été affecté au financement de l'opération. Cette réduction a permis d'améliorer le capital réglementaire de 0,7 milliard d'euros et le ratio </w:t>
      </w:r>
      <w:proofErr w:type="spellStart"/>
      <w:r w:rsidRPr="00A64831">
        <w:rPr>
          <w:rFonts w:cs="Arial"/>
          <w:bCs/>
          <w:i/>
          <w:color w:val="003768"/>
          <w:sz w:val="20"/>
          <w:szCs w:val="20"/>
          <w:lang w:val="fr-FR"/>
        </w:rPr>
        <w:t>common</w:t>
      </w:r>
      <w:proofErr w:type="spellEnd"/>
      <w:r w:rsidRPr="00A64831">
        <w:rPr>
          <w:rFonts w:cs="Arial"/>
          <w:bCs/>
          <w:i/>
          <w:color w:val="003768"/>
          <w:sz w:val="20"/>
          <w:szCs w:val="20"/>
          <w:lang w:val="fr-FR"/>
        </w:rPr>
        <w:t xml:space="preserve"> </w:t>
      </w:r>
      <w:proofErr w:type="spellStart"/>
      <w:r w:rsidRPr="00A64831">
        <w:rPr>
          <w:rFonts w:cs="Arial"/>
          <w:bCs/>
          <w:i/>
          <w:color w:val="003768"/>
          <w:sz w:val="20"/>
          <w:szCs w:val="20"/>
          <w:lang w:val="fr-FR"/>
        </w:rPr>
        <w:t>equity</w:t>
      </w:r>
      <w:proofErr w:type="spellEnd"/>
      <w:r w:rsidRPr="00A64831">
        <w:rPr>
          <w:rFonts w:cs="Arial"/>
          <w:bCs/>
          <w:i/>
          <w:color w:val="003768"/>
          <w:sz w:val="20"/>
          <w:szCs w:val="20"/>
          <w:lang w:val="fr-FR"/>
        </w:rPr>
        <w:t xml:space="preserve"> (à pleine charge, selon Bâle III) de 0,7%.</w:t>
      </w:r>
    </w:p>
    <w:p w:rsidR="00A64831" w:rsidRPr="00A64831" w:rsidRDefault="00A64831" w:rsidP="00A64831">
      <w:pPr>
        <w:autoSpaceDE w:val="0"/>
        <w:autoSpaceDN w:val="0"/>
        <w:adjustRightInd w:val="0"/>
        <w:spacing w:after="60" w:line="240" w:lineRule="auto"/>
        <w:ind w:left="992" w:right="6"/>
        <w:jc w:val="both"/>
        <w:rPr>
          <w:rFonts w:cs="Arial"/>
          <w:bCs/>
          <w:i/>
          <w:color w:val="003768"/>
          <w:sz w:val="20"/>
          <w:szCs w:val="20"/>
          <w:lang w:val="fr-FR"/>
        </w:rPr>
      </w:pPr>
      <w:r w:rsidRPr="00A64831">
        <w:rPr>
          <w:rFonts w:cs="Arial"/>
          <w:bCs/>
          <w:i/>
          <w:color w:val="003768"/>
          <w:sz w:val="20"/>
          <w:szCs w:val="20"/>
          <w:lang w:val="fr-FR"/>
        </w:rPr>
        <w:t>Début 2014, nous avons remboursé une deuxième tranche des aides publiques (0,5 milliard d'euros, dont 0,33 milliard en principal et une pénalité de 50%) au gouvernement régional flamand. Ce remboursement était à nouveau en avance sur le plan convenu avec la Commission européenne et a été rendu possible par la robuste position de capital de KBC. Le solde des aides publiques à rembourser se monte dès lors à 2 milliards d'euros.</w:t>
      </w:r>
    </w:p>
    <w:p w:rsidR="00A64831" w:rsidRPr="00A64831" w:rsidRDefault="00A64831" w:rsidP="00A64831">
      <w:pPr>
        <w:autoSpaceDE w:val="0"/>
        <w:autoSpaceDN w:val="0"/>
        <w:adjustRightInd w:val="0"/>
        <w:spacing w:after="60" w:line="240" w:lineRule="auto"/>
        <w:ind w:left="992" w:right="6"/>
        <w:jc w:val="both"/>
        <w:rPr>
          <w:rFonts w:cs="Arial"/>
          <w:bCs/>
          <w:i/>
          <w:color w:val="003768"/>
          <w:sz w:val="20"/>
          <w:szCs w:val="20"/>
          <w:lang w:val="fr-FR"/>
        </w:rPr>
      </w:pPr>
      <w:r w:rsidRPr="00A64831">
        <w:rPr>
          <w:rFonts w:cs="Arial"/>
          <w:bCs/>
          <w:i/>
          <w:color w:val="003768"/>
          <w:sz w:val="20"/>
          <w:szCs w:val="20"/>
          <w:lang w:val="fr-FR"/>
        </w:rPr>
        <w:t>La position de liquidité du groupe demeure très solide, les ratios LCR et NSFR dépassant largement 100%.</w:t>
      </w:r>
    </w:p>
    <w:p w:rsidR="00A64831" w:rsidRPr="00A64831" w:rsidRDefault="00A64831" w:rsidP="00A64831">
      <w:pPr>
        <w:autoSpaceDE w:val="0"/>
        <w:autoSpaceDN w:val="0"/>
        <w:adjustRightInd w:val="0"/>
        <w:spacing w:after="60" w:line="240" w:lineRule="auto"/>
        <w:ind w:left="992" w:right="6"/>
        <w:jc w:val="both"/>
        <w:rPr>
          <w:rFonts w:cs="Arial"/>
          <w:bCs/>
          <w:i/>
          <w:color w:val="003768"/>
          <w:sz w:val="20"/>
          <w:szCs w:val="20"/>
          <w:lang w:val="fr-FR"/>
        </w:rPr>
      </w:pPr>
      <w:r w:rsidRPr="00A64831">
        <w:rPr>
          <w:rFonts w:cs="Arial"/>
          <w:bCs/>
          <w:i/>
          <w:color w:val="003768"/>
          <w:sz w:val="20"/>
          <w:szCs w:val="20"/>
          <w:lang w:val="fr-FR"/>
        </w:rPr>
        <w:t xml:space="preserve">Notre position de capital reste très robuste, comme en témoigne notre ratio Tier-1 pro forma de 15,6% (selon Bâle II). Ce calcul tient compte du remboursement de 0,5 milliard d'euros d'aides publiques au gouvernement régional flamand début janvier et des désinvestissements pour lesquels des accords ont été signés. Fin 2013, notre ratio </w:t>
      </w:r>
      <w:proofErr w:type="spellStart"/>
      <w:r w:rsidRPr="00A64831">
        <w:rPr>
          <w:rFonts w:cs="Arial"/>
          <w:bCs/>
          <w:i/>
          <w:color w:val="003768"/>
          <w:sz w:val="20"/>
          <w:szCs w:val="20"/>
          <w:lang w:val="fr-FR"/>
        </w:rPr>
        <w:t>common</w:t>
      </w:r>
      <w:proofErr w:type="spellEnd"/>
      <w:r w:rsidRPr="00A64831">
        <w:rPr>
          <w:rFonts w:cs="Arial"/>
          <w:bCs/>
          <w:i/>
          <w:color w:val="003768"/>
          <w:sz w:val="20"/>
          <w:szCs w:val="20"/>
          <w:lang w:val="fr-FR"/>
        </w:rPr>
        <w:t xml:space="preserve"> </w:t>
      </w:r>
      <w:proofErr w:type="spellStart"/>
      <w:r w:rsidRPr="00A64831">
        <w:rPr>
          <w:rFonts w:cs="Arial"/>
          <w:bCs/>
          <w:i/>
          <w:color w:val="003768"/>
          <w:sz w:val="20"/>
          <w:szCs w:val="20"/>
          <w:lang w:val="fr-FR"/>
        </w:rPr>
        <w:t>equity</w:t>
      </w:r>
      <w:proofErr w:type="spellEnd"/>
      <w:r w:rsidRPr="00A64831">
        <w:rPr>
          <w:rFonts w:cs="Arial"/>
          <w:bCs/>
          <w:i/>
          <w:color w:val="003768"/>
          <w:sz w:val="20"/>
          <w:szCs w:val="20"/>
          <w:lang w:val="fr-FR"/>
        </w:rPr>
        <w:t xml:space="preserve"> selon Bâle III s'inscrivait à 12,5 % (à pleine charge, pro forma, méthode du compromis danois), soit nettement au-dessus de notre objectif de maintenir un ratio </w:t>
      </w:r>
      <w:proofErr w:type="spellStart"/>
      <w:r w:rsidRPr="00A64831">
        <w:rPr>
          <w:rFonts w:cs="Arial"/>
          <w:bCs/>
          <w:i/>
          <w:color w:val="003768"/>
          <w:sz w:val="20"/>
          <w:szCs w:val="20"/>
          <w:lang w:val="fr-FR"/>
        </w:rPr>
        <w:t>common</w:t>
      </w:r>
      <w:proofErr w:type="spellEnd"/>
      <w:r w:rsidRPr="00A64831">
        <w:rPr>
          <w:rFonts w:cs="Arial"/>
          <w:bCs/>
          <w:i/>
          <w:color w:val="003768"/>
          <w:sz w:val="20"/>
          <w:szCs w:val="20"/>
          <w:lang w:val="fr-FR"/>
        </w:rPr>
        <w:t xml:space="preserve"> </w:t>
      </w:r>
      <w:proofErr w:type="spellStart"/>
      <w:r w:rsidRPr="00A64831">
        <w:rPr>
          <w:rFonts w:cs="Arial"/>
          <w:bCs/>
          <w:i/>
          <w:color w:val="003768"/>
          <w:sz w:val="20"/>
          <w:szCs w:val="20"/>
          <w:lang w:val="fr-FR"/>
        </w:rPr>
        <w:t>equity</w:t>
      </w:r>
      <w:proofErr w:type="spellEnd"/>
      <w:r w:rsidRPr="00A64831">
        <w:rPr>
          <w:rFonts w:cs="Arial"/>
          <w:bCs/>
          <w:i/>
          <w:color w:val="003768"/>
          <w:sz w:val="20"/>
          <w:szCs w:val="20"/>
          <w:lang w:val="fr-FR"/>
        </w:rPr>
        <w:t xml:space="preserve"> de 10% selon Bâle III (à pleine charge).</w:t>
      </w:r>
    </w:p>
    <w:p w:rsidR="00A64831" w:rsidRPr="00A64831" w:rsidRDefault="00A64831" w:rsidP="00A64831">
      <w:pPr>
        <w:autoSpaceDE w:val="0"/>
        <w:autoSpaceDN w:val="0"/>
        <w:adjustRightInd w:val="0"/>
        <w:spacing w:after="60" w:line="240" w:lineRule="auto"/>
        <w:ind w:left="992" w:right="6"/>
        <w:jc w:val="both"/>
        <w:rPr>
          <w:rFonts w:cs="Arial"/>
          <w:bCs/>
          <w:i/>
          <w:color w:val="003768"/>
          <w:sz w:val="20"/>
          <w:szCs w:val="20"/>
          <w:lang w:val="fr-FR"/>
        </w:rPr>
      </w:pPr>
      <w:r w:rsidRPr="00A64831">
        <w:rPr>
          <w:rFonts w:cs="Arial"/>
          <w:bCs/>
          <w:i/>
          <w:color w:val="003768"/>
          <w:sz w:val="20"/>
          <w:szCs w:val="20"/>
          <w:lang w:val="fr-FR"/>
        </w:rPr>
        <w:t xml:space="preserve">En ce qui concerne le paiement des dividendes futurs, nous proposerons à l'Assemblée générale annuelle des actionnaires de ne pas verser de dividende sur les exercices financiers 2013 et 2015. Il n'y aura donc pas non plus de coupon, pour ces exercices financiers, sur l'encours des </w:t>
      </w:r>
      <w:proofErr w:type="spellStart"/>
      <w:r w:rsidRPr="00A64831">
        <w:rPr>
          <w:rFonts w:cs="Arial"/>
          <w:bCs/>
          <w:i/>
          <w:color w:val="003768"/>
          <w:sz w:val="20"/>
          <w:szCs w:val="20"/>
          <w:lang w:val="fr-FR"/>
        </w:rPr>
        <w:t>Yield</w:t>
      </w:r>
      <w:proofErr w:type="spellEnd"/>
      <w:r w:rsidRPr="00A64831">
        <w:rPr>
          <w:rFonts w:cs="Arial"/>
          <w:bCs/>
          <w:i/>
          <w:color w:val="003768"/>
          <w:sz w:val="20"/>
          <w:szCs w:val="20"/>
          <w:lang w:val="fr-FR"/>
        </w:rPr>
        <w:t xml:space="preserve"> </w:t>
      </w:r>
      <w:proofErr w:type="spellStart"/>
      <w:r w:rsidRPr="00A64831">
        <w:rPr>
          <w:rFonts w:cs="Arial"/>
          <w:bCs/>
          <w:i/>
          <w:color w:val="003768"/>
          <w:sz w:val="20"/>
          <w:szCs w:val="20"/>
          <w:lang w:val="fr-FR"/>
        </w:rPr>
        <w:t>Enhanced</w:t>
      </w:r>
      <w:proofErr w:type="spellEnd"/>
      <w:r w:rsidRPr="00A64831">
        <w:rPr>
          <w:rFonts w:cs="Arial"/>
          <w:bCs/>
          <w:i/>
          <w:color w:val="003768"/>
          <w:sz w:val="20"/>
          <w:szCs w:val="20"/>
          <w:lang w:val="fr-FR"/>
        </w:rPr>
        <w:t xml:space="preserve"> Securities souscrites par le gouvernement régional flamand. </w:t>
      </w:r>
    </w:p>
    <w:p w:rsidR="00A64831" w:rsidRPr="00A64831" w:rsidRDefault="00A64831" w:rsidP="00A64831">
      <w:pPr>
        <w:autoSpaceDE w:val="0"/>
        <w:autoSpaceDN w:val="0"/>
        <w:adjustRightInd w:val="0"/>
        <w:spacing w:after="60" w:line="240" w:lineRule="auto"/>
        <w:ind w:left="992" w:right="6"/>
        <w:jc w:val="both"/>
        <w:rPr>
          <w:rFonts w:cs="Arial"/>
          <w:bCs/>
          <w:i/>
          <w:color w:val="003768"/>
          <w:sz w:val="20"/>
          <w:szCs w:val="20"/>
          <w:lang w:val="fr-FR"/>
        </w:rPr>
      </w:pPr>
      <w:r w:rsidRPr="00A64831">
        <w:rPr>
          <w:rFonts w:cs="Arial"/>
          <w:bCs/>
          <w:i/>
          <w:color w:val="003768"/>
          <w:sz w:val="20"/>
          <w:szCs w:val="20"/>
          <w:lang w:val="fr-FR"/>
        </w:rPr>
        <w:t>En ce qui concerne l'exercice financier 2014, KBC Groupe a l'intention de payer un dividende brut d'au maximum 2 euros par action sur la base du bénéfice disponible généré pendant cet exercice.</w:t>
      </w:r>
    </w:p>
    <w:p w:rsidR="00A64831" w:rsidRPr="00A64831" w:rsidRDefault="00A64831" w:rsidP="00A64831">
      <w:pPr>
        <w:autoSpaceDE w:val="0"/>
        <w:autoSpaceDN w:val="0"/>
        <w:adjustRightInd w:val="0"/>
        <w:spacing w:after="60" w:line="240" w:lineRule="auto"/>
        <w:ind w:left="992" w:right="6"/>
        <w:jc w:val="both"/>
        <w:rPr>
          <w:rFonts w:cs="Arial"/>
          <w:bCs/>
          <w:i/>
          <w:color w:val="003768"/>
          <w:sz w:val="20"/>
          <w:szCs w:val="20"/>
          <w:lang w:val="fr-FR"/>
        </w:rPr>
      </w:pPr>
      <w:r w:rsidRPr="00A64831">
        <w:rPr>
          <w:rFonts w:cs="Arial"/>
          <w:bCs/>
          <w:i/>
          <w:color w:val="003768"/>
          <w:sz w:val="20"/>
          <w:szCs w:val="20"/>
          <w:lang w:val="fr-FR"/>
        </w:rPr>
        <w:t xml:space="preserve">Nous avons l'intention de distribuer à nouveau un dividende régulier à partir de l'exercice financier 2016. Des précisions sur la politique de dividende qui sera menée par la suite seront fournies lors du KBC </w:t>
      </w:r>
      <w:proofErr w:type="spellStart"/>
      <w:r w:rsidRPr="00A64831">
        <w:rPr>
          <w:rFonts w:cs="Arial"/>
          <w:bCs/>
          <w:i/>
          <w:color w:val="003768"/>
          <w:sz w:val="20"/>
          <w:szCs w:val="20"/>
          <w:lang w:val="fr-FR"/>
        </w:rPr>
        <w:t>investor</w:t>
      </w:r>
      <w:proofErr w:type="spellEnd"/>
      <w:r w:rsidRPr="00A64831">
        <w:rPr>
          <w:rFonts w:cs="Arial"/>
          <w:bCs/>
          <w:i/>
          <w:color w:val="003768"/>
          <w:sz w:val="20"/>
          <w:szCs w:val="20"/>
          <w:lang w:val="fr-FR"/>
        </w:rPr>
        <w:t xml:space="preserve"> </w:t>
      </w:r>
      <w:proofErr w:type="spellStart"/>
      <w:r w:rsidRPr="00A64831">
        <w:rPr>
          <w:rFonts w:cs="Arial"/>
          <w:bCs/>
          <w:i/>
          <w:color w:val="003768"/>
          <w:sz w:val="20"/>
          <w:szCs w:val="20"/>
          <w:lang w:val="fr-FR"/>
        </w:rPr>
        <w:t>day</w:t>
      </w:r>
      <w:proofErr w:type="spellEnd"/>
      <w:r w:rsidRPr="00A64831">
        <w:rPr>
          <w:rFonts w:cs="Arial"/>
          <w:bCs/>
          <w:i/>
          <w:color w:val="003768"/>
          <w:sz w:val="20"/>
          <w:szCs w:val="20"/>
          <w:lang w:val="fr-FR"/>
        </w:rPr>
        <w:t xml:space="preserve"> de juin 2014.  </w:t>
      </w:r>
    </w:p>
    <w:p w:rsidR="00A64831" w:rsidRPr="00A64831" w:rsidRDefault="00A64831" w:rsidP="00A64831">
      <w:pPr>
        <w:autoSpaceDE w:val="0"/>
        <w:autoSpaceDN w:val="0"/>
        <w:adjustRightInd w:val="0"/>
        <w:spacing w:after="60" w:line="240" w:lineRule="auto"/>
        <w:ind w:left="992" w:right="6"/>
        <w:jc w:val="both"/>
        <w:rPr>
          <w:rFonts w:cs="Arial"/>
          <w:bCs/>
          <w:i/>
          <w:color w:val="003768"/>
          <w:sz w:val="20"/>
          <w:szCs w:val="20"/>
          <w:lang w:val="fr-FR"/>
        </w:rPr>
      </w:pPr>
      <w:r w:rsidRPr="00A64831">
        <w:rPr>
          <w:rFonts w:cs="Arial"/>
          <w:bCs/>
          <w:i/>
          <w:color w:val="003768"/>
          <w:sz w:val="20"/>
          <w:szCs w:val="20"/>
          <w:lang w:val="fr-FR"/>
        </w:rPr>
        <w:t xml:space="preserve">Malgré cette décision de ne pas verser de coupons sur les </w:t>
      </w:r>
      <w:proofErr w:type="spellStart"/>
      <w:r w:rsidRPr="00A64831">
        <w:rPr>
          <w:rFonts w:cs="Arial"/>
          <w:bCs/>
          <w:i/>
          <w:color w:val="003768"/>
          <w:sz w:val="20"/>
          <w:szCs w:val="20"/>
          <w:lang w:val="fr-FR"/>
        </w:rPr>
        <w:t>Yield</w:t>
      </w:r>
      <w:proofErr w:type="spellEnd"/>
      <w:r w:rsidRPr="00A64831">
        <w:rPr>
          <w:rFonts w:cs="Arial"/>
          <w:bCs/>
          <w:i/>
          <w:color w:val="003768"/>
          <w:sz w:val="20"/>
          <w:szCs w:val="20"/>
          <w:lang w:val="fr-FR"/>
        </w:rPr>
        <w:t xml:space="preserve"> </w:t>
      </w:r>
      <w:proofErr w:type="spellStart"/>
      <w:r w:rsidRPr="00A64831">
        <w:rPr>
          <w:rFonts w:cs="Arial"/>
          <w:bCs/>
          <w:i/>
          <w:color w:val="003768"/>
          <w:sz w:val="20"/>
          <w:szCs w:val="20"/>
          <w:lang w:val="fr-FR"/>
        </w:rPr>
        <w:t>Enhanced</w:t>
      </w:r>
      <w:proofErr w:type="spellEnd"/>
      <w:r w:rsidRPr="00A64831">
        <w:rPr>
          <w:rFonts w:cs="Arial"/>
          <w:bCs/>
          <w:i/>
          <w:color w:val="003768"/>
          <w:sz w:val="20"/>
          <w:szCs w:val="20"/>
          <w:lang w:val="fr-FR"/>
        </w:rPr>
        <w:t xml:space="preserve"> Securities pour les exercices 2013 et 2015, KBC veillera à ce que le rendement de ces instruments pour la Région flamande soit toujours bien supérieur au minimum garanti de 10% l'an pendant toute la période. </w:t>
      </w:r>
    </w:p>
    <w:p w:rsidR="00A64831" w:rsidRPr="00A64831" w:rsidRDefault="00A64831" w:rsidP="00A64831">
      <w:pPr>
        <w:autoSpaceDE w:val="0"/>
        <w:autoSpaceDN w:val="0"/>
        <w:adjustRightInd w:val="0"/>
        <w:spacing w:after="60" w:line="240" w:lineRule="auto"/>
        <w:ind w:left="992" w:right="6"/>
        <w:jc w:val="both"/>
        <w:rPr>
          <w:rFonts w:cs="Arial"/>
          <w:bCs/>
          <w:i/>
          <w:color w:val="003768"/>
          <w:sz w:val="20"/>
          <w:szCs w:val="20"/>
          <w:lang w:val="fr-FR"/>
        </w:rPr>
      </w:pPr>
      <w:r w:rsidRPr="00A64831">
        <w:rPr>
          <w:rFonts w:cs="Arial"/>
          <w:bCs/>
          <w:i/>
          <w:color w:val="003768"/>
          <w:sz w:val="20"/>
          <w:szCs w:val="20"/>
          <w:lang w:val="fr-FR"/>
        </w:rPr>
        <w:t xml:space="preserve">Tout versement de dividende est bien entendu subordonné à l'approbation des autorités de régulation du secteur financier. </w:t>
      </w:r>
    </w:p>
    <w:p w:rsidR="00CF64D1" w:rsidRPr="00A64831" w:rsidRDefault="00A64831" w:rsidP="00A64831">
      <w:pPr>
        <w:autoSpaceDE w:val="0"/>
        <w:autoSpaceDN w:val="0"/>
        <w:adjustRightInd w:val="0"/>
        <w:spacing w:after="60" w:line="240" w:lineRule="auto"/>
        <w:ind w:left="992" w:right="6"/>
        <w:jc w:val="both"/>
        <w:rPr>
          <w:rFonts w:cs="Arial"/>
          <w:bCs/>
          <w:i/>
          <w:color w:val="003768"/>
          <w:sz w:val="20"/>
          <w:szCs w:val="20"/>
          <w:lang w:val="fr-FR"/>
        </w:rPr>
      </w:pPr>
      <w:r w:rsidRPr="00A64831">
        <w:rPr>
          <w:rFonts w:cs="Arial"/>
          <w:bCs/>
          <w:i/>
          <w:color w:val="003768"/>
          <w:sz w:val="20"/>
          <w:szCs w:val="20"/>
          <w:lang w:val="fr-FR"/>
        </w:rPr>
        <w:t>En conclusion, nos résultats 2013 confirment notre foi dans notre activité principale de bancassurance en Belgique, en République tchèque, en Slovaquie, en Hongrie et en Bulgarie. Notre priorité absolue est que nos clients, nos actionnaires et nos autres parties prenantes bénéficient de nos activités. Nos 36 000 membres du personnel s'efforcent en permanence de réaliser cet objectif. Nous sommes vraiment honorés par les marques de confiance que nous recevons. »</w:t>
      </w:r>
    </w:p>
    <w:p w:rsidR="00A64831" w:rsidRDefault="00A64831">
      <w:pPr>
        <w:spacing w:after="0" w:line="240" w:lineRule="auto"/>
        <w:rPr>
          <w:rFonts w:cs="Arial"/>
          <w:bCs/>
          <w:color w:val="003768"/>
          <w:sz w:val="20"/>
          <w:szCs w:val="20"/>
          <w:lang w:val="fr-FR"/>
        </w:rPr>
      </w:pPr>
      <w:r>
        <w:rPr>
          <w:rFonts w:cs="Arial"/>
          <w:bCs/>
          <w:color w:val="003768"/>
          <w:sz w:val="20"/>
          <w:szCs w:val="20"/>
          <w:lang w:val="fr-FR"/>
        </w:rPr>
        <w:br w:type="page"/>
      </w:r>
    </w:p>
    <w:p w:rsidR="00CF64D1" w:rsidRPr="00820EEE" w:rsidRDefault="00A64831" w:rsidP="00A64831">
      <w:pPr>
        <w:autoSpaceDE w:val="0"/>
        <w:autoSpaceDN w:val="0"/>
        <w:adjustRightInd w:val="0"/>
        <w:spacing w:after="120" w:line="240" w:lineRule="auto"/>
        <w:ind w:left="992" w:right="6"/>
        <w:jc w:val="both"/>
        <w:rPr>
          <w:rFonts w:ascii="Rockwell" w:hAnsi="Rockwell" w:cs="Arial"/>
          <w:b/>
          <w:bCs/>
          <w:color w:val="003366"/>
          <w:sz w:val="28"/>
          <w:szCs w:val="28"/>
          <w:lang w:val="fr-FR"/>
        </w:rPr>
      </w:pPr>
      <w:r w:rsidRPr="00820EEE">
        <w:rPr>
          <w:rFonts w:ascii="Rockwell" w:hAnsi="Rockwell" w:cs="Arial"/>
          <w:b/>
          <w:bCs/>
          <w:color w:val="003366"/>
          <w:sz w:val="28"/>
          <w:szCs w:val="28"/>
          <w:lang w:val="fr-FR"/>
        </w:rPr>
        <w:lastRenderedPageBreak/>
        <w:t>Incidence des activités legacy et valorisation de nos propres risques de crédit :</w:t>
      </w:r>
    </w:p>
    <w:p w:rsidR="00A64831" w:rsidRPr="00A64831" w:rsidRDefault="00A64831" w:rsidP="00A64831">
      <w:pPr>
        <w:autoSpaceDE w:val="0"/>
        <w:autoSpaceDN w:val="0"/>
        <w:adjustRightInd w:val="0"/>
        <w:spacing w:after="60" w:line="240" w:lineRule="auto"/>
        <w:ind w:left="992" w:right="6"/>
        <w:jc w:val="both"/>
        <w:rPr>
          <w:rFonts w:cs="Arial"/>
          <w:bCs/>
          <w:color w:val="003768"/>
          <w:sz w:val="20"/>
          <w:szCs w:val="20"/>
          <w:lang w:val="fr-FR"/>
        </w:rPr>
      </w:pPr>
      <w:r w:rsidRPr="00A64831">
        <w:rPr>
          <w:rFonts w:cs="Arial"/>
          <w:bCs/>
          <w:color w:val="003768"/>
          <w:sz w:val="20"/>
          <w:szCs w:val="20"/>
          <w:lang w:val="fr-FR"/>
        </w:rPr>
        <w:t xml:space="preserve">Afin de fournir un aperçu fiable des activités en cours, KBC publie des chiffres ajustés qui ne prennent pas en compte a) l'incidence des activités </w:t>
      </w:r>
      <w:proofErr w:type="spellStart"/>
      <w:r w:rsidRPr="00A64831">
        <w:rPr>
          <w:rFonts w:cs="Arial"/>
          <w:bCs/>
          <w:color w:val="003768"/>
          <w:sz w:val="20"/>
          <w:szCs w:val="20"/>
          <w:lang w:val="fr-FR"/>
        </w:rPr>
        <w:t>legacy</w:t>
      </w:r>
      <w:proofErr w:type="spellEnd"/>
      <w:r w:rsidRPr="00A64831">
        <w:rPr>
          <w:rFonts w:cs="Arial"/>
          <w:bCs/>
          <w:color w:val="003768"/>
          <w:sz w:val="20"/>
          <w:szCs w:val="20"/>
          <w:lang w:val="fr-FR"/>
        </w:rPr>
        <w:t>, c'est-à-dire la valorisation des CDO restantes en portefeuille (y compris les commissions pour le système de garantie y afférent conclu avec l'État belge) et l'impact des désinvestissements; et b) l'incidence de la valorisation de nos propres risques de crédit. Pendant le trimestre sous revue, ces éléments ont eu l'influence suivante :</w:t>
      </w:r>
    </w:p>
    <w:p w:rsidR="00A64831" w:rsidRPr="00A64831" w:rsidRDefault="00A64831" w:rsidP="00A64831">
      <w:pPr>
        <w:pStyle w:val="ListParagraph"/>
        <w:numPr>
          <w:ilvl w:val="0"/>
          <w:numId w:val="1"/>
        </w:numPr>
        <w:autoSpaceDE w:val="0"/>
        <w:autoSpaceDN w:val="0"/>
        <w:adjustRightInd w:val="0"/>
        <w:spacing w:after="60" w:line="240" w:lineRule="auto"/>
        <w:ind w:right="6"/>
        <w:contextualSpacing w:val="0"/>
        <w:jc w:val="both"/>
        <w:rPr>
          <w:rFonts w:cs="Arial"/>
          <w:bCs/>
          <w:color w:val="003768"/>
          <w:sz w:val="20"/>
          <w:szCs w:val="20"/>
          <w:lang w:val="fr-FR"/>
        </w:rPr>
      </w:pPr>
      <w:r w:rsidRPr="00A64831">
        <w:rPr>
          <w:rFonts w:cs="Arial"/>
          <w:bCs/>
          <w:color w:val="003768"/>
          <w:sz w:val="20"/>
          <w:szCs w:val="20"/>
          <w:lang w:val="fr-FR"/>
        </w:rPr>
        <w:t xml:space="preserve">CDO : au 4e trimestre, poursuivant la tendance des trimestres précédents, les différentiels de crédit </w:t>
      </w:r>
      <w:proofErr w:type="spellStart"/>
      <w:r w:rsidRPr="00A64831">
        <w:rPr>
          <w:rFonts w:cs="Arial"/>
          <w:bCs/>
          <w:color w:val="003768"/>
          <w:sz w:val="20"/>
          <w:szCs w:val="20"/>
          <w:lang w:val="fr-FR"/>
        </w:rPr>
        <w:t>corporate</w:t>
      </w:r>
      <w:proofErr w:type="spellEnd"/>
      <w:r w:rsidRPr="00A64831">
        <w:rPr>
          <w:rFonts w:cs="Arial"/>
          <w:bCs/>
          <w:color w:val="003768"/>
          <w:sz w:val="20"/>
          <w:szCs w:val="20"/>
          <w:lang w:val="fr-FR"/>
        </w:rPr>
        <w:t xml:space="preserve"> et ABS se sont encore resserrés. Si l'on prend en compte l'impact de la commission pour le système de garantie des CDO convenu avec le gouvernement fédéral belge, ainsi que les frais de résiliation, l’impact positif après impôts s'élève à 65 millions d’euros.</w:t>
      </w:r>
    </w:p>
    <w:p w:rsidR="00A64831" w:rsidRPr="00A64831" w:rsidRDefault="00A64831" w:rsidP="00A64831">
      <w:pPr>
        <w:pStyle w:val="ListParagraph"/>
        <w:numPr>
          <w:ilvl w:val="0"/>
          <w:numId w:val="1"/>
        </w:numPr>
        <w:autoSpaceDE w:val="0"/>
        <w:autoSpaceDN w:val="0"/>
        <w:adjustRightInd w:val="0"/>
        <w:spacing w:after="60" w:line="240" w:lineRule="auto"/>
        <w:ind w:right="6"/>
        <w:contextualSpacing w:val="0"/>
        <w:jc w:val="both"/>
        <w:rPr>
          <w:rFonts w:cs="Arial"/>
          <w:bCs/>
          <w:color w:val="003768"/>
          <w:sz w:val="20"/>
          <w:szCs w:val="20"/>
          <w:lang w:val="fr-FR"/>
        </w:rPr>
      </w:pPr>
      <w:r w:rsidRPr="00A64831">
        <w:rPr>
          <w:rFonts w:cs="Arial"/>
          <w:bCs/>
          <w:color w:val="003768"/>
          <w:sz w:val="20"/>
          <w:szCs w:val="20"/>
          <w:lang w:val="fr-FR"/>
        </w:rPr>
        <w:t>Désinvestissements restants : l'impact négatif après impôts atteint 10 millions d'euros au total pour ce trimestre. Il résulte principalement de la finalisation de la vente de KBC Banka, ainsi que des coûts liés à la réduction des prêts aux actionnaires.</w:t>
      </w:r>
    </w:p>
    <w:p w:rsidR="00A64831" w:rsidRPr="00A64831" w:rsidRDefault="00A64831" w:rsidP="00D24657">
      <w:pPr>
        <w:pStyle w:val="ListParagraph"/>
        <w:numPr>
          <w:ilvl w:val="0"/>
          <w:numId w:val="1"/>
        </w:numPr>
        <w:autoSpaceDE w:val="0"/>
        <w:autoSpaceDN w:val="0"/>
        <w:adjustRightInd w:val="0"/>
        <w:spacing w:after="120" w:line="240" w:lineRule="auto"/>
        <w:ind w:left="1706" w:right="6" w:hanging="357"/>
        <w:contextualSpacing w:val="0"/>
        <w:jc w:val="both"/>
        <w:rPr>
          <w:rFonts w:cs="Arial"/>
          <w:bCs/>
          <w:color w:val="003768"/>
          <w:sz w:val="20"/>
          <w:szCs w:val="20"/>
          <w:lang w:val="fr-FR"/>
        </w:rPr>
      </w:pPr>
      <w:r w:rsidRPr="00A64831">
        <w:rPr>
          <w:rFonts w:cs="Arial"/>
          <w:bCs/>
          <w:color w:val="003768"/>
          <w:sz w:val="20"/>
          <w:szCs w:val="20"/>
          <w:lang w:val="fr-FR"/>
        </w:rPr>
        <w:t xml:space="preserve">Incidence de la valorisation du risque de crédit propre : le léger resserrement des différentiels de crédit sur la dette de KBC entre fin septembre 2013 et la clôture de l'exercice 2013 se traduit par un ajustement </w:t>
      </w:r>
      <w:proofErr w:type="spellStart"/>
      <w:r w:rsidRPr="00A64831">
        <w:rPr>
          <w:rFonts w:cs="Arial"/>
          <w:bCs/>
          <w:color w:val="003768"/>
          <w:sz w:val="20"/>
          <w:szCs w:val="20"/>
          <w:lang w:val="fr-FR"/>
        </w:rPr>
        <w:t>marked</w:t>
      </w:r>
      <w:proofErr w:type="spellEnd"/>
      <w:r w:rsidRPr="00A64831">
        <w:rPr>
          <w:rFonts w:cs="Arial"/>
          <w:bCs/>
          <w:color w:val="003768"/>
          <w:sz w:val="20"/>
          <w:szCs w:val="20"/>
          <w:lang w:val="fr-FR"/>
        </w:rPr>
        <w:t>-to-</w:t>
      </w:r>
      <w:proofErr w:type="spellStart"/>
      <w:r w:rsidRPr="00A64831">
        <w:rPr>
          <w:rFonts w:cs="Arial"/>
          <w:bCs/>
          <w:color w:val="003768"/>
          <w:sz w:val="20"/>
          <w:szCs w:val="20"/>
          <w:lang w:val="fr-FR"/>
        </w:rPr>
        <w:t>market</w:t>
      </w:r>
      <w:proofErr w:type="spellEnd"/>
      <w:r w:rsidRPr="00A64831">
        <w:rPr>
          <w:rFonts w:cs="Arial"/>
          <w:bCs/>
          <w:color w:val="003768"/>
          <w:sz w:val="20"/>
          <w:szCs w:val="20"/>
          <w:lang w:val="fr-FR"/>
        </w:rPr>
        <w:t xml:space="preserve"> négatif de 9 millions d'euros (après impôts), mais est sans incidence sur le capital réglementaire.</w:t>
      </w:r>
    </w:p>
    <w:p w:rsidR="00A64831" w:rsidRPr="00820EEE" w:rsidRDefault="00A64831" w:rsidP="00A64831">
      <w:pPr>
        <w:autoSpaceDE w:val="0"/>
        <w:autoSpaceDN w:val="0"/>
        <w:adjustRightInd w:val="0"/>
        <w:spacing w:after="120" w:line="240" w:lineRule="auto"/>
        <w:ind w:left="992" w:right="6"/>
        <w:jc w:val="both"/>
        <w:rPr>
          <w:rFonts w:ascii="Rockwell" w:hAnsi="Rockwell" w:cs="Arial"/>
          <w:b/>
          <w:bCs/>
          <w:color w:val="003366"/>
          <w:sz w:val="28"/>
          <w:szCs w:val="28"/>
          <w:lang w:val="fr-FR"/>
        </w:rPr>
      </w:pPr>
      <w:r w:rsidRPr="00820EEE">
        <w:rPr>
          <w:rFonts w:ascii="Rockwell" w:hAnsi="Rockwell" w:cs="Arial"/>
          <w:b/>
          <w:bCs/>
          <w:color w:val="003366"/>
          <w:sz w:val="28"/>
          <w:szCs w:val="28"/>
          <w:lang w:val="fr-FR"/>
        </w:rPr>
        <w:t>Principales données financières du 4e trimestre 2013 par rapport au 3e trimestre 2013 :</w:t>
      </w:r>
    </w:p>
    <w:p w:rsidR="00A64831" w:rsidRPr="00FB1D51" w:rsidRDefault="00A64831" w:rsidP="00FB1D51">
      <w:pPr>
        <w:pStyle w:val="ListParagraph"/>
        <w:numPr>
          <w:ilvl w:val="0"/>
          <w:numId w:val="2"/>
        </w:numPr>
        <w:autoSpaceDE w:val="0"/>
        <w:autoSpaceDN w:val="0"/>
        <w:adjustRightInd w:val="0"/>
        <w:spacing w:after="60" w:line="240" w:lineRule="auto"/>
        <w:ind w:left="1706" w:right="6" w:hanging="357"/>
        <w:contextualSpacing w:val="0"/>
        <w:jc w:val="both"/>
        <w:rPr>
          <w:rFonts w:cs="Arial"/>
          <w:bCs/>
          <w:color w:val="003768"/>
          <w:sz w:val="20"/>
          <w:szCs w:val="20"/>
          <w:lang w:val="fr-FR"/>
        </w:rPr>
      </w:pPr>
      <w:r w:rsidRPr="00FB1D51">
        <w:rPr>
          <w:rFonts w:cs="Arial"/>
          <w:bCs/>
          <w:color w:val="003768"/>
          <w:sz w:val="20"/>
          <w:szCs w:val="20"/>
          <w:lang w:val="fr-FR"/>
        </w:rPr>
        <w:t xml:space="preserve">Bons résultats commerciaux. </w:t>
      </w:r>
    </w:p>
    <w:p w:rsidR="00A64831" w:rsidRPr="00FB1D51" w:rsidRDefault="00A64831" w:rsidP="00FB1D51">
      <w:pPr>
        <w:pStyle w:val="ListParagraph"/>
        <w:numPr>
          <w:ilvl w:val="0"/>
          <w:numId w:val="2"/>
        </w:numPr>
        <w:autoSpaceDE w:val="0"/>
        <w:autoSpaceDN w:val="0"/>
        <w:adjustRightInd w:val="0"/>
        <w:spacing w:after="60" w:line="240" w:lineRule="auto"/>
        <w:ind w:left="1706" w:right="6" w:hanging="357"/>
        <w:contextualSpacing w:val="0"/>
        <w:jc w:val="both"/>
        <w:rPr>
          <w:rFonts w:cs="Arial"/>
          <w:bCs/>
          <w:color w:val="003768"/>
          <w:sz w:val="20"/>
          <w:szCs w:val="20"/>
          <w:lang w:val="fr-FR"/>
        </w:rPr>
      </w:pPr>
      <w:r w:rsidRPr="00FB1D51">
        <w:rPr>
          <w:rFonts w:cs="Arial"/>
          <w:bCs/>
          <w:color w:val="003768"/>
          <w:sz w:val="20"/>
          <w:szCs w:val="20"/>
          <w:lang w:val="fr-FR"/>
        </w:rPr>
        <w:t>Résultat net faussé par le niveau élevé des réductions de valeur sur c</w:t>
      </w:r>
      <w:r w:rsidR="00FB1D51" w:rsidRPr="00FB1D51">
        <w:rPr>
          <w:rFonts w:cs="Arial"/>
          <w:bCs/>
          <w:color w:val="003768"/>
          <w:sz w:val="20"/>
          <w:szCs w:val="20"/>
          <w:lang w:val="fr-FR"/>
        </w:rPr>
        <w:t>rédits en Irlande.</w:t>
      </w:r>
    </w:p>
    <w:p w:rsidR="00A64831" w:rsidRPr="00FB1D51" w:rsidRDefault="00A64831" w:rsidP="00FB1D51">
      <w:pPr>
        <w:pStyle w:val="ListParagraph"/>
        <w:numPr>
          <w:ilvl w:val="0"/>
          <w:numId w:val="2"/>
        </w:numPr>
        <w:autoSpaceDE w:val="0"/>
        <w:autoSpaceDN w:val="0"/>
        <w:adjustRightInd w:val="0"/>
        <w:spacing w:after="60" w:line="240" w:lineRule="auto"/>
        <w:ind w:left="1706" w:right="6" w:hanging="357"/>
        <w:contextualSpacing w:val="0"/>
        <w:jc w:val="both"/>
        <w:rPr>
          <w:rFonts w:cs="Arial"/>
          <w:bCs/>
          <w:color w:val="003768"/>
          <w:sz w:val="20"/>
          <w:szCs w:val="20"/>
          <w:lang w:val="fr-FR"/>
        </w:rPr>
      </w:pPr>
      <w:r w:rsidRPr="00FB1D51">
        <w:rPr>
          <w:rFonts w:cs="Arial"/>
          <w:bCs/>
          <w:color w:val="003768"/>
          <w:sz w:val="20"/>
          <w:szCs w:val="20"/>
          <w:lang w:val="fr-FR"/>
        </w:rPr>
        <w:t>Marge d'intérêt nette en hausse à 1,80%.</w:t>
      </w:r>
    </w:p>
    <w:p w:rsidR="00A64831" w:rsidRPr="00FB1D51" w:rsidRDefault="00A64831" w:rsidP="00FB1D51">
      <w:pPr>
        <w:pStyle w:val="ListParagraph"/>
        <w:numPr>
          <w:ilvl w:val="0"/>
          <w:numId w:val="2"/>
        </w:numPr>
        <w:autoSpaceDE w:val="0"/>
        <w:autoSpaceDN w:val="0"/>
        <w:adjustRightInd w:val="0"/>
        <w:spacing w:after="60" w:line="240" w:lineRule="auto"/>
        <w:ind w:left="1706" w:right="6" w:hanging="357"/>
        <w:contextualSpacing w:val="0"/>
        <w:jc w:val="both"/>
        <w:rPr>
          <w:rFonts w:cs="Arial"/>
          <w:bCs/>
          <w:color w:val="003768"/>
          <w:sz w:val="20"/>
          <w:szCs w:val="20"/>
          <w:lang w:val="fr-FR"/>
        </w:rPr>
      </w:pPr>
      <w:r w:rsidRPr="00FB1D51">
        <w:rPr>
          <w:rFonts w:cs="Arial"/>
          <w:bCs/>
          <w:color w:val="003768"/>
          <w:sz w:val="20"/>
          <w:szCs w:val="20"/>
          <w:lang w:val="fr-FR"/>
        </w:rPr>
        <w:t>Forte augmentation du volume des dépôts en République tchèque, en Slovaquie et en Bulgarie.</w:t>
      </w:r>
    </w:p>
    <w:p w:rsidR="00A64831" w:rsidRPr="00FB1D51" w:rsidRDefault="00A64831" w:rsidP="00FB1D51">
      <w:pPr>
        <w:pStyle w:val="ListParagraph"/>
        <w:numPr>
          <w:ilvl w:val="0"/>
          <w:numId w:val="2"/>
        </w:numPr>
        <w:autoSpaceDE w:val="0"/>
        <w:autoSpaceDN w:val="0"/>
        <w:adjustRightInd w:val="0"/>
        <w:spacing w:after="60" w:line="240" w:lineRule="auto"/>
        <w:ind w:left="1706" w:right="6" w:hanging="357"/>
        <w:contextualSpacing w:val="0"/>
        <w:jc w:val="both"/>
        <w:rPr>
          <w:rFonts w:cs="Arial"/>
          <w:bCs/>
          <w:color w:val="003768"/>
          <w:sz w:val="20"/>
          <w:szCs w:val="20"/>
          <w:lang w:val="fr-FR"/>
        </w:rPr>
      </w:pPr>
      <w:r w:rsidRPr="00FB1D51">
        <w:rPr>
          <w:rFonts w:cs="Arial"/>
          <w:bCs/>
          <w:color w:val="003768"/>
          <w:sz w:val="20"/>
          <w:szCs w:val="20"/>
          <w:lang w:val="fr-FR"/>
        </w:rPr>
        <w:t>Nette progression du volume des crédits hypothécaires en Belgique, en République tchèque et en Slovaquie.</w:t>
      </w:r>
    </w:p>
    <w:p w:rsidR="00A64831" w:rsidRPr="00FB1D51" w:rsidRDefault="00A64831" w:rsidP="00FB1D51">
      <w:pPr>
        <w:pStyle w:val="ListParagraph"/>
        <w:numPr>
          <w:ilvl w:val="0"/>
          <w:numId w:val="2"/>
        </w:numPr>
        <w:autoSpaceDE w:val="0"/>
        <w:autoSpaceDN w:val="0"/>
        <w:adjustRightInd w:val="0"/>
        <w:spacing w:after="60" w:line="240" w:lineRule="auto"/>
        <w:ind w:left="1706" w:right="6" w:hanging="357"/>
        <w:contextualSpacing w:val="0"/>
        <w:jc w:val="both"/>
        <w:rPr>
          <w:rFonts w:cs="Arial"/>
          <w:bCs/>
          <w:color w:val="003768"/>
          <w:sz w:val="20"/>
          <w:szCs w:val="20"/>
          <w:lang w:val="fr-FR"/>
        </w:rPr>
      </w:pPr>
      <w:r w:rsidRPr="00FB1D51">
        <w:rPr>
          <w:rFonts w:cs="Arial"/>
          <w:bCs/>
          <w:color w:val="003768"/>
          <w:sz w:val="20"/>
          <w:szCs w:val="20"/>
          <w:lang w:val="fr-FR"/>
        </w:rPr>
        <w:t>Robuste ratio combiné de 94% sur l'ensemble de l'exercice, en dépit d'un ratio de demandes d'indemnisation de sinistres relativement élevé au 4Tr2013.</w:t>
      </w:r>
    </w:p>
    <w:p w:rsidR="00A64831" w:rsidRPr="00FB1D51" w:rsidRDefault="00A64831" w:rsidP="00FB1D51">
      <w:pPr>
        <w:pStyle w:val="ListParagraph"/>
        <w:numPr>
          <w:ilvl w:val="0"/>
          <w:numId w:val="2"/>
        </w:numPr>
        <w:autoSpaceDE w:val="0"/>
        <w:autoSpaceDN w:val="0"/>
        <w:adjustRightInd w:val="0"/>
        <w:spacing w:after="60" w:line="240" w:lineRule="auto"/>
        <w:ind w:left="1706" w:right="6" w:hanging="357"/>
        <w:contextualSpacing w:val="0"/>
        <w:jc w:val="both"/>
        <w:rPr>
          <w:rFonts w:cs="Arial"/>
          <w:bCs/>
          <w:color w:val="003768"/>
          <w:sz w:val="20"/>
          <w:szCs w:val="20"/>
          <w:lang w:val="fr-FR"/>
        </w:rPr>
      </w:pPr>
      <w:r w:rsidRPr="00FB1D51">
        <w:rPr>
          <w:rFonts w:cs="Arial"/>
          <w:bCs/>
          <w:color w:val="003768"/>
          <w:sz w:val="20"/>
          <w:szCs w:val="20"/>
          <w:lang w:val="fr-FR"/>
        </w:rPr>
        <w:t xml:space="preserve">Bon niveau de revenus générés par la salle des marchés mais incidence modeste des valorisations </w:t>
      </w:r>
      <w:proofErr w:type="spellStart"/>
      <w:r w:rsidRPr="00FB1D51">
        <w:rPr>
          <w:rFonts w:cs="Arial"/>
          <w:bCs/>
          <w:color w:val="003768"/>
          <w:sz w:val="20"/>
          <w:szCs w:val="20"/>
          <w:lang w:val="fr-FR"/>
        </w:rPr>
        <w:t>marked</w:t>
      </w:r>
      <w:proofErr w:type="spellEnd"/>
      <w:r w:rsidRPr="00FB1D51">
        <w:rPr>
          <w:rFonts w:cs="Arial"/>
          <w:bCs/>
          <w:color w:val="003768"/>
          <w:sz w:val="20"/>
          <w:szCs w:val="20"/>
          <w:lang w:val="fr-FR"/>
        </w:rPr>
        <w:t>-to-</w:t>
      </w:r>
      <w:proofErr w:type="spellStart"/>
      <w:r w:rsidRPr="00FB1D51">
        <w:rPr>
          <w:rFonts w:cs="Arial"/>
          <w:bCs/>
          <w:color w:val="003768"/>
          <w:sz w:val="20"/>
          <w:szCs w:val="20"/>
          <w:lang w:val="fr-FR"/>
        </w:rPr>
        <w:t>market</w:t>
      </w:r>
      <w:proofErr w:type="spellEnd"/>
      <w:r w:rsidRPr="00FB1D51">
        <w:rPr>
          <w:rFonts w:cs="Arial"/>
          <w:bCs/>
          <w:color w:val="003768"/>
          <w:sz w:val="20"/>
          <w:szCs w:val="20"/>
          <w:lang w:val="fr-FR"/>
        </w:rPr>
        <w:t xml:space="preserve"> des dérivés GAP.</w:t>
      </w:r>
    </w:p>
    <w:p w:rsidR="00A64831" w:rsidRPr="00FB1D51" w:rsidRDefault="00FB1D51" w:rsidP="00FB1D51">
      <w:pPr>
        <w:pStyle w:val="ListParagraph"/>
        <w:numPr>
          <w:ilvl w:val="0"/>
          <w:numId w:val="2"/>
        </w:numPr>
        <w:autoSpaceDE w:val="0"/>
        <w:autoSpaceDN w:val="0"/>
        <w:adjustRightInd w:val="0"/>
        <w:spacing w:after="60" w:line="240" w:lineRule="auto"/>
        <w:ind w:left="1706" w:right="6" w:hanging="357"/>
        <w:contextualSpacing w:val="0"/>
        <w:jc w:val="both"/>
        <w:rPr>
          <w:rFonts w:cs="Arial"/>
          <w:bCs/>
          <w:color w:val="003768"/>
          <w:sz w:val="20"/>
          <w:szCs w:val="20"/>
          <w:lang w:val="fr-FR"/>
        </w:rPr>
      </w:pPr>
      <w:r w:rsidRPr="00FB1D51">
        <w:rPr>
          <w:rFonts w:cs="Arial"/>
          <w:bCs/>
          <w:color w:val="003768"/>
          <w:sz w:val="20"/>
          <w:szCs w:val="20"/>
          <w:lang w:val="fr-FR"/>
        </w:rPr>
        <w:t>H</w:t>
      </w:r>
      <w:r w:rsidR="00A64831" w:rsidRPr="00FB1D51">
        <w:rPr>
          <w:rFonts w:cs="Arial"/>
          <w:bCs/>
          <w:color w:val="003768"/>
          <w:sz w:val="20"/>
          <w:szCs w:val="20"/>
          <w:lang w:val="fr-FR"/>
        </w:rPr>
        <w:t xml:space="preserve">ausse des revenus de frais et commissions en République tchèque et en Hongrie. </w:t>
      </w:r>
    </w:p>
    <w:p w:rsidR="00A64831" w:rsidRPr="00FB1D51" w:rsidRDefault="00FB1D51" w:rsidP="00FB1D51">
      <w:pPr>
        <w:pStyle w:val="ListParagraph"/>
        <w:numPr>
          <w:ilvl w:val="0"/>
          <w:numId w:val="2"/>
        </w:numPr>
        <w:autoSpaceDE w:val="0"/>
        <w:autoSpaceDN w:val="0"/>
        <w:adjustRightInd w:val="0"/>
        <w:spacing w:after="60" w:line="240" w:lineRule="auto"/>
        <w:ind w:left="1706" w:right="6" w:hanging="357"/>
        <w:contextualSpacing w:val="0"/>
        <w:jc w:val="both"/>
        <w:rPr>
          <w:rFonts w:cs="Arial"/>
          <w:bCs/>
          <w:color w:val="003768"/>
          <w:sz w:val="20"/>
          <w:szCs w:val="20"/>
          <w:lang w:val="fr-FR"/>
        </w:rPr>
      </w:pPr>
      <w:r w:rsidRPr="00FB1D51">
        <w:rPr>
          <w:rFonts w:cs="Arial"/>
          <w:bCs/>
          <w:color w:val="003768"/>
          <w:sz w:val="20"/>
          <w:szCs w:val="20"/>
          <w:lang w:val="fr-FR"/>
        </w:rPr>
        <w:t>E</w:t>
      </w:r>
      <w:r w:rsidR="00A64831" w:rsidRPr="00FB1D51">
        <w:rPr>
          <w:rFonts w:cs="Arial"/>
          <w:bCs/>
          <w:color w:val="003768"/>
          <w:sz w:val="20"/>
          <w:szCs w:val="20"/>
          <w:lang w:val="fr-FR"/>
        </w:rPr>
        <w:t>xcellent ratio charges/revenus de 52% pour l'ensemble de l'année.</w:t>
      </w:r>
    </w:p>
    <w:p w:rsidR="00A64831" w:rsidRPr="00FB1D51" w:rsidRDefault="00A64831" w:rsidP="00FB1D51">
      <w:pPr>
        <w:pStyle w:val="ListParagraph"/>
        <w:numPr>
          <w:ilvl w:val="0"/>
          <w:numId w:val="2"/>
        </w:numPr>
        <w:autoSpaceDE w:val="0"/>
        <w:autoSpaceDN w:val="0"/>
        <w:adjustRightInd w:val="0"/>
        <w:spacing w:after="60" w:line="240" w:lineRule="auto"/>
        <w:ind w:left="1706" w:right="6" w:hanging="357"/>
        <w:contextualSpacing w:val="0"/>
        <w:jc w:val="both"/>
        <w:rPr>
          <w:rFonts w:cs="Arial"/>
          <w:bCs/>
          <w:color w:val="003768"/>
          <w:sz w:val="20"/>
          <w:szCs w:val="20"/>
          <w:lang w:val="fr-FR"/>
        </w:rPr>
      </w:pPr>
      <w:r w:rsidRPr="00FB1D51">
        <w:rPr>
          <w:rFonts w:cs="Arial"/>
          <w:bCs/>
          <w:color w:val="003768"/>
          <w:sz w:val="20"/>
          <w:szCs w:val="20"/>
          <w:lang w:val="fr-FR"/>
        </w:rPr>
        <w:t xml:space="preserve">En hausse, le ratio de pertes sur crédits atteint 1,19% pour l'ensemble de l'exercice, sous l'effet des réductions de valeur sur crédits irlandais. Le ratio de pertes sur crédits en Irlande atteint 6,72%.  </w:t>
      </w:r>
    </w:p>
    <w:p w:rsidR="00A64831" w:rsidRPr="00FB1D51" w:rsidRDefault="00A64831" w:rsidP="00FB1D51">
      <w:pPr>
        <w:pStyle w:val="ListParagraph"/>
        <w:numPr>
          <w:ilvl w:val="0"/>
          <w:numId w:val="2"/>
        </w:numPr>
        <w:autoSpaceDE w:val="0"/>
        <w:autoSpaceDN w:val="0"/>
        <w:adjustRightInd w:val="0"/>
        <w:spacing w:after="60" w:line="240" w:lineRule="auto"/>
        <w:ind w:left="1706" w:right="6" w:hanging="357"/>
        <w:contextualSpacing w:val="0"/>
        <w:jc w:val="both"/>
        <w:rPr>
          <w:rFonts w:cs="Arial"/>
          <w:bCs/>
          <w:color w:val="003768"/>
          <w:sz w:val="20"/>
          <w:szCs w:val="20"/>
          <w:lang w:val="fr-FR"/>
        </w:rPr>
      </w:pPr>
      <w:r w:rsidRPr="00FB1D51">
        <w:rPr>
          <w:rFonts w:cs="Arial"/>
          <w:bCs/>
          <w:color w:val="003768"/>
          <w:sz w:val="20"/>
          <w:szCs w:val="20"/>
          <w:lang w:val="fr-FR"/>
        </w:rPr>
        <w:t>Maintien d’une robuste position de liquidité, le ratio LCR s'inscrivant à 131% et le ratio NSFR à 111%.</w:t>
      </w:r>
    </w:p>
    <w:p w:rsidR="00A64831" w:rsidRPr="00FB1D51" w:rsidRDefault="00A64831" w:rsidP="00FB1D51">
      <w:pPr>
        <w:pStyle w:val="ListParagraph"/>
        <w:numPr>
          <w:ilvl w:val="0"/>
          <w:numId w:val="2"/>
        </w:numPr>
        <w:autoSpaceDE w:val="0"/>
        <w:autoSpaceDN w:val="0"/>
        <w:adjustRightInd w:val="0"/>
        <w:spacing w:after="60" w:line="240" w:lineRule="auto"/>
        <w:ind w:left="1706" w:right="6" w:hanging="357"/>
        <w:contextualSpacing w:val="0"/>
        <w:jc w:val="both"/>
        <w:rPr>
          <w:rFonts w:cs="Arial"/>
          <w:bCs/>
          <w:color w:val="003768"/>
          <w:sz w:val="20"/>
          <w:szCs w:val="20"/>
          <w:lang w:val="fr-FR"/>
        </w:rPr>
      </w:pPr>
      <w:r w:rsidRPr="00FB1D51">
        <w:rPr>
          <w:rFonts w:cs="Arial"/>
          <w:bCs/>
          <w:color w:val="003768"/>
          <w:sz w:val="20"/>
          <w:szCs w:val="20"/>
          <w:lang w:val="fr-FR"/>
        </w:rPr>
        <w:t xml:space="preserve">Solvabilité : solide base de capital, le ratio </w:t>
      </w:r>
      <w:proofErr w:type="spellStart"/>
      <w:r w:rsidRPr="00FB1D51">
        <w:rPr>
          <w:rFonts w:cs="Arial"/>
          <w:bCs/>
          <w:color w:val="003768"/>
          <w:sz w:val="20"/>
          <w:szCs w:val="20"/>
          <w:lang w:val="fr-FR"/>
        </w:rPr>
        <w:t>Tier</w:t>
      </w:r>
      <w:proofErr w:type="spellEnd"/>
      <w:r w:rsidRPr="00FB1D51">
        <w:rPr>
          <w:rFonts w:cs="Arial"/>
          <w:bCs/>
          <w:color w:val="003768"/>
          <w:sz w:val="20"/>
          <w:szCs w:val="20"/>
          <w:lang w:val="fr-FR"/>
        </w:rPr>
        <w:t xml:space="preserve"> 1 pro forma ressortant à 15,6% (ratio </w:t>
      </w:r>
      <w:proofErr w:type="spellStart"/>
      <w:r w:rsidRPr="00FB1D51">
        <w:rPr>
          <w:rFonts w:cs="Arial"/>
          <w:bCs/>
          <w:color w:val="003768"/>
          <w:sz w:val="20"/>
          <w:szCs w:val="20"/>
          <w:lang w:val="fr-FR"/>
        </w:rPr>
        <w:t>Core</w:t>
      </w:r>
      <w:proofErr w:type="spellEnd"/>
      <w:r w:rsidRPr="00FB1D51">
        <w:rPr>
          <w:rFonts w:cs="Arial"/>
          <w:bCs/>
          <w:color w:val="003768"/>
          <w:sz w:val="20"/>
          <w:szCs w:val="20"/>
          <w:lang w:val="fr-FR"/>
        </w:rPr>
        <w:t xml:space="preserve"> </w:t>
      </w:r>
      <w:proofErr w:type="spellStart"/>
      <w:r w:rsidRPr="00FB1D51">
        <w:rPr>
          <w:rFonts w:cs="Arial"/>
          <w:bCs/>
          <w:color w:val="003768"/>
          <w:sz w:val="20"/>
          <w:szCs w:val="20"/>
          <w:lang w:val="fr-FR"/>
        </w:rPr>
        <w:t>Tier</w:t>
      </w:r>
      <w:proofErr w:type="spellEnd"/>
      <w:r w:rsidRPr="00FB1D51">
        <w:rPr>
          <w:rFonts w:cs="Arial"/>
          <w:bCs/>
          <w:color w:val="003768"/>
          <w:sz w:val="20"/>
          <w:szCs w:val="20"/>
          <w:lang w:val="fr-FR"/>
        </w:rPr>
        <w:t xml:space="preserve"> 1 de 13,2%). À 12,5%, le ratio Common </w:t>
      </w:r>
      <w:proofErr w:type="spellStart"/>
      <w:r w:rsidRPr="00FB1D51">
        <w:rPr>
          <w:rFonts w:cs="Arial"/>
          <w:bCs/>
          <w:color w:val="003768"/>
          <w:sz w:val="20"/>
          <w:szCs w:val="20"/>
          <w:lang w:val="fr-FR"/>
        </w:rPr>
        <w:t>equity</w:t>
      </w:r>
      <w:proofErr w:type="spellEnd"/>
      <w:r w:rsidRPr="00FB1D51">
        <w:rPr>
          <w:rFonts w:cs="Arial"/>
          <w:bCs/>
          <w:color w:val="003768"/>
          <w:sz w:val="20"/>
          <w:szCs w:val="20"/>
          <w:lang w:val="fr-FR"/>
        </w:rPr>
        <w:t xml:space="preserve"> selon Bâle III (à pleine charge, pro forma) dépasse nettement l'objectif de 10%.</w:t>
      </w:r>
    </w:p>
    <w:p w:rsidR="00A64831" w:rsidRPr="00FB1D51" w:rsidRDefault="00A64831" w:rsidP="00FB1D51">
      <w:pPr>
        <w:pStyle w:val="ListParagraph"/>
        <w:numPr>
          <w:ilvl w:val="0"/>
          <w:numId w:val="2"/>
        </w:numPr>
        <w:autoSpaceDE w:val="0"/>
        <w:autoSpaceDN w:val="0"/>
        <w:adjustRightInd w:val="0"/>
        <w:spacing w:after="120" w:line="240" w:lineRule="auto"/>
        <w:ind w:left="1706" w:right="6" w:hanging="357"/>
        <w:contextualSpacing w:val="0"/>
        <w:jc w:val="both"/>
        <w:rPr>
          <w:rFonts w:cs="Arial"/>
          <w:bCs/>
          <w:color w:val="003768"/>
          <w:sz w:val="20"/>
          <w:szCs w:val="20"/>
          <w:lang w:val="fr-FR"/>
        </w:rPr>
      </w:pPr>
      <w:r w:rsidRPr="00FB1D51">
        <w:rPr>
          <w:rFonts w:cs="Arial"/>
          <w:bCs/>
          <w:color w:val="003768"/>
          <w:sz w:val="20"/>
          <w:szCs w:val="20"/>
          <w:lang w:val="fr-FR"/>
        </w:rPr>
        <w:t xml:space="preserve">Il sera proposé à l'Assemblée générale annuelle de ne pas distribuer de dividende sur l'exercice 2013. </w:t>
      </w:r>
    </w:p>
    <w:tbl>
      <w:tblPr>
        <w:tblW w:w="10200" w:type="dxa"/>
        <w:tblInd w:w="1088" w:type="dxa"/>
        <w:tblLayout w:type="fixed"/>
        <w:tblLook w:val="01E0" w:firstRow="1" w:lastRow="1" w:firstColumn="1" w:lastColumn="1" w:noHBand="0" w:noVBand="0"/>
      </w:tblPr>
      <w:tblGrid>
        <w:gridCol w:w="5665"/>
        <w:gridCol w:w="850"/>
        <w:gridCol w:w="851"/>
        <w:gridCol w:w="850"/>
        <w:gridCol w:w="1127"/>
        <w:gridCol w:w="857"/>
      </w:tblGrid>
      <w:tr w:rsidR="00FB1D51" w:rsidRPr="00FB1D51" w:rsidTr="00FB1D51">
        <w:tc>
          <w:tcPr>
            <w:tcW w:w="5665" w:type="dxa"/>
            <w:shd w:val="clear" w:color="auto" w:fill="365F91" w:themeFill="accent1" w:themeFillShade="BF"/>
            <w:vAlign w:val="center"/>
            <w:hideMark/>
          </w:tcPr>
          <w:p w:rsidR="00FB1D51" w:rsidRPr="00FB1D51" w:rsidRDefault="00FB1D51" w:rsidP="00FB1D51">
            <w:pPr>
              <w:snapToGrid w:val="0"/>
              <w:spacing w:after="0"/>
              <w:rPr>
                <w:rFonts w:ascii="Arial" w:eastAsia="Times New Roman" w:hAnsi="Arial"/>
                <w:bCs/>
                <w:color w:val="FFFFFF" w:themeColor="background1"/>
                <w:sz w:val="14"/>
                <w:szCs w:val="14"/>
                <w:lang w:val="fr-FR"/>
              </w:rPr>
            </w:pPr>
            <w:r w:rsidRPr="00FB1D51">
              <w:rPr>
                <w:rFonts w:ascii="Arial" w:eastAsia="Times New Roman" w:hAnsi="Arial"/>
                <w:bCs/>
                <w:color w:val="FFFFFF" w:themeColor="background1"/>
                <w:sz w:val="14"/>
                <w:szCs w:val="14"/>
                <w:lang w:val="fr-FR"/>
              </w:rPr>
              <w:t>Aperçu</w:t>
            </w:r>
          </w:p>
          <w:p w:rsidR="00FB1D51" w:rsidRPr="00FB1D51" w:rsidRDefault="00FB1D51" w:rsidP="00FB1D51">
            <w:pPr>
              <w:snapToGrid w:val="0"/>
              <w:spacing w:after="0"/>
              <w:rPr>
                <w:rFonts w:ascii="Arial" w:eastAsia="Times New Roman" w:hAnsi="Arial"/>
                <w:bCs/>
                <w:color w:val="FFFFFF" w:themeColor="background1"/>
                <w:sz w:val="14"/>
                <w:szCs w:val="14"/>
                <w:lang w:val="fr-FR"/>
              </w:rPr>
            </w:pPr>
            <w:r w:rsidRPr="00FB1D51">
              <w:rPr>
                <w:rFonts w:ascii="Arial" w:eastAsia="Times New Roman" w:hAnsi="Arial"/>
                <w:bCs/>
                <w:color w:val="FFFFFF" w:themeColor="background1"/>
                <w:sz w:val="14"/>
                <w:szCs w:val="14"/>
                <w:lang w:val="fr-FR"/>
              </w:rPr>
              <w:t>KBC Groupe (consolidé)</w:t>
            </w:r>
          </w:p>
        </w:tc>
        <w:tc>
          <w:tcPr>
            <w:tcW w:w="850" w:type="dxa"/>
            <w:shd w:val="clear" w:color="auto" w:fill="365F91" w:themeFill="accent1" w:themeFillShade="BF"/>
            <w:vAlign w:val="center"/>
            <w:hideMark/>
          </w:tcPr>
          <w:p w:rsidR="00FB1D51" w:rsidRPr="00FB1D51" w:rsidRDefault="00FB1D51" w:rsidP="00FB1D51">
            <w:pPr>
              <w:snapToGrid w:val="0"/>
              <w:spacing w:after="0"/>
              <w:jc w:val="right"/>
              <w:rPr>
                <w:rFonts w:ascii="Arial" w:eastAsia="Times New Roman" w:hAnsi="Arial"/>
                <w:bCs/>
                <w:color w:val="FFFFFF" w:themeColor="background1"/>
                <w:sz w:val="14"/>
                <w:szCs w:val="14"/>
                <w:lang w:val="fr-FR"/>
              </w:rPr>
            </w:pPr>
            <w:r w:rsidRPr="00FB1D51">
              <w:rPr>
                <w:rFonts w:ascii="Arial" w:eastAsia="Times New Roman" w:hAnsi="Arial"/>
                <w:bCs/>
                <w:color w:val="FFFFFF" w:themeColor="background1"/>
                <w:sz w:val="14"/>
                <w:szCs w:val="14"/>
                <w:lang w:val="fr-FR"/>
              </w:rPr>
              <w:t>4Tr2012</w:t>
            </w:r>
          </w:p>
        </w:tc>
        <w:tc>
          <w:tcPr>
            <w:tcW w:w="851" w:type="dxa"/>
            <w:shd w:val="clear" w:color="auto" w:fill="365F91" w:themeFill="accent1" w:themeFillShade="BF"/>
            <w:vAlign w:val="center"/>
            <w:hideMark/>
          </w:tcPr>
          <w:p w:rsidR="00FB1D51" w:rsidRPr="00FB1D51" w:rsidRDefault="00FB1D51" w:rsidP="00FB1D51">
            <w:pPr>
              <w:snapToGrid w:val="0"/>
              <w:spacing w:after="0"/>
              <w:jc w:val="right"/>
              <w:rPr>
                <w:rFonts w:ascii="Arial" w:eastAsia="Times New Roman" w:hAnsi="Arial"/>
                <w:bCs/>
                <w:color w:val="FFFFFF" w:themeColor="background1"/>
                <w:sz w:val="14"/>
                <w:szCs w:val="14"/>
                <w:lang w:val="fr-FR"/>
              </w:rPr>
            </w:pPr>
            <w:r w:rsidRPr="00FB1D51">
              <w:rPr>
                <w:rFonts w:ascii="Arial" w:eastAsia="Times New Roman" w:hAnsi="Arial"/>
                <w:bCs/>
                <w:color w:val="FFFFFF" w:themeColor="background1"/>
                <w:sz w:val="14"/>
                <w:szCs w:val="14"/>
                <w:lang w:val="fr-FR"/>
              </w:rPr>
              <w:t>3Tr2013</w:t>
            </w:r>
          </w:p>
        </w:tc>
        <w:tc>
          <w:tcPr>
            <w:tcW w:w="850" w:type="dxa"/>
            <w:shd w:val="clear" w:color="auto" w:fill="365F91" w:themeFill="accent1" w:themeFillShade="BF"/>
            <w:vAlign w:val="center"/>
            <w:hideMark/>
          </w:tcPr>
          <w:p w:rsidR="00FB1D51" w:rsidRPr="00FB1D51" w:rsidRDefault="00FB1D51" w:rsidP="00FB1D51">
            <w:pPr>
              <w:snapToGrid w:val="0"/>
              <w:spacing w:after="0"/>
              <w:jc w:val="right"/>
              <w:rPr>
                <w:rFonts w:ascii="Arial" w:eastAsia="Times New Roman" w:hAnsi="Arial"/>
                <w:bCs/>
                <w:color w:val="FFFFFF" w:themeColor="background1"/>
                <w:sz w:val="14"/>
                <w:szCs w:val="14"/>
                <w:lang w:val="fr-FR"/>
              </w:rPr>
            </w:pPr>
            <w:r w:rsidRPr="00FB1D51">
              <w:rPr>
                <w:rFonts w:ascii="Arial" w:eastAsia="Times New Roman" w:hAnsi="Arial"/>
                <w:bCs/>
                <w:color w:val="FFFFFF" w:themeColor="background1"/>
                <w:sz w:val="14"/>
                <w:szCs w:val="14"/>
                <w:lang w:val="fr-FR"/>
              </w:rPr>
              <w:t>4Tr2013</w:t>
            </w:r>
          </w:p>
        </w:tc>
        <w:tc>
          <w:tcPr>
            <w:tcW w:w="1127" w:type="dxa"/>
            <w:shd w:val="clear" w:color="auto" w:fill="365F91" w:themeFill="accent1" w:themeFillShade="BF"/>
            <w:vAlign w:val="center"/>
            <w:hideMark/>
          </w:tcPr>
          <w:p w:rsidR="00FB1D51" w:rsidRPr="00FB1D51" w:rsidRDefault="00FB1D51" w:rsidP="00FB1D51">
            <w:pPr>
              <w:snapToGrid w:val="0"/>
              <w:spacing w:after="0"/>
              <w:jc w:val="right"/>
              <w:rPr>
                <w:rFonts w:ascii="Arial" w:eastAsia="Times New Roman" w:hAnsi="Arial"/>
                <w:bCs/>
                <w:color w:val="FFFFFF" w:themeColor="background1"/>
                <w:sz w:val="14"/>
                <w:szCs w:val="14"/>
                <w:lang w:val="fr-FR"/>
              </w:rPr>
            </w:pPr>
            <w:r w:rsidRPr="00FB1D51">
              <w:rPr>
                <w:rFonts w:ascii="Arial" w:eastAsia="Times New Roman" w:hAnsi="Arial"/>
                <w:bCs/>
                <w:color w:val="FFFFFF" w:themeColor="background1"/>
                <w:sz w:val="14"/>
                <w:szCs w:val="14"/>
                <w:lang w:val="fr-FR"/>
              </w:rPr>
              <w:t>Exercice complet 2012</w:t>
            </w:r>
          </w:p>
        </w:tc>
        <w:tc>
          <w:tcPr>
            <w:tcW w:w="857" w:type="dxa"/>
            <w:shd w:val="clear" w:color="auto" w:fill="365F91" w:themeFill="accent1" w:themeFillShade="BF"/>
            <w:vAlign w:val="center"/>
            <w:hideMark/>
          </w:tcPr>
          <w:p w:rsidR="00FB1D51" w:rsidRPr="00FB1D51" w:rsidRDefault="00FB1D51" w:rsidP="00FB1D51">
            <w:pPr>
              <w:snapToGrid w:val="0"/>
              <w:spacing w:after="0"/>
              <w:jc w:val="right"/>
              <w:rPr>
                <w:rFonts w:ascii="Arial" w:eastAsia="Times New Roman" w:hAnsi="Arial"/>
                <w:bCs/>
                <w:color w:val="FFFFFF" w:themeColor="background1"/>
                <w:sz w:val="14"/>
                <w:szCs w:val="14"/>
                <w:lang w:val="fr-FR"/>
              </w:rPr>
            </w:pPr>
            <w:r w:rsidRPr="00FB1D51">
              <w:rPr>
                <w:rFonts w:ascii="Arial" w:eastAsia="Times New Roman" w:hAnsi="Arial"/>
                <w:bCs/>
                <w:color w:val="FFFFFF" w:themeColor="background1"/>
                <w:sz w:val="14"/>
                <w:szCs w:val="14"/>
                <w:lang w:val="fr-FR"/>
              </w:rPr>
              <w:t>Exercice complet 2013</w:t>
            </w:r>
          </w:p>
        </w:tc>
      </w:tr>
      <w:tr w:rsidR="00FB1D51" w:rsidRPr="00FB1D51" w:rsidTr="00FB1D51">
        <w:trPr>
          <w:trHeight w:val="284"/>
        </w:trPr>
        <w:tc>
          <w:tcPr>
            <w:tcW w:w="5665" w:type="dxa"/>
            <w:tcBorders>
              <w:top w:val="nil"/>
              <w:left w:val="nil"/>
              <w:bottom w:val="nil"/>
              <w:right w:val="single" w:sz="4" w:space="0" w:color="365F91" w:themeColor="accent1" w:themeShade="BF"/>
            </w:tcBorders>
            <w:vAlign w:val="center"/>
            <w:hideMark/>
          </w:tcPr>
          <w:p w:rsidR="00FB1D51" w:rsidRPr="00FB1D51" w:rsidRDefault="00FB1D51" w:rsidP="00FB1D51">
            <w:pPr>
              <w:snapToGrid w:val="0"/>
              <w:spacing w:after="0"/>
              <w:rPr>
                <w:rFonts w:ascii="Arial" w:eastAsia="Times New Roman" w:hAnsi="Arial"/>
                <w:bCs/>
                <w:sz w:val="14"/>
                <w:szCs w:val="14"/>
                <w:lang w:val="fr-FR"/>
              </w:rPr>
            </w:pPr>
            <w:r w:rsidRPr="00FB1D51">
              <w:rPr>
                <w:rFonts w:ascii="Arial" w:eastAsia="Times New Roman" w:hAnsi="Arial"/>
                <w:bCs/>
                <w:sz w:val="14"/>
                <w:szCs w:val="14"/>
                <w:lang w:val="fr-FR"/>
              </w:rPr>
              <w:t>Résultat net, IFRS (en millions d'EUR)</w:t>
            </w:r>
          </w:p>
        </w:tc>
        <w:tc>
          <w:tcPr>
            <w:tcW w:w="850" w:type="dxa"/>
            <w:tcBorders>
              <w:top w:val="nil"/>
              <w:left w:val="single" w:sz="4" w:space="0" w:color="365F91" w:themeColor="accent1" w:themeShade="BF"/>
              <w:bottom w:val="nil"/>
              <w:right w:val="nil"/>
            </w:tcBorders>
            <w:vAlign w:val="center"/>
            <w:hideMark/>
          </w:tcPr>
          <w:p w:rsidR="00FB1D51" w:rsidRPr="00FB1D51" w:rsidRDefault="00FB1D51" w:rsidP="00FB1D51">
            <w:pPr>
              <w:snapToGrid w:val="0"/>
              <w:spacing w:after="0"/>
              <w:ind w:left="-108" w:hanging="142"/>
              <w:jc w:val="right"/>
              <w:rPr>
                <w:rFonts w:ascii="Arial" w:eastAsia="Times New Roman" w:hAnsi="Arial"/>
                <w:bCs/>
                <w:sz w:val="14"/>
                <w:szCs w:val="14"/>
                <w:lang w:val="fr-FR"/>
              </w:rPr>
            </w:pPr>
            <w:r w:rsidRPr="00FB1D51">
              <w:rPr>
                <w:rFonts w:ascii="Arial" w:eastAsia="Times New Roman" w:hAnsi="Arial"/>
                <w:bCs/>
                <w:sz w:val="14"/>
                <w:szCs w:val="14"/>
                <w:lang w:val="fr-FR"/>
              </w:rPr>
              <w:t>240</w:t>
            </w:r>
          </w:p>
        </w:tc>
        <w:tc>
          <w:tcPr>
            <w:tcW w:w="851" w:type="dxa"/>
            <w:vAlign w:val="center"/>
            <w:hideMark/>
          </w:tcPr>
          <w:p w:rsidR="00FB1D51" w:rsidRPr="00FB1D51" w:rsidRDefault="00FB1D51" w:rsidP="00FB1D51">
            <w:pPr>
              <w:snapToGrid w:val="0"/>
              <w:spacing w:after="0"/>
              <w:ind w:left="-108" w:hanging="142"/>
              <w:jc w:val="right"/>
              <w:rPr>
                <w:rFonts w:ascii="Arial" w:eastAsia="Times New Roman" w:hAnsi="Arial"/>
                <w:bCs/>
                <w:sz w:val="14"/>
                <w:szCs w:val="14"/>
                <w:lang w:val="fr-FR"/>
              </w:rPr>
            </w:pPr>
            <w:r w:rsidRPr="00FB1D51">
              <w:rPr>
                <w:rFonts w:ascii="Arial" w:eastAsia="Times New Roman" w:hAnsi="Arial"/>
                <w:bCs/>
                <w:sz w:val="14"/>
                <w:szCs w:val="14"/>
                <w:lang w:val="fr-FR"/>
              </w:rPr>
              <w:t>272</w:t>
            </w:r>
          </w:p>
        </w:tc>
        <w:tc>
          <w:tcPr>
            <w:tcW w:w="850" w:type="dxa"/>
            <w:tcBorders>
              <w:top w:val="nil"/>
              <w:left w:val="nil"/>
              <w:bottom w:val="nil"/>
              <w:right w:val="single" w:sz="4" w:space="0" w:color="365F91" w:themeColor="accent1" w:themeShade="BF"/>
            </w:tcBorders>
            <w:shd w:val="clear" w:color="auto" w:fill="DBE5F1" w:themeFill="accent1" w:themeFillTint="33"/>
            <w:vAlign w:val="center"/>
            <w:hideMark/>
          </w:tcPr>
          <w:p w:rsidR="00FB1D51" w:rsidRPr="00FB1D51" w:rsidRDefault="00FB1D51" w:rsidP="00FB1D51">
            <w:pPr>
              <w:snapToGrid w:val="0"/>
              <w:spacing w:after="0"/>
              <w:ind w:left="-108" w:hanging="142"/>
              <w:jc w:val="right"/>
              <w:rPr>
                <w:rFonts w:ascii="Arial" w:eastAsia="Times New Roman" w:hAnsi="Arial"/>
                <w:bCs/>
                <w:sz w:val="14"/>
                <w:szCs w:val="14"/>
                <w:lang w:val="fr-FR"/>
              </w:rPr>
            </w:pPr>
            <w:r w:rsidRPr="00FB1D51">
              <w:rPr>
                <w:rFonts w:ascii="Arial" w:eastAsia="Times New Roman" w:hAnsi="Arial"/>
                <w:bCs/>
                <w:sz w:val="14"/>
                <w:szCs w:val="14"/>
                <w:lang w:val="fr-FR"/>
              </w:rPr>
              <w:t>-294</w:t>
            </w:r>
          </w:p>
        </w:tc>
        <w:tc>
          <w:tcPr>
            <w:tcW w:w="1127" w:type="dxa"/>
            <w:tcBorders>
              <w:top w:val="nil"/>
              <w:left w:val="single" w:sz="4" w:space="0" w:color="365F91" w:themeColor="accent1" w:themeShade="BF"/>
              <w:bottom w:val="nil"/>
              <w:right w:val="nil"/>
            </w:tcBorders>
            <w:vAlign w:val="center"/>
            <w:hideMark/>
          </w:tcPr>
          <w:p w:rsidR="00FB1D51" w:rsidRPr="00FB1D51" w:rsidRDefault="00FB1D51" w:rsidP="00FB1D51">
            <w:pPr>
              <w:snapToGrid w:val="0"/>
              <w:spacing w:after="0"/>
              <w:ind w:left="-108" w:hanging="142"/>
              <w:jc w:val="right"/>
              <w:rPr>
                <w:rFonts w:ascii="Arial" w:eastAsia="Times New Roman" w:hAnsi="Arial"/>
                <w:bCs/>
                <w:sz w:val="14"/>
                <w:szCs w:val="14"/>
                <w:lang w:val="fr-FR"/>
              </w:rPr>
            </w:pPr>
            <w:r w:rsidRPr="00FB1D51">
              <w:rPr>
                <w:rFonts w:ascii="Arial" w:eastAsia="Times New Roman" w:hAnsi="Arial"/>
                <w:bCs/>
                <w:sz w:val="14"/>
                <w:szCs w:val="14"/>
                <w:lang w:val="fr-FR"/>
              </w:rPr>
              <w:t>612</w:t>
            </w:r>
          </w:p>
        </w:tc>
        <w:tc>
          <w:tcPr>
            <w:tcW w:w="857" w:type="dxa"/>
            <w:shd w:val="clear" w:color="auto" w:fill="DBE5F1" w:themeFill="accent1" w:themeFillTint="33"/>
            <w:vAlign w:val="center"/>
            <w:hideMark/>
          </w:tcPr>
          <w:p w:rsidR="00FB1D51" w:rsidRPr="00FB1D51" w:rsidRDefault="00FB1D51" w:rsidP="00FB1D51">
            <w:pPr>
              <w:snapToGrid w:val="0"/>
              <w:spacing w:after="0"/>
              <w:ind w:left="-108" w:hanging="142"/>
              <w:jc w:val="right"/>
              <w:rPr>
                <w:rFonts w:ascii="Arial" w:eastAsia="Times New Roman" w:hAnsi="Arial"/>
                <w:bCs/>
                <w:sz w:val="14"/>
                <w:szCs w:val="14"/>
                <w:lang w:val="fr-FR"/>
              </w:rPr>
            </w:pPr>
            <w:r w:rsidRPr="00FB1D51">
              <w:rPr>
                <w:rFonts w:ascii="Arial" w:eastAsia="Times New Roman" w:hAnsi="Arial"/>
                <w:bCs/>
                <w:sz w:val="14"/>
                <w:szCs w:val="14"/>
                <w:lang w:val="fr-FR"/>
              </w:rPr>
              <w:t>1 015</w:t>
            </w:r>
          </w:p>
        </w:tc>
      </w:tr>
      <w:tr w:rsidR="00FB1D51" w:rsidRPr="00FB1D51" w:rsidTr="00FB1D51">
        <w:trPr>
          <w:trHeight w:val="284"/>
        </w:trPr>
        <w:tc>
          <w:tcPr>
            <w:tcW w:w="5665" w:type="dxa"/>
            <w:tcBorders>
              <w:top w:val="nil"/>
              <w:left w:val="nil"/>
              <w:bottom w:val="single" w:sz="4" w:space="0" w:color="365F91" w:themeColor="accent1" w:themeShade="BF"/>
              <w:right w:val="single" w:sz="4" w:space="0" w:color="365F91" w:themeColor="accent1" w:themeShade="BF"/>
            </w:tcBorders>
            <w:vAlign w:val="center"/>
            <w:hideMark/>
          </w:tcPr>
          <w:p w:rsidR="00FB1D51" w:rsidRPr="00FB1D51" w:rsidRDefault="00FB1D51" w:rsidP="00FB1D51">
            <w:pPr>
              <w:snapToGrid w:val="0"/>
              <w:spacing w:after="0"/>
              <w:rPr>
                <w:rFonts w:ascii="Arial" w:eastAsia="Times New Roman" w:hAnsi="Arial"/>
                <w:bCs/>
                <w:sz w:val="14"/>
                <w:szCs w:val="14"/>
                <w:lang w:val="fr-FR"/>
              </w:rPr>
            </w:pPr>
            <w:r w:rsidRPr="00FB1D51">
              <w:rPr>
                <w:rFonts w:ascii="Arial" w:eastAsia="Times New Roman" w:hAnsi="Arial"/>
                <w:bCs/>
                <w:sz w:val="14"/>
                <w:szCs w:val="14"/>
                <w:lang w:val="fr-FR"/>
              </w:rPr>
              <w:t>Bénéfice de base par action, IFRS (en EUR)</w:t>
            </w:r>
            <w:r w:rsidRPr="00FB1D51">
              <w:rPr>
                <w:rFonts w:ascii="Arial" w:eastAsia="Times New Roman" w:hAnsi="Arial"/>
                <w:bCs/>
                <w:sz w:val="14"/>
                <w:szCs w:val="14"/>
                <w:vertAlign w:val="superscript"/>
                <w:lang w:val="fr-FR"/>
              </w:rPr>
              <w:t>1</w:t>
            </w:r>
          </w:p>
        </w:tc>
        <w:tc>
          <w:tcPr>
            <w:tcW w:w="850" w:type="dxa"/>
            <w:tcBorders>
              <w:top w:val="nil"/>
              <w:left w:val="single" w:sz="4" w:space="0" w:color="365F91" w:themeColor="accent1" w:themeShade="BF"/>
              <w:bottom w:val="single" w:sz="4" w:space="0" w:color="365F91" w:themeColor="accent1" w:themeShade="BF"/>
              <w:right w:val="nil"/>
            </w:tcBorders>
            <w:vAlign w:val="center"/>
            <w:hideMark/>
          </w:tcPr>
          <w:p w:rsidR="00FB1D51" w:rsidRPr="00FB1D51" w:rsidRDefault="00FB1D51" w:rsidP="00FB1D51">
            <w:pPr>
              <w:snapToGrid w:val="0"/>
              <w:spacing w:after="0"/>
              <w:jc w:val="right"/>
              <w:rPr>
                <w:rFonts w:ascii="Arial" w:eastAsia="Times New Roman" w:hAnsi="Arial"/>
                <w:bCs/>
                <w:sz w:val="14"/>
                <w:szCs w:val="14"/>
                <w:lang w:val="fr-FR"/>
              </w:rPr>
            </w:pPr>
            <w:r w:rsidRPr="00FB1D51">
              <w:rPr>
                <w:rFonts w:ascii="Arial" w:eastAsia="Times New Roman" w:hAnsi="Arial"/>
                <w:bCs/>
                <w:sz w:val="14"/>
                <w:szCs w:val="14"/>
                <w:lang w:val="fr-FR"/>
              </w:rPr>
              <w:t>-0.97</w:t>
            </w:r>
          </w:p>
        </w:tc>
        <w:tc>
          <w:tcPr>
            <w:tcW w:w="851" w:type="dxa"/>
            <w:tcBorders>
              <w:top w:val="nil"/>
              <w:left w:val="nil"/>
              <w:bottom w:val="single" w:sz="4" w:space="0" w:color="365F91" w:themeColor="accent1" w:themeShade="BF"/>
              <w:right w:val="nil"/>
            </w:tcBorders>
            <w:vAlign w:val="center"/>
            <w:hideMark/>
          </w:tcPr>
          <w:p w:rsidR="00FB1D51" w:rsidRPr="00FB1D51" w:rsidRDefault="00FB1D51" w:rsidP="00FB1D51">
            <w:pPr>
              <w:snapToGrid w:val="0"/>
              <w:spacing w:after="0"/>
              <w:jc w:val="right"/>
              <w:rPr>
                <w:rFonts w:ascii="Arial" w:eastAsia="Times New Roman" w:hAnsi="Arial"/>
                <w:bCs/>
                <w:sz w:val="14"/>
                <w:szCs w:val="14"/>
                <w:lang w:val="fr-FR"/>
              </w:rPr>
            </w:pPr>
            <w:r w:rsidRPr="00FB1D51">
              <w:rPr>
                <w:rFonts w:ascii="Arial" w:eastAsia="Times New Roman" w:hAnsi="Arial"/>
                <w:bCs/>
                <w:sz w:val="14"/>
                <w:szCs w:val="14"/>
                <w:lang w:val="fr-FR"/>
              </w:rPr>
              <w:t>-0.75</w:t>
            </w:r>
          </w:p>
        </w:tc>
        <w:tc>
          <w:tcPr>
            <w:tcW w:w="850" w:type="dxa"/>
            <w:tcBorders>
              <w:top w:val="nil"/>
              <w:left w:val="nil"/>
              <w:bottom w:val="single" w:sz="4" w:space="0" w:color="365F91" w:themeColor="accent1" w:themeShade="BF"/>
              <w:right w:val="single" w:sz="4" w:space="0" w:color="365F91" w:themeColor="accent1" w:themeShade="BF"/>
            </w:tcBorders>
            <w:shd w:val="clear" w:color="auto" w:fill="DBE5F1" w:themeFill="accent1" w:themeFillTint="33"/>
            <w:vAlign w:val="center"/>
            <w:hideMark/>
          </w:tcPr>
          <w:p w:rsidR="00FB1D51" w:rsidRPr="00FB1D51" w:rsidRDefault="00FB1D51" w:rsidP="00FB1D51">
            <w:pPr>
              <w:snapToGrid w:val="0"/>
              <w:spacing w:after="0"/>
              <w:jc w:val="right"/>
              <w:rPr>
                <w:rFonts w:ascii="Arial" w:eastAsia="Times New Roman" w:hAnsi="Arial"/>
                <w:bCs/>
                <w:sz w:val="14"/>
                <w:szCs w:val="14"/>
                <w:lang w:val="fr-FR"/>
              </w:rPr>
            </w:pPr>
            <w:r w:rsidRPr="00FB1D51">
              <w:rPr>
                <w:rFonts w:ascii="Arial" w:eastAsia="Times New Roman" w:hAnsi="Arial"/>
                <w:bCs/>
                <w:sz w:val="14"/>
                <w:szCs w:val="14"/>
                <w:lang w:val="fr-FR"/>
              </w:rPr>
              <w:t>-0.71</w:t>
            </w:r>
          </w:p>
        </w:tc>
        <w:tc>
          <w:tcPr>
            <w:tcW w:w="1127" w:type="dxa"/>
            <w:tcBorders>
              <w:top w:val="nil"/>
              <w:left w:val="single" w:sz="4" w:space="0" w:color="365F91" w:themeColor="accent1" w:themeShade="BF"/>
              <w:bottom w:val="single" w:sz="4" w:space="0" w:color="365F91" w:themeColor="accent1" w:themeShade="BF"/>
              <w:right w:val="nil"/>
            </w:tcBorders>
            <w:vAlign w:val="center"/>
            <w:hideMark/>
          </w:tcPr>
          <w:p w:rsidR="00FB1D51" w:rsidRPr="00FB1D51" w:rsidRDefault="00FB1D51" w:rsidP="00FB1D51">
            <w:pPr>
              <w:snapToGrid w:val="0"/>
              <w:spacing w:after="0"/>
              <w:jc w:val="right"/>
              <w:rPr>
                <w:rFonts w:ascii="Arial" w:eastAsia="Times New Roman" w:hAnsi="Arial"/>
                <w:bCs/>
                <w:sz w:val="14"/>
                <w:szCs w:val="14"/>
                <w:lang w:val="fr-FR"/>
              </w:rPr>
            </w:pPr>
            <w:r w:rsidRPr="00FB1D51">
              <w:rPr>
                <w:rFonts w:ascii="Arial" w:eastAsia="Times New Roman" w:hAnsi="Arial"/>
                <w:bCs/>
                <w:sz w:val="14"/>
                <w:szCs w:val="14"/>
                <w:lang w:val="fr-FR"/>
              </w:rPr>
              <w:t>-1.09</w:t>
            </w:r>
          </w:p>
        </w:tc>
        <w:tc>
          <w:tcPr>
            <w:tcW w:w="857" w:type="dxa"/>
            <w:tcBorders>
              <w:top w:val="nil"/>
              <w:left w:val="nil"/>
              <w:bottom w:val="single" w:sz="4" w:space="0" w:color="365F91" w:themeColor="accent1" w:themeShade="BF"/>
              <w:right w:val="nil"/>
            </w:tcBorders>
            <w:shd w:val="clear" w:color="auto" w:fill="DBE5F1" w:themeFill="accent1" w:themeFillTint="33"/>
            <w:vAlign w:val="center"/>
            <w:hideMark/>
          </w:tcPr>
          <w:p w:rsidR="00FB1D51" w:rsidRPr="00FB1D51" w:rsidRDefault="00FB1D51" w:rsidP="00FB1D51">
            <w:pPr>
              <w:snapToGrid w:val="0"/>
              <w:spacing w:after="0"/>
              <w:jc w:val="right"/>
              <w:rPr>
                <w:rFonts w:ascii="Arial" w:eastAsia="Times New Roman" w:hAnsi="Arial"/>
                <w:bCs/>
                <w:sz w:val="14"/>
                <w:szCs w:val="14"/>
                <w:lang w:val="fr-FR"/>
              </w:rPr>
            </w:pPr>
            <w:r w:rsidRPr="00FB1D51">
              <w:rPr>
                <w:rFonts w:ascii="Arial" w:eastAsia="Times New Roman" w:hAnsi="Arial"/>
                <w:bCs/>
                <w:sz w:val="14"/>
                <w:szCs w:val="14"/>
                <w:lang w:val="fr-FR"/>
              </w:rPr>
              <w:t>1.03</w:t>
            </w:r>
          </w:p>
        </w:tc>
      </w:tr>
      <w:tr w:rsidR="00FB1D51" w:rsidRPr="00FB1D51" w:rsidTr="00FB1D51">
        <w:trPr>
          <w:trHeight w:val="284"/>
        </w:trPr>
        <w:tc>
          <w:tcPr>
            <w:tcW w:w="5665" w:type="dxa"/>
            <w:tcBorders>
              <w:top w:val="single" w:sz="4" w:space="0" w:color="365F91" w:themeColor="accent1" w:themeShade="BF"/>
              <w:left w:val="nil"/>
              <w:bottom w:val="nil"/>
              <w:right w:val="single" w:sz="4" w:space="0" w:color="365F91" w:themeColor="accent1" w:themeShade="BF"/>
            </w:tcBorders>
            <w:vAlign w:val="center"/>
            <w:hideMark/>
          </w:tcPr>
          <w:p w:rsidR="00FB1D51" w:rsidRPr="00FB1D51" w:rsidRDefault="00FB1D51" w:rsidP="00FB1D51">
            <w:pPr>
              <w:snapToGrid w:val="0"/>
              <w:spacing w:after="0"/>
              <w:rPr>
                <w:rFonts w:ascii="Arial" w:eastAsia="Times New Roman" w:hAnsi="Arial"/>
                <w:bCs/>
                <w:sz w:val="14"/>
                <w:szCs w:val="14"/>
                <w:lang w:val="fr-FR"/>
              </w:rPr>
            </w:pPr>
            <w:r w:rsidRPr="00FB1D51">
              <w:rPr>
                <w:rFonts w:ascii="Arial" w:eastAsia="Times New Roman" w:hAnsi="Arial"/>
                <w:bCs/>
                <w:sz w:val="14"/>
                <w:szCs w:val="14"/>
                <w:lang w:val="fr-FR"/>
              </w:rPr>
              <w:t>Résultat net ajusté (en millions d'EUR)</w:t>
            </w:r>
          </w:p>
        </w:tc>
        <w:tc>
          <w:tcPr>
            <w:tcW w:w="850" w:type="dxa"/>
            <w:tcBorders>
              <w:top w:val="single" w:sz="4" w:space="0" w:color="365F91" w:themeColor="accent1" w:themeShade="BF"/>
              <w:left w:val="single" w:sz="4" w:space="0" w:color="365F91" w:themeColor="accent1" w:themeShade="BF"/>
              <w:bottom w:val="nil"/>
              <w:right w:val="nil"/>
            </w:tcBorders>
            <w:vAlign w:val="center"/>
            <w:hideMark/>
          </w:tcPr>
          <w:p w:rsidR="00FB1D51" w:rsidRPr="00FB1D51" w:rsidRDefault="00FB1D51" w:rsidP="00FB1D51">
            <w:pPr>
              <w:snapToGrid w:val="0"/>
              <w:spacing w:after="0"/>
              <w:jc w:val="right"/>
              <w:rPr>
                <w:rFonts w:ascii="Arial" w:eastAsia="Times New Roman" w:hAnsi="Arial"/>
                <w:bCs/>
                <w:sz w:val="14"/>
                <w:szCs w:val="14"/>
                <w:lang w:val="fr-FR"/>
              </w:rPr>
            </w:pPr>
            <w:r w:rsidRPr="00FB1D51">
              <w:rPr>
                <w:rFonts w:ascii="Arial" w:eastAsia="Times New Roman" w:hAnsi="Arial"/>
                <w:bCs/>
                <w:sz w:val="14"/>
                <w:szCs w:val="14"/>
                <w:lang w:val="fr-FR"/>
              </w:rPr>
              <w:t>279</w:t>
            </w:r>
          </w:p>
        </w:tc>
        <w:tc>
          <w:tcPr>
            <w:tcW w:w="851" w:type="dxa"/>
            <w:tcBorders>
              <w:top w:val="single" w:sz="4" w:space="0" w:color="365F91" w:themeColor="accent1" w:themeShade="BF"/>
              <w:left w:val="nil"/>
              <w:bottom w:val="nil"/>
              <w:right w:val="nil"/>
            </w:tcBorders>
            <w:vAlign w:val="center"/>
            <w:hideMark/>
          </w:tcPr>
          <w:p w:rsidR="00FB1D51" w:rsidRPr="00FB1D51" w:rsidRDefault="00FB1D51" w:rsidP="00FB1D51">
            <w:pPr>
              <w:snapToGrid w:val="0"/>
              <w:spacing w:after="0"/>
              <w:jc w:val="right"/>
              <w:rPr>
                <w:rFonts w:ascii="Arial" w:eastAsia="Times New Roman" w:hAnsi="Arial"/>
                <w:bCs/>
                <w:sz w:val="14"/>
                <w:szCs w:val="14"/>
                <w:lang w:val="fr-FR"/>
              </w:rPr>
            </w:pPr>
            <w:r w:rsidRPr="00FB1D51">
              <w:rPr>
                <w:rFonts w:ascii="Arial" w:eastAsia="Times New Roman" w:hAnsi="Arial"/>
                <w:bCs/>
                <w:sz w:val="14"/>
                <w:szCs w:val="14"/>
                <w:lang w:val="fr-FR"/>
              </w:rPr>
              <w:t>457</w:t>
            </w:r>
          </w:p>
        </w:tc>
        <w:tc>
          <w:tcPr>
            <w:tcW w:w="850" w:type="dxa"/>
            <w:tcBorders>
              <w:top w:val="single" w:sz="4" w:space="0" w:color="365F91" w:themeColor="accent1" w:themeShade="BF"/>
              <w:left w:val="nil"/>
              <w:bottom w:val="nil"/>
              <w:right w:val="single" w:sz="4" w:space="0" w:color="365F91" w:themeColor="accent1" w:themeShade="BF"/>
            </w:tcBorders>
            <w:shd w:val="clear" w:color="auto" w:fill="DBE5F1" w:themeFill="accent1" w:themeFillTint="33"/>
            <w:vAlign w:val="center"/>
            <w:hideMark/>
          </w:tcPr>
          <w:p w:rsidR="00FB1D51" w:rsidRPr="00FB1D51" w:rsidRDefault="00FB1D51" w:rsidP="00FB1D51">
            <w:pPr>
              <w:snapToGrid w:val="0"/>
              <w:spacing w:after="0"/>
              <w:jc w:val="right"/>
              <w:rPr>
                <w:rFonts w:ascii="Arial" w:eastAsia="Times New Roman" w:hAnsi="Arial"/>
                <w:bCs/>
                <w:sz w:val="14"/>
                <w:szCs w:val="14"/>
                <w:lang w:val="fr-FR"/>
              </w:rPr>
            </w:pPr>
            <w:r w:rsidRPr="00FB1D51">
              <w:rPr>
                <w:rFonts w:ascii="Arial" w:eastAsia="Times New Roman" w:hAnsi="Arial"/>
                <w:bCs/>
                <w:sz w:val="14"/>
                <w:szCs w:val="14"/>
                <w:lang w:val="fr-FR"/>
              </w:rPr>
              <w:t>-340</w:t>
            </w:r>
          </w:p>
        </w:tc>
        <w:tc>
          <w:tcPr>
            <w:tcW w:w="1127" w:type="dxa"/>
            <w:tcBorders>
              <w:top w:val="single" w:sz="4" w:space="0" w:color="365F91" w:themeColor="accent1" w:themeShade="BF"/>
              <w:left w:val="single" w:sz="4" w:space="0" w:color="365F91" w:themeColor="accent1" w:themeShade="BF"/>
              <w:bottom w:val="nil"/>
              <w:right w:val="nil"/>
            </w:tcBorders>
            <w:vAlign w:val="center"/>
            <w:hideMark/>
          </w:tcPr>
          <w:p w:rsidR="00FB1D51" w:rsidRPr="00FB1D51" w:rsidRDefault="00FB1D51" w:rsidP="00FB1D51">
            <w:pPr>
              <w:snapToGrid w:val="0"/>
              <w:spacing w:after="0"/>
              <w:jc w:val="right"/>
              <w:rPr>
                <w:rFonts w:ascii="Arial" w:eastAsia="Times New Roman" w:hAnsi="Arial"/>
                <w:bCs/>
                <w:sz w:val="14"/>
                <w:szCs w:val="14"/>
                <w:lang w:val="fr-FR"/>
              </w:rPr>
            </w:pPr>
            <w:r w:rsidRPr="00FB1D51">
              <w:rPr>
                <w:rFonts w:ascii="Arial" w:eastAsia="Times New Roman" w:hAnsi="Arial"/>
                <w:bCs/>
                <w:sz w:val="14"/>
                <w:szCs w:val="14"/>
                <w:lang w:val="fr-FR"/>
              </w:rPr>
              <w:t>1 496</w:t>
            </w:r>
          </w:p>
        </w:tc>
        <w:tc>
          <w:tcPr>
            <w:tcW w:w="857" w:type="dxa"/>
            <w:tcBorders>
              <w:top w:val="single" w:sz="4" w:space="0" w:color="365F91" w:themeColor="accent1" w:themeShade="BF"/>
              <w:left w:val="nil"/>
              <w:bottom w:val="nil"/>
              <w:right w:val="nil"/>
            </w:tcBorders>
            <w:shd w:val="clear" w:color="auto" w:fill="DBE5F1" w:themeFill="accent1" w:themeFillTint="33"/>
            <w:vAlign w:val="center"/>
            <w:hideMark/>
          </w:tcPr>
          <w:p w:rsidR="00FB1D51" w:rsidRPr="00FB1D51" w:rsidRDefault="00FB1D51" w:rsidP="00FB1D51">
            <w:pPr>
              <w:snapToGrid w:val="0"/>
              <w:spacing w:after="0"/>
              <w:jc w:val="right"/>
              <w:rPr>
                <w:rFonts w:ascii="Arial" w:eastAsia="Times New Roman" w:hAnsi="Arial"/>
                <w:bCs/>
                <w:sz w:val="14"/>
                <w:szCs w:val="14"/>
                <w:lang w:val="fr-FR"/>
              </w:rPr>
            </w:pPr>
            <w:r w:rsidRPr="00FB1D51">
              <w:rPr>
                <w:rFonts w:ascii="Arial" w:eastAsia="Times New Roman" w:hAnsi="Arial"/>
                <w:bCs/>
                <w:sz w:val="14"/>
                <w:szCs w:val="14"/>
                <w:lang w:val="fr-FR"/>
              </w:rPr>
              <w:t>960</w:t>
            </w:r>
          </w:p>
        </w:tc>
      </w:tr>
      <w:tr w:rsidR="00FB1D51" w:rsidRPr="00FB1D51" w:rsidTr="00FB1D51">
        <w:trPr>
          <w:trHeight w:val="284"/>
        </w:trPr>
        <w:tc>
          <w:tcPr>
            <w:tcW w:w="5665" w:type="dxa"/>
            <w:tcBorders>
              <w:top w:val="nil"/>
              <w:left w:val="nil"/>
              <w:bottom w:val="nil"/>
              <w:right w:val="single" w:sz="4" w:space="0" w:color="365F91" w:themeColor="accent1" w:themeShade="BF"/>
            </w:tcBorders>
            <w:vAlign w:val="center"/>
            <w:hideMark/>
          </w:tcPr>
          <w:p w:rsidR="00FB1D51" w:rsidRPr="00FB1D51" w:rsidRDefault="00FB1D51" w:rsidP="00FB1D51">
            <w:pPr>
              <w:snapToGrid w:val="0"/>
              <w:spacing w:after="0"/>
              <w:rPr>
                <w:rFonts w:ascii="Arial" w:eastAsia="Times New Roman" w:hAnsi="Arial"/>
                <w:bCs/>
                <w:sz w:val="14"/>
                <w:szCs w:val="14"/>
                <w:lang w:val="fr-FR"/>
              </w:rPr>
            </w:pPr>
            <w:r w:rsidRPr="00FB1D51">
              <w:rPr>
                <w:rFonts w:ascii="Arial" w:eastAsia="Times New Roman" w:hAnsi="Arial"/>
                <w:bCs/>
                <w:sz w:val="14"/>
                <w:szCs w:val="14"/>
                <w:lang w:val="fr-FR"/>
              </w:rPr>
              <w:t>Bénéfice de base par action, sur la base du résultat net ajusté (en EUR)</w:t>
            </w:r>
            <w:r w:rsidRPr="00FB1D51">
              <w:rPr>
                <w:rFonts w:ascii="Arial" w:eastAsia="Times New Roman" w:hAnsi="Arial"/>
                <w:bCs/>
                <w:sz w:val="14"/>
                <w:szCs w:val="14"/>
                <w:vertAlign w:val="superscript"/>
                <w:lang w:val="fr-FR"/>
              </w:rPr>
              <w:t>1</w:t>
            </w:r>
            <w:r w:rsidRPr="00FB1D51">
              <w:rPr>
                <w:rFonts w:ascii="Arial" w:eastAsia="Times New Roman" w:hAnsi="Arial"/>
                <w:bCs/>
                <w:sz w:val="14"/>
                <w:szCs w:val="14"/>
                <w:lang w:val="fr-FR"/>
              </w:rPr>
              <w:t xml:space="preserve"> </w:t>
            </w:r>
          </w:p>
        </w:tc>
        <w:tc>
          <w:tcPr>
            <w:tcW w:w="850" w:type="dxa"/>
            <w:tcBorders>
              <w:top w:val="nil"/>
              <w:left w:val="single" w:sz="4" w:space="0" w:color="365F91" w:themeColor="accent1" w:themeShade="BF"/>
              <w:bottom w:val="nil"/>
              <w:right w:val="nil"/>
            </w:tcBorders>
            <w:vAlign w:val="center"/>
            <w:hideMark/>
          </w:tcPr>
          <w:p w:rsidR="00FB1D51" w:rsidRPr="00FB1D51" w:rsidRDefault="00FB1D51" w:rsidP="00FB1D51">
            <w:pPr>
              <w:snapToGrid w:val="0"/>
              <w:spacing w:after="0"/>
              <w:jc w:val="right"/>
              <w:rPr>
                <w:rFonts w:ascii="Arial" w:eastAsia="Times New Roman" w:hAnsi="Arial"/>
                <w:bCs/>
                <w:sz w:val="14"/>
                <w:szCs w:val="14"/>
                <w:lang w:val="fr-FR"/>
              </w:rPr>
            </w:pPr>
            <w:r w:rsidRPr="00FB1D51">
              <w:rPr>
                <w:rFonts w:ascii="Arial" w:eastAsia="Times New Roman" w:hAnsi="Arial"/>
                <w:bCs/>
                <w:sz w:val="14"/>
                <w:szCs w:val="14"/>
                <w:lang w:val="fr-FR"/>
              </w:rPr>
              <w:t>-0.92</w:t>
            </w:r>
          </w:p>
        </w:tc>
        <w:tc>
          <w:tcPr>
            <w:tcW w:w="851" w:type="dxa"/>
            <w:vAlign w:val="center"/>
            <w:hideMark/>
          </w:tcPr>
          <w:p w:rsidR="00FB1D51" w:rsidRPr="00FB1D51" w:rsidRDefault="00FB1D51" w:rsidP="00FB1D51">
            <w:pPr>
              <w:snapToGrid w:val="0"/>
              <w:spacing w:after="0"/>
              <w:jc w:val="right"/>
              <w:rPr>
                <w:rFonts w:ascii="Arial" w:eastAsia="Times New Roman" w:hAnsi="Arial"/>
                <w:bCs/>
                <w:sz w:val="14"/>
                <w:szCs w:val="14"/>
                <w:lang w:val="fr-FR"/>
              </w:rPr>
            </w:pPr>
            <w:r w:rsidRPr="00FB1D51">
              <w:rPr>
                <w:rFonts w:ascii="Arial" w:eastAsia="Times New Roman" w:hAnsi="Arial"/>
                <w:bCs/>
                <w:sz w:val="14"/>
                <w:szCs w:val="14"/>
                <w:lang w:val="fr-FR"/>
              </w:rPr>
              <w:t>-0.30</w:t>
            </w:r>
          </w:p>
        </w:tc>
        <w:tc>
          <w:tcPr>
            <w:tcW w:w="850" w:type="dxa"/>
            <w:tcBorders>
              <w:top w:val="nil"/>
              <w:left w:val="nil"/>
              <w:bottom w:val="nil"/>
              <w:right w:val="single" w:sz="4" w:space="0" w:color="365F91" w:themeColor="accent1" w:themeShade="BF"/>
            </w:tcBorders>
            <w:shd w:val="clear" w:color="auto" w:fill="DBE5F1" w:themeFill="accent1" w:themeFillTint="33"/>
            <w:vAlign w:val="center"/>
            <w:hideMark/>
          </w:tcPr>
          <w:p w:rsidR="00FB1D51" w:rsidRPr="00FB1D51" w:rsidRDefault="00FB1D51" w:rsidP="00FB1D51">
            <w:pPr>
              <w:snapToGrid w:val="0"/>
              <w:spacing w:after="0"/>
              <w:jc w:val="right"/>
              <w:rPr>
                <w:rFonts w:ascii="Arial" w:eastAsia="Times New Roman" w:hAnsi="Arial"/>
                <w:bCs/>
                <w:sz w:val="14"/>
                <w:szCs w:val="14"/>
                <w:lang w:val="fr-FR"/>
              </w:rPr>
            </w:pPr>
            <w:r w:rsidRPr="00FB1D51">
              <w:rPr>
                <w:rFonts w:ascii="Arial" w:eastAsia="Times New Roman" w:hAnsi="Arial"/>
                <w:bCs/>
                <w:sz w:val="14"/>
                <w:szCs w:val="14"/>
                <w:lang w:val="fr-FR"/>
              </w:rPr>
              <w:t>-0.82</w:t>
            </w:r>
          </w:p>
        </w:tc>
        <w:tc>
          <w:tcPr>
            <w:tcW w:w="1127" w:type="dxa"/>
            <w:tcBorders>
              <w:top w:val="nil"/>
              <w:left w:val="single" w:sz="4" w:space="0" w:color="365F91" w:themeColor="accent1" w:themeShade="BF"/>
              <w:bottom w:val="nil"/>
              <w:right w:val="nil"/>
            </w:tcBorders>
            <w:vAlign w:val="center"/>
            <w:hideMark/>
          </w:tcPr>
          <w:p w:rsidR="00FB1D51" w:rsidRPr="00FB1D51" w:rsidRDefault="00FB1D51" w:rsidP="00FB1D51">
            <w:pPr>
              <w:snapToGrid w:val="0"/>
              <w:spacing w:after="0"/>
              <w:jc w:val="right"/>
              <w:rPr>
                <w:rFonts w:ascii="Arial" w:eastAsia="Times New Roman" w:hAnsi="Arial"/>
                <w:bCs/>
                <w:sz w:val="14"/>
                <w:szCs w:val="14"/>
                <w:lang w:val="fr-FR"/>
              </w:rPr>
            </w:pPr>
            <w:r w:rsidRPr="00FB1D51">
              <w:rPr>
                <w:rFonts w:ascii="Arial" w:eastAsia="Times New Roman" w:hAnsi="Arial"/>
                <w:bCs/>
                <w:sz w:val="14"/>
                <w:szCs w:val="14"/>
                <w:lang w:val="fr-FR"/>
              </w:rPr>
              <w:t>1.44</w:t>
            </w:r>
          </w:p>
        </w:tc>
        <w:tc>
          <w:tcPr>
            <w:tcW w:w="857" w:type="dxa"/>
            <w:shd w:val="clear" w:color="auto" w:fill="DBE5F1" w:themeFill="accent1" w:themeFillTint="33"/>
            <w:vAlign w:val="center"/>
            <w:hideMark/>
          </w:tcPr>
          <w:p w:rsidR="00FB1D51" w:rsidRPr="00FB1D51" w:rsidRDefault="00FB1D51" w:rsidP="00FB1D51">
            <w:pPr>
              <w:snapToGrid w:val="0"/>
              <w:spacing w:after="0"/>
              <w:jc w:val="right"/>
              <w:rPr>
                <w:rFonts w:ascii="Arial" w:eastAsia="Times New Roman" w:hAnsi="Arial"/>
                <w:bCs/>
                <w:sz w:val="14"/>
                <w:szCs w:val="14"/>
                <w:lang w:val="fr-FR"/>
              </w:rPr>
            </w:pPr>
            <w:r w:rsidRPr="00FB1D51">
              <w:rPr>
                <w:rFonts w:ascii="Arial" w:eastAsia="Times New Roman" w:hAnsi="Arial"/>
                <w:bCs/>
                <w:sz w:val="14"/>
                <w:szCs w:val="14"/>
                <w:lang w:val="fr-FR"/>
              </w:rPr>
              <w:t>0.90</w:t>
            </w:r>
          </w:p>
        </w:tc>
      </w:tr>
      <w:tr w:rsidR="00FB1D51" w:rsidRPr="00820EEE" w:rsidTr="00FB1D51">
        <w:trPr>
          <w:trHeight w:val="284"/>
        </w:trPr>
        <w:tc>
          <w:tcPr>
            <w:tcW w:w="5665" w:type="dxa"/>
            <w:tcBorders>
              <w:top w:val="nil"/>
              <w:left w:val="nil"/>
              <w:bottom w:val="nil"/>
              <w:right w:val="single" w:sz="4" w:space="0" w:color="365F91" w:themeColor="accent1" w:themeShade="BF"/>
            </w:tcBorders>
            <w:vAlign w:val="center"/>
            <w:hideMark/>
          </w:tcPr>
          <w:p w:rsidR="00FB1D51" w:rsidRPr="00FB1D51" w:rsidRDefault="00FB1D51" w:rsidP="00FB1D51">
            <w:pPr>
              <w:snapToGrid w:val="0"/>
              <w:spacing w:after="0"/>
              <w:rPr>
                <w:rFonts w:ascii="Arial" w:eastAsia="Times New Roman" w:hAnsi="Arial"/>
                <w:bCs/>
                <w:sz w:val="14"/>
                <w:szCs w:val="14"/>
                <w:lang w:val="fr-FR"/>
              </w:rPr>
            </w:pPr>
            <w:r w:rsidRPr="00FB1D51">
              <w:rPr>
                <w:rFonts w:ascii="Arial" w:eastAsia="Times New Roman" w:hAnsi="Arial"/>
                <w:bCs/>
                <w:sz w:val="14"/>
                <w:szCs w:val="14"/>
                <w:lang w:val="fr-FR"/>
              </w:rPr>
              <w:t>Ventilation par division (en millions d'EUR)</w:t>
            </w:r>
            <w:r w:rsidRPr="00FB1D51">
              <w:rPr>
                <w:rFonts w:ascii="Arial" w:eastAsia="Times New Roman" w:hAnsi="Arial"/>
                <w:bCs/>
                <w:sz w:val="14"/>
                <w:szCs w:val="14"/>
                <w:vertAlign w:val="superscript"/>
                <w:lang w:val="fr-FR"/>
              </w:rPr>
              <w:t>2</w:t>
            </w:r>
          </w:p>
        </w:tc>
        <w:tc>
          <w:tcPr>
            <w:tcW w:w="850" w:type="dxa"/>
            <w:tcBorders>
              <w:top w:val="nil"/>
              <w:left w:val="single" w:sz="4" w:space="0" w:color="365F91" w:themeColor="accent1" w:themeShade="BF"/>
              <w:bottom w:val="nil"/>
              <w:right w:val="nil"/>
            </w:tcBorders>
            <w:vAlign w:val="center"/>
          </w:tcPr>
          <w:p w:rsidR="00FB1D51" w:rsidRPr="00FB1D51" w:rsidRDefault="00FB1D51" w:rsidP="00FB1D51">
            <w:pPr>
              <w:snapToGrid w:val="0"/>
              <w:spacing w:after="0"/>
              <w:jc w:val="right"/>
              <w:rPr>
                <w:rFonts w:ascii="Arial" w:eastAsia="Times New Roman" w:hAnsi="Arial"/>
                <w:bCs/>
                <w:sz w:val="14"/>
                <w:szCs w:val="14"/>
                <w:lang w:val="fr-FR"/>
              </w:rPr>
            </w:pPr>
          </w:p>
        </w:tc>
        <w:tc>
          <w:tcPr>
            <w:tcW w:w="851" w:type="dxa"/>
            <w:vAlign w:val="center"/>
          </w:tcPr>
          <w:p w:rsidR="00FB1D51" w:rsidRPr="00FB1D51" w:rsidRDefault="00FB1D51" w:rsidP="00FB1D51">
            <w:pPr>
              <w:snapToGrid w:val="0"/>
              <w:spacing w:after="0"/>
              <w:jc w:val="right"/>
              <w:rPr>
                <w:rFonts w:ascii="Arial" w:eastAsia="Times New Roman" w:hAnsi="Arial"/>
                <w:bCs/>
                <w:sz w:val="14"/>
                <w:szCs w:val="14"/>
                <w:lang w:val="fr-FR"/>
              </w:rPr>
            </w:pPr>
          </w:p>
        </w:tc>
        <w:tc>
          <w:tcPr>
            <w:tcW w:w="850" w:type="dxa"/>
            <w:tcBorders>
              <w:top w:val="nil"/>
              <w:left w:val="nil"/>
              <w:bottom w:val="nil"/>
              <w:right w:val="single" w:sz="4" w:space="0" w:color="365F91" w:themeColor="accent1" w:themeShade="BF"/>
            </w:tcBorders>
            <w:shd w:val="clear" w:color="auto" w:fill="DBE5F1" w:themeFill="accent1" w:themeFillTint="33"/>
            <w:vAlign w:val="center"/>
          </w:tcPr>
          <w:p w:rsidR="00FB1D51" w:rsidRPr="00FB1D51" w:rsidRDefault="00FB1D51" w:rsidP="00FB1D51">
            <w:pPr>
              <w:snapToGrid w:val="0"/>
              <w:spacing w:after="0"/>
              <w:jc w:val="right"/>
              <w:rPr>
                <w:rFonts w:ascii="Arial" w:eastAsia="Times New Roman" w:hAnsi="Arial"/>
                <w:bCs/>
                <w:sz w:val="14"/>
                <w:szCs w:val="14"/>
                <w:lang w:val="fr-FR"/>
              </w:rPr>
            </w:pPr>
          </w:p>
        </w:tc>
        <w:tc>
          <w:tcPr>
            <w:tcW w:w="1127" w:type="dxa"/>
            <w:tcBorders>
              <w:top w:val="nil"/>
              <w:left w:val="single" w:sz="4" w:space="0" w:color="365F91" w:themeColor="accent1" w:themeShade="BF"/>
              <w:bottom w:val="nil"/>
              <w:right w:val="nil"/>
            </w:tcBorders>
            <w:vAlign w:val="center"/>
          </w:tcPr>
          <w:p w:rsidR="00FB1D51" w:rsidRPr="00FB1D51" w:rsidRDefault="00FB1D51" w:rsidP="00FB1D51">
            <w:pPr>
              <w:snapToGrid w:val="0"/>
              <w:spacing w:after="0"/>
              <w:jc w:val="right"/>
              <w:rPr>
                <w:rFonts w:ascii="Arial" w:eastAsia="Times New Roman" w:hAnsi="Arial"/>
                <w:bCs/>
                <w:sz w:val="14"/>
                <w:szCs w:val="14"/>
                <w:lang w:val="fr-FR"/>
              </w:rPr>
            </w:pPr>
          </w:p>
        </w:tc>
        <w:tc>
          <w:tcPr>
            <w:tcW w:w="857" w:type="dxa"/>
            <w:shd w:val="clear" w:color="auto" w:fill="DBE5F1" w:themeFill="accent1" w:themeFillTint="33"/>
            <w:vAlign w:val="center"/>
          </w:tcPr>
          <w:p w:rsidR="00FB1D51" w:rsidRPr="00FB1D51" w:rsidRDefault="00FB1D51" w:rsidP="00FB1D51">
            <w:pPr>
              <w:snapToGrid w:val="0"/>
              <w:spacing w:after="0"/>
              <w:jc w:val="right"/>
              <w:rPr>
                <w:rFonts w:ascii="Arial" w:eastAsia="Times New Roman" w:hAnsi="Arial"/>
                <w:bCs/>
                <w:sz w:val="14"/>
                <w:szCs w:val="14"/>
                <w:lang w:val="fr-FR"/>
              </w:rPr>
            </w:pPr>
          </w:p>
        </w:tc>
      </w:tr>
      <w:tr w:rsidR="00FB1D51" w:rsidRPr="00FB1D51" w:rsidTr="00FB1D51">
        <w:trPr>
          <w:trHeight w:val="227"/>
        </w:trPr>
        <w:tc>
          <w:tcPr>
            <w:tcW w:w="5665" w:type="dxa"/>
            <w:tcBorders>
              <w:top w:val="nil"/>
              <w:left w:val="nil"/>
              <w:bottom w:val="nil"/>
              <w:right w:val="single" w:sz="4" w:space="0" w:color="365F91" w:themeColor="accent1" w:themeShade="BF"/>
            </w:tcBorders>
            <w:vAlign w:val="center"/>
            <w:hideMark/>
          </w:tcPr>
          <w:p w:rsidR="00FB1D51" w:rsidRPr="00FB1D51" w:rsidRDefault="00FB1D51" w:rsidP="00FB1D51">
            <w:pPr>
              <w:snapToGrid w:val="0"/>
              <w:spacing w:after="0"/>
              <w:rPr>
                <w:rFonts w:ascii="Arial" w:eastAsia="Times New Roman" w:hAnsi="Arial"/>
                <w:bCs/>
                <w:sz w:val="14"/>
                <w:szCs w:val="14"/>
                <w:lang w:val="fr-FR"/>
              </w:rPr>
            </w:pPr>
            <w:r w:rsidRPr="00FB1D51">
              <w:rPr>
                <w:rFonts w:ascii="Arial" w:eastAsia="Times New Roman" w:hAnsi="Arial"/>
                <w:bCs/>
                <w:sz w:val="14"/>
                <w:szCs w:val="14"/>
                <w:lang w:val="fr-FR"/>
              </w:rPr>
              <w:t xml:space="preserve">          Belgique</w:t>
            </w:r>
          </w:p>
        </w:tc>
        <w:tc>
          <w:tcPr>
            <w:tcW w:w="850" w:type="dxa"/>
            <w:tcBorders>
              <w:top w:val="nil"/>
              <w:left w:val="single" w:sz="4" w:space="0" w:color="365F91" w:themeColor="accent1" w:themeShade="BF"/>
              <w:bottom w:val="nil"/>
              <w:right w:val="nil"/>
            </w:tcBorders>
            <w:vAlign w:val="center"/>
            <w:hideMark/>
          </w:tcPr>
          <w:p w:rsidR="00FB1D51" w:rsidRPr="00FB1D51" w:rsidRDefault="00FB1D51" w:rsidP="00FB1D51">
            <w:pPr>
              <w:snapToGrid w:val="0"/>
              <w:spacing w:after="0"/>
              <w:jc w:val="right"/>
              <w:rPr>
                <w:rFonts w:ascii="Arial" w:eastAsia="Times New Roman" w:hAnsi="Arial"/>
                <w:bCs/>
                <w:sz w:val="14"/>
                <w:szCs w:val="14"/>
                <w:lang w:val="fr-FR"/>
              </w:rPr>
            </w:pPr>
            <w:r w:rsidRPr="00FB1D51">
              <w:rPr>
                <w:rFonts w:ascii="Arial" w:eastAsia="Times New Roman" w:hAnsi="Arial"/>
                <w:bCs/>
                <w:sz w:val="14"/>
                <w:szCs w:val="14"/>
                <w:lang w:val="fr-FR"/>
              </w:rPr>
              <w:t>295</w:t>
            </w:r>
          </w:p>
        </w:tc>
        <w:tc>
          <w:tcPr>
            <w:tcW w:w="851" w:type="dxa"/>
            <w:vAlign w:val="center"/>
            <w:hideMark/>
          </w:tcPr>
          <w:p w:rsidR="00FB1D51" w:rsidRPr="00FB1D51" w:rsidRDefault="00FB1D51" w:rsidP="00FB1D51">
            <w:pPr>
              <w:snapToGrid w:val="0"/>
              <w:spacing w:after="0"/>
              <w:jc w:val="right"/>
              <w:rPr>
                <w:rFonts w:ascii="Arial" w:eastAsia="Times New Roman" w:hAnsi="Arial"/>
                <w:bCs/>
                <w:sz w:val="14"/>
                <w:szCs w:val="14"/>
                <w:lang w:val="fr-FR"/>
              </w:rPr>
            </w:pPr>
            <w:r w:rsidRPr="00FB1D51">
              <w:rPr>
                <w:rFonts w:ascii="Arial" w:eastAsia="Times New Roman" w:hAnsi="Arial"/>
                <w:bCs/>
                <w:sz w:val="14"/>
                <w:szCs w:val="14"/>
                <w:lang w:val="fr-FR"/>
              </w:rPr>
              <w:t>391</w:t>
            </w:r>
          </w:p>
        </w:tc>
        <w:tc>
          <w:tcPr>
            <w:tcW w:w="850" w:type="dxa"/>
            <w:tcBorders>
              <w:top w:val="nil"/>
              <w:left w:val="nil"/>
              <w:bottom w:val="nil"/>
              <w:right w:val="single" w:sz="4" w:space="0" w:color="365F91" w:themeColor="accent1" w:themeShade="BF"/>
            </w:tcBorders>
            <w:shd w:val="clear" w:color="auto" w:fill="DBE5F1" w:themeFill="accent1" w:themeFillTint="33"/>
            <w:vAlign w:val="center"/>
            <w:hideMark/>
          </w:tcPr>
          <w:p w:rsidR="00FB1D51" w:rsidRPr="00FB1D51" w:rsidRDefault="00FB1D51" w:rsidP="00FB1D51">
            <w:pPr>
              <w:snapToGrid w:val="0"/>
              <w:spacing w:after="0"/>
              <w:jc w:val="right"/>
              <w:rPr>
                <w:rFonts w:ascii="Arial" w:eastAsia="Times New Roman" w:hAnsi="Arial"/>
                <w:bCs/>
                <w:sz w:val="14"/>
                <w:szCs w:val="14"/>
                <w:lang w:val="fr-FR"/>
              </w:rPr>
            </w:pPr>
            <w:r w:rsidRPr="00FB1D51">
              <w:rPr>
                <w:rFonts w:ascii="Arial" w:eastAsia="Times New Roman" w:hAnsi="Arial"/>
                <w:bCs/>
                <w:sz w:val="14"/>
                <w:szCs w:val="14"/>
                <w:lang w:val="fr-FR"/>
              </w:rPr>
              <w:t>376</w:t>
            </w:r>
          </w:p>
        </w:tc>
        <w:tc>
          <w:tcPr>
            <w:tcW w:w="1127" w:type="dxa"/>
            <w:tcBorders>
              <w:top w:val="nil"/>
              <w:left w:val="single" w:sz="4" w:space="0" w:color="365F91" w:themeColor="accent1" w:themeShade="BF"/>
              <w:bottom w:val="nil"/>
              <w:right w:val="nil"/>
            </w:tcBorders>
            <w:vAlign w:val="center"/>
            <w:hideMark/>
          </w:tcPr>
          <w:p w:rsidR="00FB1D51" w:rsidRPr="00FB1D51" w:rsidRDefault="00FB1D51" w:rsidP="00FB1D51">
            <w:pPr>
              <w:snapToGrid w:val="0"/>
              <w:spacing w:after="0"/>
              <w:jc w:val="right"/>
              <w:rPr>
                <w:rFonts w:ascii="Arial" w:eastAsia="Times New Roman" w:hAnsi="Arial"/>
                <w:bCs/>
                <w:sz w:val="14"/>
                <w:szCs w:val="14"/>
                <w:lang w:val="fr-FR"/>
              </w:rPr>
            </w:pPr>
            <w:r w:rsidRPr="00FB1D51">
              <w:rPr>
                <w:rFonts w:ascii="Arial" w:eastAsia="Times New Roman" w:hAnsi="Arial"/>
                <w:bCs/>
                <w:sz w:val="14"/>
                <w:szCs w:val="14"/>
                <w:lang w:val="fr-FR"/>
              </w:rPr>
              <w:t>1 360</w:t>
            </w:r>
          </w:p>
        </w:tc>
        <w:tc>
          <w:tcPr>
            <w:tcW w:w="857" w:type="dxa"/>
            <w:shd w:val="clear" w:color="auto" w:fill="DBE5F1" w:themeFill="accent1" w:themeFillTint="33"/>
            <w:vAlign w:val="center"/>
            <w:hideMark/>
          </w:tcPr>
          <w:p w:rsidR="00FB1D51" w:rsidRPr="00FB1D51" w:rsidRDefault="00FB1D51" w:rsidP="00FB1D51">
            <w:pPr>
              <w:snapToGrid w:val="0"/>
              <w:spacing w:after="0"/>
              <w:jc w:val="right"/>
              <w:rPr>
                <w:rFonts w:ascii="Arial" w:eastAsia="Times New Roman" w:hAnsi="Arial"/>
                <w:bCs/>
                <w:sz w:val="14"/>
                <w:szCs w:val="14"/>
                <w:lang w:val="fr-FR"/>
              </w:rPr>
            </w:pPr>
            <w:r w:rsidRPr="00FB1D51">
              <w:rPr>
                <w:rFonts w:ascii="Arial" w:eastAsia="Times New Roman" w:hAnsi="Arial"/>
                <w:bCs/>
                <w:sz w:val="14"/>
                <w:szCs w:val="14"/>
                <w:lang w:val="fr-FR"/>
              </w:rPr>
              <w:t>1 570</w:t>
            </w:r>
          </w:p>
        </w:tc>
      </w:tr>
      <w:tr w:rsidR="00FB1D51" w:rsidRPr="00FB1D51" w:rsidTr="00FB1D51">
        <w:trPr>
          <w:trHeight w:val="227"/>
        </w:trPr>
        <w:tc>
          <w:tcPr>
            <w:tcW w:w="5665" w:type="dxa"/>
            <w:tcBorders>
              <w:top w:val="nil"/>
              <w:left w:val="nil"/>
              <w:bottom w:val="nil"/>
              <w:right w:val="single" w:sz="4" w:space="0" w:color="365F91" w:themeColor="accent1" w:themeShade="BF"/>
            </w:tcBorders>
            <w:vAlign w:val="center"/>
            <w:hideMark/>
          </w:tcPr>
          <w:p w:rsidR="00FB1D51" w:rsidRPr="00FB1D51" w:rsidRDefault="00FB1D51" w:rsidP="00FB1D51">
            <w:pPr>
              <w:snapToGrid w:val="0"/>
              <w:spacing w:after="0"/>
              <w:rPr>
                <w:rFonts w:ascii="Arial" w:eastAsia="Times New Roman" w:hAnsi="Arial"/>
                <w:bCs/>
                <w:sz w:val="14"/>
                <w:szCs w:val="14"/>
                <w:lang w:val="fr-FR"/>
              </w:rPr>
            </w:pPr>
            <w:r w:rsidRPr="00FB1D51">
              <w:rPr>
                <w:rFonts w:ascii="Arial" w:eastAsia="Times New Roman" w:hAnsi="Arial"/>
                <w:bCs/>
                <w:sz w:val="14"/>
                <w:szCs w:val="14"/>
                <w:lang w:val="fr-FR"/>
              </w:rPr>
              <w:t xml:space="preserve">          République tchèque</w:t>
            </w:r>
          </w:p>
        </w:tc>
        <w:tc>
          <w:tcPr>
            <w:tcW w:w="850" w:type="dxa"/>
            <w:tcBorders>
              <w:top w:val="nil"/>
              <w:left w:val="single" w:sz="4" w:space="0" w:color="365F91" w:themeColor="accent1" w:themeShade="BF"/>
              <w:bottom w:val="nil"/>
              <w:right w:val="nil"/>
            </w:tcBorders>
            <w:vAlign w:val="center"/>
            <w:hideMark/>
          </w:tcPr>
          <w:p w:rsidR="00FB1D51" w:rsidRPr="00FB1D51" w:rsidRDefault="00FB1D51" w:rsidP="00FB1D51">
            <w:pPr>
              <w:snapToGrid w:val="0"/>
              <w:spacing w:after="0"/>
              <w:jc w:val="right"/>
              <w:rPr>
                <w:rFonts w:ascii="Arial" w:eastAsia="Times New Roman" w:hAnsi="Arial"/>
                <w:bCs/>
                <w:sz w:val="14"/>
                <w:szCs w:val="14"/>
                <w:lang w:val="fr-FR"/>
              </w:rPr>
            </w:pPr>
            <w:r w:rsidRPr="00FB1D51">
              <w:rPr>
                <w:rFonts w:ascii="Arial" w:eastAsia="Times New Roman" w:hAnsi="Arial"/>
                <w:bCs/>
                <w:sz w:val="14"/>
                <w:szCs w:val="14"/>
                <w:lang w:val="fr-FR"/>
              </w:rPr>
              <w:t>114</w:t>
            </w:r>
          </w:p>
        </w:tc>
        <w:tc>
          <w:tcPr>
            <w:tcW w:w="851" w:type="dxa"/>
            <w:vAlign w:val="center"/>
            <w:hideMark/>
          </w:tcPr>
          <w:p w:rsidR="00FB1D51" w:rsidRPr="00FB1D51" w:rsidRDefault="00FB1D51" w:rsidP="00FB1D51">
            <w:pPr>
              <w:snapToGrid w:val="0"/>
              <w:spacing w:after="0"/>
              <w:jc w:val="right"/>
              <w:rPr>
                <w:rFonts w:ascii="Arial" w:eastAsia="Times New Roman" w:hAnsi="Arial"/>
                <w:bCs/>
                <w:sz w:val="14"/>
                <w:szCs w:val="14"/>
                <w:lang w:val="fr-FR"/>
              </w:rPr>
            </w:pPr>
            <w:r w:rsidRPr="00FB1D51">
              <w:rPr>
                <w:rFonts w:ascii="Arial" w:eastAsia="Times New Roman" w:hAnsi="Arial"/>
                <w:bCs/>
                <w:sz w:val="14"/>
                <w:szCs w:val="14"/>
                <w:lang w:val="fr-FR"/>
              </w:rPr>
              <w:t>157</w:t>
            </w:r>
          </w:p>
        </w:tc>
        <w:tc>
          <w:tcPr>
            <w:tcW w:w="850" w:type="dxa"/>
            <w:tcBorders>
              <w:top w:val="nil"/>
              <w:left w:val="nil"/>
              <w:bottom w:val="nil"/>
              <w:right w:val="single" w:sz="4" w:space="0" w:color="365F91" w:themeColor="accent1" w:themeShade="BF"/>
            </w:tcBorders>
            <w:shd w:val="clear" w:color="auto" w:fill="DBE5F1" w:themeFill="accent1" w:themeFillTint="33"/>
            <w:vAlign w:val="center"/>
            <w:hideMark/>
          </w:tcPr>
          <w:p w:rsidR="00FB1D51" w:rsidRPr="00FB1D51" w:rsidRDefault="00FB1D51" w:rsidP="00FB1D51">
            <w:pPr>
              <w:snapToGrid w:val="0"/>
              <w:spacing w:after="0"/>
              <w:jc w:val="right"/>
              <w:rPr>
                <w:rFonts w:ascii="Arial" w:eastAsia="Times New Roman" w:hAnsi="Arial"/>
                <w:bCs/>
                <w:sz w:val="14"/>
                <w:szCs w:val="14"/>
                <w:lang w:val="fr-FR"/>
              </w:rPr>
            </w:pPr>
            <w:r w:rsidRPr="00FB1D51">
              <w:rPr>
                <w:rFonts w:ascii="Arial" w:eastAsia="Times New Roman" w:hAnsi="Arial"/>
                <w:bCs/>
                <w:sz w:val="14"/>
                <w:szCs w:val="14"/>
                <w:lang w:val="fr-FR"/>
              </w:rPr>
              <w:t>119</w:t>
            </w:r>
          </w:p>
        </w:tc>
        <w:tc>
          <w:tcPr>
            <w:tcW w:w="1127" w:type="dxa"/>
            <w:tcBorders>
              <w:top w:val="nil"/>
              <w:left w:val="single" w:sz="4" w:space="0" w:color="365F91" w:themeColor="accent1" w:themeShade="BF"/>
              <w:bottom w:val="nil"/>
              <w:right w:val="nil"/>
            </w:tcBorders>
            <w:vAlign w:val="center"/>
            <w:hideMark/>
          </w:tcPr>
          <w:p w:rsidR="00FB1D51" w:rsidRPr="00FB1D51" w:rsidRDefault="00FB1D51" w:rsidP="00FB1D51">
            <w:pPr>
              <w:snapToGrid w:val="0"/>
              <w:spacing w:after="0"/>
              <w:jc w:val="right"/>
              <w:rPr>
                <w:rFonts w:ascii="Arial" w:eastAsia="Times New Roman" w:hAnsi="Arial"/>
                <w:bCs/>
                <w:sz w:val="14"/>
                <w:szCs w:val="14"/>
                <w:lang w:val="fr-FR"/>
              </w:rPr>
            </w:pPr>
            <w:r w:rsidRPr="00FB1D51">
              <w:rPr>
                <w:rFonts w:ascii="Arial" w:eastAsia="Times New Roman" w:hAnsi="Arial"/>
                <w:bCs/>
                <w:sz w:val="14"/>
                <w:szCs w:val="14"/>
                <w:lang w:val="fr-FR"/>
              </w:rPr>
              <w:t>581</w:t>
            </w:r>
          </w:p>
        </w:tc>
        <w:tc>
          <w:tcPr>
            <w:tcW w:w="857" w:type="dxa"/>
            <w:shd w:val="clear" w:color="auto" w:fill="DBE5F1" w:themeFill="accent1" w:themeFillTint="33"/>
            <w:vAlign w:val="center"/>
            <w:hideMark/>
          </w:tcPr>
          <w:p w:rsidR="00FB1D51" w:rsidRPr="00FB1D51" w:rsidRDefault="00FB1D51" w:rsidP="00FB1D51">
            <w:pPr>
              <w:snapToGrid w:val="0"/>
              <w:spacing w:after="0"/>
              <w:jc w:val="right"/>
              <w:rPr>
                <w:rFonts w:ascii="Arial" w:eastAsia="Times New Roman" w:hAnsi="Arial"/>
                <w:bCs/>
                <w:sz w:val="14"/>
                <w:szCs w:val="14"/>
                <w:lang w:val="fr-FR"/>
              </w:rPr>
            </w:pPr>
            <w:r w:rsidRPr="00FB1D51">
              <w:rPr>
                <w:rFonts w:ascii="Arial" w:eastAsia="Times New Roman" w:hAnsi="Arial"/>
                <w:bCs/>
                <w:sz w:val="14"/>
                <w:szCs w:val="14"/>
                <w:lang w:val="fr-FR"/>
              </w:rPr>
              <w:t>554</w:t>
            </w:r>
          </w:p>
        </w:tc>
      </w:tr>
      <w:tr w:rsidR="00FB1D51" w:rsidRPr="00FB1D51" w:rsidTr="00FB1D51">
        <w:trPr>
          <w:trHeight w:val="227"/>
        </w:trPr>
        <w:tc>
          <w:tcPr>
            <w:tcW w:w="5665" w:type="dxa"/>
            <w:tcBorders>
              <w:top w:val="nil"/>
              <w:left w:val="nil"/>
              <w:bottom w:val="nil"/>
              <w:right w:val="single" w:sz="4" w:space="0" w:color="365F91" w:themeColor="accent1" w:themeShade="BF"/>
            </w:tcBorders>
            <w:vAlign w:val="center"/>
            <w:hideMark/>
          </w:tcPr>
          <w:p w:rsidR="00FB1D51" w:rsidRPr="00FB1D51" w:rsidRDefault="00FB1D51" w:rsidP="00FB1D51">
            <w:pPr>
              <w:snapToGrid w:val="0"/>
              <w:spacing w:after="0"/>
              <w:rPr>
                <w:rFonts w:ascii="Arial" w:eastAsia="Times New Roman" w:hAnsi="Arial"/>
                <w:bCs/>
                <w:sz w:val="14"/>
                <w:szCs w:val="14"/>
                <w:lang w:val="fr-FR"/>
              </w:rPr>
            </w:pPr>
            <w:r w:rsidRPr="00FB1D51">
              <w:rPr>
                <w:rFonts w:ascii="Arial" w:eastAsia="Times New Roman" w:hAnsi="Arial"/>
                <w:bCs/>
                <w:sz w:val="14"/>
                <w:szCs w:val="14"/>
                <w:lang w:val="fr-FR"/>
              </w:rPr>
              <w:t xml:space="preserve">          Marchés internationaux</w:t>
            </w:r>
          </w:p>
        </w:tc>
        <w:tc>
          <w:tcPr>
            <w:tcW w:w="850" w:type="dxa"/>
            <w:tcBorders>
              <w:top w:val="nil"/>
              <w:left w:val="single" w:sz="4" w:space="0" w:color="365F91" w:themeColor="accent1" w:themeShade="BF"/>
              <w:bottom w:val="nil"/>
              <w:right w:val="nil"/>
            </w:tcBorders>
            <w:vAlign w:val="center"/>
            <w:hideMark/>
          </w:tcPr>
          <w:p w:rsidR="00FB1D51" w:rsidRPr="00FB1D51" w:rsidRDefault="00FB1D51" w:rsidP="00FB1D51">
            <w:pPr>
              <w:snapToGrid w:val="0"/>
              <w:spacing w:after="0"/>
              <w:jc w:val="right"/>
              <w:rPr>
                <w:rFonts w:ascii="Arial" w:eastAsia="Times New Roman" w:hAnsi="Arial"/>
                <w:bCs/>
                <w:sz w:val="14"/>
                <w:szCs w:val="14"/>
                <w:lang w:val="fr-FR"/>
              </w:rPr>
            </w:pPr>
            <w:r w:rsidRPr="00FB1D51">
              <w:rPr>
                <w:rFonts w:ascii="Arial" w:eastAsia="Times New Roman" w:hAnsi="Arial"/>
                <w:bCs/>
                <w:sz w:val="14"/>
                <w:szCs w:val="14"/>
                <w:lang w:val="fr-FR"/>
              </w:rPr>
              <w:t>-18</w:t>
            </w:r>
          </w:p>
        </w:tc>
        <w:tc>
          <w:tcPr>
            <w:tcW w:w="851" w:type="dxa"/>
            <w:vAlign w:val="center"/>
            <w:hideMark/>
          </w:tcPr>
          <w:p w:rsidR="00FB1D51" w:rsidRPr="00FB1D51" w:rsidRDefault="00FB1D51" w:rsidP="00FB1D51">
            <w:pPr>
              <w:snapToGrid w:val="0"/>
              <w:spacing w:after="0"/>
              <w:jc w:val="right"/>
              <w:rPr>
                <w:rFonts w:ascii="Arial" w:eastAsia="Times New Roman" w:hAnsi="Arial"/>
                <w:bCs/>
                <w:sz w:val="14"/>
                <w:szCs w:val="14"/>
                <w:lang w:val="fr-FR"/>
              </w:rPr>
            </w:pPr>
            <w:r w:rsidRPr="00FB1D51">
              <w:rPr>
                <w:rFonts w:ascii="Arial" w:eastAsia="Times New Roman" w:hAnsi="Arial"/>
                <w:bCs/>
                <w:sz w:val="14"/>
                <w:szCs w:val="14"/>
                <w:lang w:val="fr-FR"/>
              </w:rPr>
              <w:t>-12</w:t>
            </w:r>
          </w:p>
        </w:tc>
        <w:tc>
          <w:tcPr>
            <w:tcW w:w="850" w:type="dxa"/>
            <w:tcBorders>
              <w:top w:val="nil"/>
              <w:left w:val="nil"/>
              <w:bottom w:val="nil"/>
              <w:right w:val="single" w:sz="4" w:space="0" w:color="365F91" w:themeColor="accent1" w:themeShade="BF"/>
            </w:tcBorders>
            <w:shd w:val="clear" w:color="auto" w:fill="DBE5F1" w:themeFill="accent1" w:themeFillTint="33"/>
            <w:vAlign w:val="center"/>
            <w:hideMark/>
          </w:tcPr>
          <w:p w:rsidR="00FB1D51" w:rsidRPr="00FB1D51" w:rsidRDefault="00FB1D51" w:rsidP="00FB1D51">
            <w:pPr>
              <w:snapToGrid w:val="0"/>
              <w:spacing w:after="0"/>
              <w:jc w:val="right"/>
              <w:rPr>
                <w:rFonts w:ascii="Arial" w:eastAsia="Times New Roman" w:hAnsi="Arial"/>
                <w:bCs/>
                <w:sz w:val="14"/>
                <w:szCs w:val="14"/>
                <w:lang w:val="fr-FR"/>
              </w:rPr>
            </w:pPr>
            <w:r w:rsidRPr="00FB1D51">
              <w:rPr>
                <w:rFonts w:ascii="Arial" w:eastAsia="Times New Roman" w:hAnsi="Arial"/>
                <w:bCs/>
                <w:sz w:val="14"/>
                <w:szCs w:val="14"/>
                <w:lang w:val="fr-FR"/>
              </w:rPr>
              <w:t>-731</w:t>
            </w:r>
          </w:p>
        </w:tc>
        <w:tc>
          <w:tcPr>
            <w:tcW w:w="1127" w:type="dxa"/>
            <w:tcBorders>
              <w:top w:val="nil"/>
              <w:left w:val="single" w:sz="4" w:space="0" w:color="365F91" w:themeColor="accent1" w:themeShade="BF"/>
              <w:bottom w:val="nil"/>
              <w:right w:val="nil"/>
            </w:tcBorders>
            <w:vAlign w:val="center"/>
            <w:hideMark/>
          </w:tcPr>
          <w:p w:rsidR="00FB1D51" w:rsidRPr="00FB1D51" w:rsidRDefault="00FB1D51" w:rsidP="00FB1D51">
            <w:pPr>
              <w:snapToGrid w:val="0"/>
              <w:spacing w:after="0"/>
              <w:jc w:val="right"/>
              <w:rPr>
                <w:rFonts w:ascii="Arial" w:eastAsia="Times New Roman" w:hAnsi="Arial"/>
                <w:bCs/>
                <w:sz w:val="14"/>
                <w:szCs w:val="14"/>
                <w:lang w:val="fr-FR"/>
              </w:rPr>
            </w:pPr>
            <w:r w:rsidRPr="00FB1D51">
              <w:rPr>
                <w:rFonts w:ascii="Arial" w:eastAsia="Times New Roman" w:hAnsi="Arial"/>
                <w:bCs/>
                <w:sz w:val="14"/>
                <w:szCs w:val="14"/>
                <w:lang w:val="fr-FR"/>
              </w:rPr>
              <w:t>-260</w:t>
            </w:r>
          </w:p>
        </w:tc>
        <w:tc>
          <w:tcPr>
            <w:tcW w:w="857" w:type="dxa"/>
            <w:shd w:val="clear" w:color="auto" w:fill="DBE5F1" w:themeFill="accent1" w:themeFillTint="33"/>
            <w:vAlign w:val="center"/>
            <w:hideMark/>
          </w:tcPr>
          <w:p w:rsidR="00FB1D51" w:rsidRPr="00FB1D51" w:rsidRDefault="00FB1D51" w:rsidP="00FB1D51">
            <w:pPr>
              <w:snapToGrid w:val="0"/>
              <w:spacing w:after="0"/>
              <w:jc w:val="right"/>
              <w:rPr>
                <w:rFonts w:ascii="Arial" w:eastAsia="Times New Roman" w:hAnsi="Arial"/>
                <w:bCs/>
                <w:sz w:val="14"/>
                <w:szCs w:val="14"/>
                <w:lang w:val="fr-FR"/>
              </w:rPr>
            </w:pPr>
            <w:r w:rsidRPr="00FB1D51">
              <w:rPr>
                <w:rFonts w:ascii="Arial" w:eastAsia="Times New Roman" w:hAnsi="Arial"/>
                <w:bCs/>
                <w:sz w:val="14"/>
                <w:szCs w:val="14"/>
                <w:lang w:val="fr-FR"/>
              </w:rPr>
              <w:t>-853</w:t>
            </w:r>
          </w:p>
        </w:tc>
      </w:tr>
      <w:tr w:rsidR="00FB1D51" w:rsidRPr="00FB1D51" w:rsidTr="00FB1D51">
        <w:trPr>
          <w:trHeight w:val="227"/>
        </w:trPr>
        <w:tc>
          <w:tcPr>
            <w:tcW w:w="5665" w:type="dxa"/>
            <w:tcBorders>
              <w:top w:val="nil"/>
              <w:left w:val="nil"/>
              <w:bottom w:val="single" w:sz="4" w:space="0" w:color="365F91" w:themeColor="accent1" w:themeShade="BF"/>
              <w:right w:val="single" w:sz="4" w:space="0" w:color="365F91" w:themeColor="accent1" w:themeShade="BF"/>
            </w:tcBorders>
            <w:vAlign w:val="center"/>
            <w:hideMark/>
          </w:tcPr>
          <w:p w:rsidR="00FB1D51" w:rsidRPr="00FB1D51" w:rsidRDefault="00FB1D51" w:rsidP="00FB1D51">
            <w:pPr>
              <w:snapToGrid w:val="0"/>
              <w:spacing w:after="0"/>
              <w:rPr>
                <w:rFonts w:ascii="Arial" w:eastAsia="Times New Roman" w:hAnsi="Arial"/>
                <w:bCs/>
                <w:sz w:val="14"/>
                <w:szCs w:val="14"/>
                <w:lang w:val="fr-FR"/>
              </w:rPr>
            </w:pPr>
            <w:r w:rsidRPr="00FB1D51">
              <w:rPr>
                <w:rFonts w:ascii="Arial" w:eastAsia="Times New Roman" w:hAnsi="Arial"/>
                <w:bCs/>
                <w:sz w:val="14"/>
                <w:szCs w:val="14"/>
                <w:lang w:val="fr-FR"/>
              </w:rPr>
              <w:t xml:space="preserve">          Centre de groupe</w:t>
            </w:r>
          </w:p>
        </w:tc>
        <w:tc>
          <w:tcPr>
            <w:tcW w:w="850" w:type="dxa"/>
            <w:tcBorders>
              <w:top w:val="nil"/>
              <w:left w:val="single" w:sz="4" w:space="0" w:color="365F91" w:themeColor="accent1" w:themeShade="BF"/>
              <w:bottom w:val="single" w:sz="4" w:space="0" w:color="365F91" w:themeColor="accent1" w:themeShade="BF"/>
              <w:right w:val="nil"/>
            </w:tcBorders>
            <w:vAlign w:val="center"/>
            <w:hideMark/>
          </w:tcPr>
          <w:p w:rsidR="00FB1D51" w:rsidRPr="00FB1D51" w:rsidRDefault="00FB1D51" w:rsidP="00FB1D51">
            <w:pPr>
              <w:snapToGrid w:val="0"/>
              <w:spacing w:after="0"/>
              <w:jc w:val="right"/>
              <w:rPr>
                <w:rFonts w:ascii="Arial" w:eastAsia="Times New Roman" w:hAnsi="Arial"/>
                <w:bCs/>
                <w:sz w:val="14"/>
                <w:szCs w:val="14"/>
                <w:lang w:val="fr-FR"/>
              </w:rPr>
            </w:pPr>
            <w:r w:rsidRPr="00FB1D51">
              <w:rPr>
                <w:rFonts w:ascii="Arial" w:eastAsia="Times New Roman" w:hAnsi="Arial"/>
                <w:bCs/>
                <w:sz w:val="14"/>
                <w:szCs w:val="14"/>
                <w:lang w:val="fr-FR"/>
              </w:rPr>
              <w:t>-113</w:t>
            </w:r>
          </w:p>
        </w:tc>
        <w:tc>
          <w:tcPr>
            <w:tcW w:w="851" w:type="dxa"/>
            <w:tcBorders>
              <w:top w:val="nil"/>
              <w:left w:val="nil"/>
              <w:bottom w:val="single" w:sz="4" w:space="0" w:color="365F91" w:themeColor="accent1" w:themeShade="BF"/>
              <w:right w:val="nil"/>
            </w:tcBorders>
            <w:vAlign w:val="center"/>
            <w:hideMark/>
          </w:tcPr>
          <w:p w:rsidR="00FB1D51" w:rsidRPr="00FB1D51" w:rsidRDefault="00FB1D51" w:rsidP="00FB1D51">
            <w:pPr>
              <w:snapToGrid w:val="0"/>
              <w:spacing w:after="0"/>
              <w:jc w:val="right"/>
              <w:rPr>
                <w:rFonts w:ascii="Arial" w:eastAsia="Times New Roman" w:hAnsi="Arial"/>
                <w:bCs/>
                <w:sz w:val="14"/>
                <w:szCs w:val="14"/>
                <w:lang w:val="fr-FR"/>
              </w:rPr>
            </w:pPr>
            <w:r w:rsidRPr="00FB1D51">
              <w:rPr>
                <w:rFonts w:ascii="Arial" w:eastAsia="Times New Roman" w:hAnsi="Arial"/>
                <w:bCs/>
                <w:sz w:val="14"/>
                <w:szCs w:val="14"/>
                <w:lang w:val="fr-FR"/>
              </w:rPr>
              <w:t>-79</w:t>
            </w:r>
          </w:p>
        </w:tc>
        <w:tc>
          <w:tcPr>
            <w:tcW w:w="850" w:type="dxa"/>
            <w:tcBorders>
              <w:top w:val="nil"/>
              <w:left w:val="nil"/>
              <w:bottom w:val="single" w:sz="4" w:space="0" w:color="365F91" w:themeColor="accent1" w:themeShade="BF"/>
              <w:right w:val="single" w:sz="4" w:space="0" w:color="365F91" w:themeColor="accent1" w:themeShade="BF"/>
            </w:tcBorders>
            <w:shd w:val="clear" w:color="auto" w:fill="DBE5F1" w:themeFill="accent1" w:themeFillTint="33"/>
            <w:vAlign w:val="center"/>
            <w:hideMark/>
          </w:tcPr>
          <w:p w:rsidR="00FB1D51" w:rsidRPr="00FB1D51" w:rsidRDefault="00FB1D51" w:rsidP="00FB1D51">
            <w:pPr>
              <w:snapToGrid w:val="0"/>
              <w:spacing w:after="0"/>
              <w:jc w:val="right"/>
              <w:rPr>
                <w:rFonts w:ascii="Arial" w:eastAsia="Times New Roman" w:hAnsi="Arial"/>
                <w:bCs/>
                <w:sz w:val="14"/>
                <w:szCs w:val="14"/>
                <w:lang w:val="fr-FR"/>
              </w:rPr>
            </w:pPr>
            <w:r w:rsidRPr="00FB1D51">
              <w:rPr>
                <w:rFonts w:ascii="Arial" w:eastAsia="Times New Roman" w:hAnsi="Arial"/>
                <w:bCs/>
                <w:sz w:val="14"/>
                <w:szCs w:val="14"/>
                <w:lang w:val="fr-FR"/>
              </w:rPr>
              <w:t>-104</w:t>
            </w:r>
          </w:p>
        </w:tc>
        <w:tc>
          <w:tcPr>
            <w:tcW w:w="1127" w:type="dxa"/>
            <w:tcBorders>
              <w:top w:val="nil"/>
              <w:left w:val="single" w:sz="4" w:space="0" w:color="365F91" w:themeColor="accent1" w:themeShade="BF"/>
              <w:bottom w:val="single" w:sz="4" w:space="0" w:color="365F91" w:themeColor="accent1" w:themeShade="BF"/>
              <w:right w:val="nil"/>
            </w:tcBorders>
            <w:vAlign w:val="center"/>
            <w:hideMark/>
          </w:tcPr>
          <w:p w:rsidR="00FB1D51" w:rsidRPr="00FB1D51" w:rsidRDefault="00FB1D51" w:rsidP="00FB1D51">
            <w:pPr>
              <w:snapToGrid w:val="0"/>
              <w:spacing w:after="0"/>
              <w:jc w:val="right"/>
              <w:rPr>
                <w:rFonts w:ascii="Arial" w:eastAsia="Times New Roman" w:hAnsi="Arial"/>
                <w:bCs/>
                <w:sz w:val="14"/>
                <w:szCs w:val="14"/>
                <w:lang w:val="fr-FR"/>
              </w:rPr>
            </w:pPr>
            <w:r w:rsidRPr="00FB1D51">
              <w:rPr>
                <w:rFonts w:ascii="Arial" w:eastAsia="Times New Roman" w:hAnsi="Arial"/>
                <w:bCs/>
                <w:sz w:val="14"/>
                <w:szCs w:val="14"/>
                <w:lang w:val="fr-FR"/>
              </w:rPr>
              <w:t>-185</w:t>
            </w:r>
          </w:p>
        </w:tc>
        <w:tc>
          <w:tcPr>
            <w:tcW w:w="857" w:type="dxa"/>
            <w:tcBorders>
              <w:top w:val="nil"/>
              <w:left w:val="nil"/>
              <w:bottom w:val="single" w:sz="4" w:space="0" w:color="365F91" w:themeColor="accent1" w:themeShade="BF"/>
              <w:right w:val="nil"/>
            </w:tcBorders>
            <w:shd w:val="clear" w:color="auto" w:fill="DBE5F1" w:themeFill="accent1" w:themeFillTint="33"/>
            <w:vAlign w:val="center"/>
            <w:hideMark/>
          </w:tcPr>
          <w:p w:rsidR="00FB1D51" w:rsidRPr="00FB1D51" w:rsidRDefault="00FB1D51" w:rsidP="00FB1D51">
            <w:pPr>
              <w:snapToGrid w:val="0"/>
              <w:spacing w:after="0"/>
              <w:jc w:val="right"/>
              <w:rPr>
                <w:rFonts w:ascii="Arial" w:eastAsia="Times New Roman" w:hAnsi="Arial"/>
                <w:bCs/>
                <w:sz w:val="14"/>
                <w:szCs w:val="14"/>
                <w:lang w:val="fr-FR"/>
              </w:rPr>
            </w:pPr>
            <w:r w:rsidRPr="00FB1D51">
              <w:rPr>
                <w:rFonts w:ascii="Arial" w:eastAsia="Times New Roman" w:hAnsi="Arial"/>
                <w:bCs/>
                <w:sz w:val="14"/>
                <w:szCs w:val="14"/>
                <w:lang w:val="fr-FR"/>
              </w:rPr>
              <w:t>-311</w:t>
            </w:r>
          </w:p>
        </w:tc>
      </w:tr>
      <w:tr w:rsidR="00FB1D51" w:rsidRPr="00FB1D51" w:rsidTr="00FB1D51">
        <w:trPr>
          <w:trHeight w:val="284"/>
        </w:trPr>
        <w:tc>
          <w:tcPr>
            <w:tcW w:w="5665" w:type="dxa"/>
            <w:tcBorders>
              <w:top w:val="single" w:sz="4" w:space="0" w:color="365F91" w:themeColor="accent1" w:themeShade="BF"/>
              <w:left w:val="nil"/>
              <w:bottom w:val="single" w:sz="4" w:space="0" w:color="365F91" w:themeColor="accent1" w:themeShade="BF"/>
              <w:right w:val="single" w:sz="4" w:space="0" w:color="365F91" w:themeColor="accent1" w:themeShade="BF"/>
            </w:tcBorders>
            <w:vAlign w:val="center"/>
            <w:hideMark/>
          </w:tcPr>
          <w:p w:rsidR="00FB1D51" w:rsidRPr="00FB1D51" w:rsidRDefault="00FB1D51" w:rsidP="00FB1D51">
            <w:pPr>
              <w:snapToGrid w:val="0"/>
              <w:spacing w:after="0"/>
              <w:rPr>
                <w:rFonts w:ascii="Arial" w:eastAsia="Times New Roman" w:hAnsi="Arial"/>
                <w:bCs/>
                <w:sz w:val="14"/>
                <w:szCs w:val="14"/>
                <w:lang w:val="fr-FR"/>
              </w:rPr>
            </w:pPr>
            <w:r w:rsidRPr="00FB1D51">
              <w:rPr>
                <w:rFonts w:ascii="Arial" w:eastAsia="Times New Roman" w:hAnsi="Arial"/>
                <w:bCs/>
                <w:sz w:val="14"/>
                <w:szCs w:val="14"/>
                <w:lang w:val="fr-FR"/>
              </w:rPr>
              <w:t>Capitaux propres des actionnaires de la société mère par action (en EUR, fin de période)</w:t>
            </w:r>
          </w:p>
        </w:tc>
        <w:tc>
          <w:tcPr>
            <w:tcW w:w="850" w:type="dxa"/>
            <w:tcBorders>
              <w:top w:val="single" w:sz="4" w:space="0" w:color="365F91" w:themeColor="accent1" w:themeShade="BF"/>
              <w:left w:val="single" w:sz="4" w:space="0" w:color="365F91" w:themeColor="accent1" w:themeShade="BF"/>
              <w:bottom w:val="single" w:sz="4" w:space="0" w:color="365F91" w:themeColor="accent1" w:themeShade="BF"/>
              <w:right w:val="nil"/>
            </w:tcBorders>
            <w:vAlign w:val="center"/>
            <w:hideMark/>
          </w:tcPr>
          <w:p w:rsidR="00FB1D51" w:rsidRPr="00FB1D51" w:rsidRDefault="00FB1D51" w:rsidP="00FB1D51">
            <w:pPr>
              <w:snapToGrid w:val="0"/>
              <w:spacing w:after="0"/>
              <w:jc w:val="right"/>
              <w:rPr>
                <w:rFonts w:ascii="Arial" w:eastAsia="Times New Roman" w:hAnsi="Arial"/>
                <w:bCs/>
                <w:sz w:val="14"/>
                <w:szCs w:val="14"/>
                <w:lang w:val="fr-FR"/>
              </w:rPr>
            </w:pPr>
            <w:r w:rsidRPr="00FB1D51">
              <w:rPr>
                <w:rFonts w:ascii="Arial" w:eastAsia="Times New Roman" w:hAnsi="Arial"/>
                <w:bCs/>
                <w:sz w:val="14"/>
                <w:szCs w:val="14"/>
                <w:lang w:val="fr-FR"/>
              </w:rPr>
              <w:t>29.0</w:t>
            </w:r>
          </w:p>
        </w:tc>
        <w:tc>
          <w:tcPr>
            <w:tcW w:w="851" w:type="dxa"/>
            <w:tcBorders>
              <w:top w:val="single" w:sz="4" w:space="0" w:color="365F91" w:themeColor="accent1" w:themeShade="BF"/>
              <w:left w:val="nil"/>
              <w:bottom w:val="single" w:sz="4" w:space="0" w:color="365F91" w:themeColor="accent1" w:themeShade="BF"/>
              <w:right w:val="nil"/>
            </w:tcBorders>
            <w:vAlign w:val="center"/>
            <w:hideMark/>
          </w:tcPr>
          <w:p w:rsidR="00FB1D51" w:rsidRPr="00FB1D51" w:rsidRDefault="00FB1D51" w:rsidP="00FB1D51">
            <w:pPr>
              <w:snapToGrid w:val="0"/>
              <w:spacing w:after="0"/>
              <w:jc w:val="right"/>
              <w:rPr>
                <w:rFonts w:ascii="Arial" w:eastAsia="Times New Roman" w:hAnsi="Arial"/>
                <w:bCs/>
                <w:sz w:val="14"/>
                <w:szCs w:val="14"/>
                <w:lang w:val="fr-FR"/>
              </w:rPr>
            </w:pPr>
            <w:r w:rsidRPr="00FB1D51">
              <w:rPr>
                <w:rFonts w:ascii="Arial" w:eastAsia="Times New Roman" w:hAnsi="Arial"/>
                <w:bCs/>
                <w:sz w:val="14"/>
                <w:szCs w:val="14"/>
                <w:lang w:val="fr-FR"/>
              </w:rPr>
              <w:t>28.5</w:t>
            </w:r>
          </w:p>
        </w:tc>
        <w:tc>
          <w:tcPr>
            <w:tcW w:w="850" w:type="dxa"/>
            <w:tcBorders>
              <w:top w:val="single" w:sz="4" w:space="0" w:color="365F91" w:themeColor="accent1" w:themeShade="BF"/>
              <w:left w:val="nil"/>
              <w:bottom w:val="single" w:sz="4" w:space="0" w:color="365F91" w:themeColor="accent1" w:themeShade="BF"/>
              <w:right w:val="single" w:sz="4" w:space="0" w:color="365F91" w:themeColor="accent1" w:themeShade="BF"/>
            </w:tcBorders>
            <w:shd w:val="clear" w:color="auto" w:fill="DBE5F1" w:themeFill="accent1" w:themeFillTint="33"/>
            <w:vAlign w:val="center"/>
            <w:hideMark/>
          </w:tcPr>
          <w:p w:rsidR="00FB1D51" w:rsidRPr="00FB1D51" w:rsidRDefault="00FB1D51" w:rsidP="00FB1D51">
            <w:pPr>
              <w:snapToGrid w:val="0"/>
              <w:spacing w:after="0"/>
              <w:jc w:val="right"/>
              <w:rPr>
                <w:rFonts w:ascii="Arial" w:eastAsia="Times New Roman" w:hAnsi="Arial"/>
                <w:bCs/>
                <w:sz w:val="14"/>
                <w:szCs w:val="14"/>
                <w:lang w:val="fr-FR"/>
              </w:rPr>
            </w:pPr>
            <w:r w:rsidRPr="00FB1D51">
              <w:rPr>
                <w:rFonts w:ascii="Arial" w:eastAsia="Times New Roman" w:hAnsi="Arial"/>
                <w:bCs/>
                <w:sz w:val="14"/>
                <w:szCs w:val="14"/>
                <w:lang w:val="fr-FR"/>
              </w:rPr>
              <w:t>28.3</w:t>
            </w:r>
          </w:p>
        </w:tc>
        <w:tc>
          <w:tcPr>
            <w:tcW w:w="1127" w:type="dxa"/>
            <w:tcBorders>
              <w:top w:val="single" w:sz="4" w:space="0" w:color="365F91" w:themeColor="accent1" w:themeShade="BF"/>
              <w:left w:val="single" w:sz="4" w:space="0" w:color="365F91" w:themeColor="accent1" w:themeShade="BF"/>
              <w:bottom w:val="single" w:sz="4" w:space="0" w:color="365F91" w:themeColor="accent1" w:themeShade="BF"/>
              <w:right w:val="nil"/>
            </w:tcBorders>
            <w:vAlign w:val="center"/>
            <w:hideMark/>
          </w:tcPr>
          <w:p w:rsidR="00FB1D51" w:rsidRPr="00FB1D51" w:rsidRDefault="00FB1D51" w:rsidP="00FB1D51">
            <w:pPr>
              <w:snapToGrid w:val="0"/>
              <w:spacing w:after="0"/>
              <w:jc w:val="right"/>
              <w:rPr>
                <w:rFonts w:ascii="Arial" w:eastAsia="Times New Roman" w:hAnsi="Arial"/>
                <w:bCs/>
                <w:sz w:val="14"/>
                <w:szCs w:val="14"/>
                <w:lang w:val="fr-FR"/>
              </w:rPr>
            </w:pPr>
            <w:r w:rsidRPr="00FB1D51">
              <w:rPr>
                <w:rFonts w:ascii="Arial" w:eastAsia="Times New Roman" w:hAnsi="Arial"/>
                <w:bCs/>
                <w:sz w:val="14"/>
                <w:szCs w:val="14"/>
                <w:lang w:val="fr-FR"/>
              </w:rPr>
              <w:t>29.0</w:t>
            </w:r>
          </w:p>
        </w:tc>
        <w:tc>
          <w:tcPr>
            <w:tcW w:w="857"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vAlign w:val="center"/>
            <w:hideMark/>
          </w:tcPr>
          <w:p w:rsidR="00FB1D51" w:rsidRPr="00FB1D51" w:rsidRDefault="00FB1D51" w:rsidP="00FB1D51">
            <w:pPr>
              <w:snapToGrid w:val="0"/>
              <w:spacing w:after="0"/>
              <w:jc w:val="right"/>
              <w:rPr>
                <w:rFonts w:ascii="Arial" w:eastAsia="Times New Roman" w:hAnsi="Arial"/>
                <w:bCs/>
                <w:sz w:val="14"/>
                <w:szCs w:val="14"/>
                <w:lang w:val="fr-FR"/>
              </w:rPr>
            </w:pPr>
            <w:r w:rsidRPr="00FB1D51">
              <w:rPr>
                <w:rFonts w:ascii="Arial" w:eastAsia="Times New Roman" w:hAnsi="Arial"/>
                <w:bCs/>
                <w:sz w:val="14"/>
                <w:szCs w:val="14"/>
                <w:lang w:val="fr-FR"/>
              </w:rPr>
              <w:t>28.3</w:t>
            </w:r>
          </w:p>
        </w:tc>
      </w:tr>
      <w:tr w:rsidR="00FB1D51" w:rsidRPr="00820EEE" w:rsidTr="00FB1D51">
        <w:trPr>
          <w:trHeight w:val="113"/>
        </w:trPr>
        <w:tc>
          <w:tcPr>
            <w:tcW w:w="10200" w:type="dxa"/>
            <w:gridSpan w:val="6"/>
            <w:tcBorders>
              <w:top w:val="single" w:sz="4" w:space="0" w:color="365F91" w:themeColor="accent1" w:themeShade="BF"/>
              <w:left w:val="nil"/>
              <w:bottom w:val="nil"/>
              <w:right w:val="nil"/>
            </w:tcBorders>
            <w:vAlign w:val="center"/>
            <w:hideMark/>
          </w:tcPr>
          <w:p w:rsidR="00FB1D51" w:rsidRPr="00FB1D51" w:rsidRDefault="00FB1D51" w:rsidP="00FB1D51">
            <w:pPr>
              <w:snapToGrid w:val="0"/>
              <w:spacing w:after="0"/>
              <w:ind w:left="88" w:hanging="88"/>
              <w:rPr>
                <w:rFonts w:ascii="Arial" w:eastAsia="Times New Roman" w:hAnsi="Arial" w:cs="Arial"/>
                <w:bCs/>
                <w:sz w:val="12"/>
                <w:szCs w:val="12"/>
                <w:lang w:val="fr-FR"/>
              </w:rPr>
            </w:pPr>
            <w:r w:rsidRPr="00FB1D51">
              <w:rPr>
                <w:rFonts w:ascii="Arial" w:eastAsia="Times New Roman" w:hAnsi="Arial" w:cs="Arial"/>
                <w:bCs/>
                <w:sz w:val="12"/>
                <w:szCs w:val="12"/>
                <w:lang w:val="fr-FR"/>
              </w:rPr>
              <w:t>1 En cas de paiement d'un coupon sur les titres de capital de base vendus au gouvernement fédéral belge et au gouvernement régional flamand, il sera déduit du numérateur (au prorata). Si une pénalité éventuelle doit être payée, elle sera déduite également.</w:t>
            </w:r>
          </w:p>
          <w:p w:rsidR="00FB1D51" w:rsidRPr="00FB1D51" w:rsidRDefault="00FB1D51" w:rsidP="00FB1D51">
            <w:pPr>
              <w:snapToGrid w:val="0"/>
              <w:spacing w:after="0"/>
              <w:ind w:left="88" w:hanging="88"/>
              <w:rPr>
                <w:rFonts w:ascii="Arial" w:eastAsia="Times New Roman" w:hAnsi="Arial"/>
                <w:bCs/>
                <w:sz w:val="12"/>
                <w:szCs w:val="12"/>
                <w:lang w:val="fr-FR"/>
              </w:rPr>
            </w:pPr>
            <w:r w:rsidRPr="00FB1D51">
              <w:rPr>
                <w:rFonts w:ascii="Arial" w:eastAsia="Times New Roman" w:hAnsi="Arial"/>
                <w:bCs/>
                <w:sz w:val="12"/>
                <w:szCs w:val="12"/>
                <w:lang w:val="fr-FR"/>
              </w:rPr>
              <w:t>2 Une nouvelle structure de divisions a été mise en place en 2013 (pour plus d'informations à ce sujet, voir « Annexes relatives à l'information par division » à la section « États financiers consolidés » du rapport trimestriel). Les chiffres de référence de 2012 ont été adaptés pour refléter cette nouvelle répartition.</w:t>
            </w:r>
          </w:p>
        </w:tc>
      </w:tr>
    </w:tbl>
    <w:p w:rsidR="00A64831" w:rsidRDefault="00A64831" w:rsidP="00CF64D1">
      <w:pPr>
        <w:autoSpaceDE w:val="0"/>
        <w:autoSpaceDN w:val="0"/>
        <w:adjustRightInd w:val="0"/>
        <w:spacing w:after="60" w:line="240" w:lineRule="auto"/>
        <w:ind w:left="992" w:right="4"/>
        <w:jc w:val="both"/>
        <w:rPr>
          <w:rFonts w:cs="Arial"/>
          <w:bCs/>
          <w:color w:val="003768"/>
          <w:sz w:val="20"/>
          <w:szCs w:val="20"/>
          <w:lang w:val="fr-FR"/>
        </w:rPr>
      </w:pPr>
    </w:p>
    <w:p w:rsidR="00FB1D51" w:rsidRDefault="00FB1D51" w:rsidP="00FB1D51">
      <w:pPr>
        <w:autoSpaceDE w:val="0"/>
        <w:autoSpaceDN w:val="0"/>
        <w:adjustRightInd w:val="0"/>
        <w:spacing w:after="120" w:line="240" w:lineRule="auto"/>
        <w:ind w:left="992" w:right="6"/>
        <w:jc w:val="both"/>
        <w:rPr>
          <w:rFonts w:cs="Arial"/>
          <w:bCs/>
          <w:color w:val="003768"/>
          <w:sz w:val="20"/>
          <w:szCs w:val="20"/>
          <w:lang w:val="fr-FR"/>
        </w:rPr>
      </w:pPr>
      <w:r>
        <w:rPr>
          <w:rFonts w:cs="Arial"/>
          <w:bCs/>
          <w:noProof/>
          <w:color w:val="003768"/>
          <w:sz w:val="20"/>
          <w:szCs w:val="20"/>
          <w:lang w:val="nl-BE" w:eastAsia="nl-BE"/>
        </w:rPr>
        <w:lastRenderedPageBreak/>
        <w:drawing>
          <wp:inline distT="0" distB="0" distL="0" distR="0" wp14:anchorId="03E00883">
            <wp:extent cx="6450330" cy="499745"/>
            <wp:effectExtent l="0" t="0" r="762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50330" cy="499745"/>
                    </a:xfrm>
                    <a:prstGeom prst="rect">
                      <a:avLst/>
                    </a:prstGeom>
                    <a:noFill/>
                  </pic:spPr>
                </pic:pic>
              </a:graphicData>
            </a:graphic>
          </wp:inline>
        </w:drawing>
      </w:r>
    </w:p>
    <w:p w:rsidR="00FB1D51" w:rsidRPr="00FB1D51" w:rsidRDefault="00FB1D51" w:rsidP="00FB1D51">
      <w:pPr>
        <w:autoSpaceDE w:val="0"/>
        <w:autoSpaceDN w:val="0"/>
        <w:adjustRightInd w:val="0"/>
        <w:spacing w:after="60" w:line="240" w:lineRule="auto"/>
        <w:ind w:left="992" w:right="6"/>
        <w:jc w:val="both"/>
        <w:rPr>
          <w:rFonts w:cs="Arial"/>
          <w:bCs/>
          <w:color w:val="003768"/>
          <w:sz w:val="20"/>
          <w:szCs w:val="20"/>
          <w:lang w:val="fr-FR"/>
        </w:rPr>
      </w:pPr>
      <w:r w:rsidRPr="00FB1D51">
        <w:rPr>
          <w:rFonts w:cs="Arial"/>
          <w:bCs/>
          <w:color w:val="003768"/>
          <w:sz w:val="20"/>
          <w:szCs w:val="20"/>
          <w:lang w:val="fr-FR"/>
        </w:rPr>
        <w:t xml:space="preserve">Pour les données complètes du compte de résultats et du bilan consolidés selon les normes IFRS, nous vous renvoyons au chapitre Comptes annuels consolidés du rapport trimestriel, qui reprend également un résumé du résultat global, des variations des capitaux propres des actionnaires et des flux de trésorerie, ainsi que plusieurs annexes relatives aux comptes. </w:t>
      </w:r>
    </w:p>
    <w:p w:rsidR="00791719" w:rsidRDefault="00FB1D51" w:rsidP="00791719">
      <w:pPr>
        <w:autoSpaceDE w:val="0"/>
        <w:autoSpaceDN w:val="0"/>
        <w:adjustRightInd w:val="0"/>
        <w:spacing w:after="120" w:line="240" w:lineRule="auto"/>
        <w:ind w:left="992" w:right="6"/>
        <w:jc w:val="both"/>
        <w:rPr>
          <w:rFonts w:cs="Arial"/>
          <w:bCs/>
          <w:color w:val="003768"/>
          <w:sz w:val="20"/>
          <w:szCs w:val="20"/>
          <w:lang w:val="fr-FR"/>
        </w:rPr>
      </w:pPr>
      <w:r w:rsidRPr="00FB1D51">
        <w:rPr>
          <w:rFonts w:cs="Arial"/>
          <w:bCs/>
          <w:color w:val="003768"/>
          <w:sz w:val="20"/>
          <w:szCs w:val="20"/>
          <w:lang w:val="fr-FR"/>
        </w:rPr>
        <w:t xml:space="preserve">Pour une appréciation correcte des activités en cours, KBC publie aussi un aperçu des résultats ajustés, qui exclut l'incidence des activités </w:t>
      </w:r>
      <w:proofErr w:type="spellStart"/>
      <w:r w:rsidRPr="00FB1D51">
        <w:rPr>
          <w:rFonts w:cs="Arial"/>
          <w:bCs/>
          <w:color w:val="003768"/>
          <w:sz w:val="20"/>
          <w:szCs w:val="20"/>
          <w:lang w:val="fr-FR"/>
        </w:rPr>
        <w:t>legacy</w:t>
      </w:r>
      <w:proofErr w:type="spellEnd"/>
      <w:r w:rsidRPr="00FB1D51">
        <w:rPr>
          <w:rFonts w:cs="Arial"/>
          <w:bCs/>
          <w:color w:val="003768"/>
          <w:sz w:val="20"/>
          <w:szCs w:val="20"/>
          <w:lang w:val="fr-FR"/>
        </w:rPr>
        <w:t xml:space="preserve"> (désinvestissements, CDO) et de la valorisation de nos propres risques de crédit du compte de résultats. Celle-ci est résumée en trois lignes au bas de la présentation (voir section suivante).</w:t>
      </w:r>
    </w:p>
    <w:tbl>
      <w:tblPr>
        <w:tblW w:w="10428" w:type="dxa"/>
        <w:tblInd w:w="1028" w:type="dxa"/>
        <w:tblLayout w:type="fixed"/>
        <w:tblLook w:val="01E0" w:firstRow="1" w:lastRow="1" w:firstColumn="1" w:lastColumn="1" w:noHBand="0" w:noVBand="0"/>
      </w:tblPr>
      <w:tblGrid>
        <w:gridCol w:w="3636"/>
        <w:gridCol w:w="677"/>
        <w:gridCol w:w="713"/>
        <w:gridCol w:w="606"/>
        <w:gridCol w:w="654"/>
        <w:gridCol w:w="654"/>
        <w:gridCol w:w="641"/>
        <w:gridCol w:w="671"/>
        <w:gridCol w:w="646"/>
        <w:gridCol w:w="754"/>
        <w:gridCol w:w="776"/>
      </w:tblGrid>
      <w:tr w:rsidR="00791719" w:rsidRPr="00DB78A6" w:rsidTr="00D24657">
        <w:trPr>
          <w:trHeight w:val="557"/>
        </w:trPr>
        <w:tc>
          <w:tcPr>
            <w:tcW w:w="3636" w:type="dxa"/>
            <w:shd w:val="clear" w:color="auto" w:fill="365F91" w:themeFill="accent1" w:themeFillShade="BF"/>
            <w:vAlign w:val="center"/>
            <w:hideMark/>
          </w:tcPr>
          <w:p w:rsidR="00791719" w:rsidRPr="00791719" w:rsidRDefault="00791719" w:rsidP="00791719">
            <w:pPr>
              <w:snapToGrid w:val="0"/>
              <w:spacing w:after="0"/>
              <w:rPr>
                <w:rFonts w:ascii="Arial" w:eastAsia="Times New Roman" w:hAnsi="Arial"/>
                <w:bCs/>
                <w:color w:val="FFFFFF"/>
                <w:sz w:val="14"/>
                <w:szCs w:val="14"/>
                <w:lang w:val="fr-FR"/>
              </w:rPr>
            </w:pPr>
            <w:r w:rsidRPr="00791719">
              <w:rPr>
                <w:rFonts w:ascii="Arial" w:eastAsia="Times New Roman" w:hAnsi="Arial"/>
                <w:bCs/>
                <w:color w:val="FFFFFF"/>
                <w:sz w:val="14"/>
                <w:szCs w:val="14"/>
                <w:lang w:val="fr-FR"/>
              </w:rPr>
              <w:t xml:space="preserve">Compte de résultats consolidé selon IFRS, </w:t>
            </w:r>
            <w:r w:rsidRPr="00791719">
              <w:rPr>
                <w:rFonts w:ascii="Arial" w:eastAsia="Times New Roman" w:hAnsi="Arial"/>
                <w:bCs/>
                <w:color w:val="FFFFFF"/>
                <w:sz w:val="14"/>
                <w:szCs w:val="14"/>
                <w:lang w:val="fr-FR"/>
              </w:rPr>
              <w:br/>
              <w:t>KBC Groupe (en millions d’EUR)</w:t>
            </w:r>
          </w:p>
        </w:tc>
        <w:tc>
          <w:tcPr>
            <w:tcW w:w="677" w:type="dxa"/>
            <w:shd w:val="clear" w:color="auto" w:fill="365F91" w:themeFill="accent1" w:themeFillShade="BF"/>
            <w:vAlign w:val="bottom"/>
            <w:hideMark/>
          </w:tcPr>
          <w:p w:rsidR="00DB78A6" w:rsidRDefault="00791719" w:rsidP="00791719">
            <w:pPr>
              <w:snapToGrid w:val="0"/>
              <w:spacing w:after="0"/>
              <w:jc w:val="right"/>
              <w:rPr>
                <w:rFonts w:ascii="Arial" w:eastAsia="Times New Roman" w:hAnsi="Arial"/>
                <w:bCs/>
                <w:color w:val="FFFFFF"/>
                <w:sz w:val="14"/>
                <w:szCs w:val="14"/>
                <w:lang w:val="fr-FR"/>
              </w:rPr>
            </w:pPr>
            <w:r w:rsidRPr="00791719">
              <w:rPr>
                <w:rFonts w:ascii="Arial" w:eastAsia="Times New Roman" w:hAnsi="Arial"/>
                <w:bCs/>
                <w:color w:val="FFFFFF"/>
                <w:sz w:val="14"/>
                <w:szCs w:val="14"/>
                <w:lang w:val="fr-FR"/>
              </w:rPr>
              <w:t>1T</w:t>
            </w:r>
            <w:r w:rsidR="00DB78A6">
              <w:rPr>
                <w:rFonts w:ascii="Arial" w:eastAsia="Times New Roman" w:hAnsi="Arial"/>
                <w:bCs/>
                <w:color w:val="FFFFFF"/>
                <w:sz w:val="14"/>
                <w:szCs w:val="14"/>
                <w:lang w:val="fr-FR"/>
              </w:rPr>
              <w:t>R</w:t>
            </w:r>
          </w:p>
          <w:p w:rsidR="00791719" w:rsidRPr="00791719" w:rsidRDefault="00791719" w:rsidP="00791719">
            <w:pPr>
              <w:snapToGrid w:val="0"/>
              <w:spacing w:after="0"/>
              <w:jc w:val="right"/>
              <w:rPr>
                <w:rFonts w:ascii="Arial" w:eastAsia="Times New Roman" w:hAnsi="Arial"/>
                <w:bCs/>
                <w:color w:val="FFFFFF"/>
                <w:sz w:val="14"/>
                <w:szCs w:val="14"/>
                <w:lang w:val="fr-FR"/>
              </w:rPr>
            </w:pPr>
            <w:r w:rsidRPr="00791719">
              <w:rPr>
                <w:rFonts w:ascii="Arial" w:eastAsia="Times New Roman" w:hAnsi="Arial"/>
                <w:bCs/>
                <w:color w:val="FFFFFF"/>
                <w:sz w:val="14"/>
                <w:szCs w:val="14"/>
                <w:lang w:val="fr-FR"/>
              </w:rPr>
              <w:t>2012</w:t>
            </w:r>
          </w:p>
        </w:tc>
        <w:tc>
          <w:tcPr>
            <w:tcW w:w="713" w:type="dxa"/>
            <w:shd w:val="clear" w:color="auto" w:fill="365F91" w:themeFill="accent1" w:themeFillShade="BF"/>
            <w:vAlign w:val="bottom"/>
            <w:hideMark/>
          </w:tcPr>
          <w:p w:rsidR="00DB78A6" w:rsidRDefault="00791719" w:rsidP="00791719">
            <w:pPr>
              <w:snapToGrid w:val="0"/>
              <w:spacing w:after="0"/>
              <w:jc w:val="right"/>
              <w:rPr>
                <w:rFonts w:ascii="Arial" w:eastAsia="Times New Roman" w:hAnsi="Arial"/>
                <w:bCs/>
                <w:color w:val="FFFFFF"/>
                <w:sz w:val="14"/>
                <w:szCs w:val="14"/>
                <w:lang w:val="fr-FR"/>
              </w:rPr>
            </w:pPr>
            <w:r w:rsidRPr="00791719">
              <w:rPr>
                <w:rFonts w:ascii="Arial" w:eastAsia="Times New Roman" w:hAnsi="Arial"/>
                <w:bCs/>
                <w:color w:val="FFFFFF"/>
                <w:sz w:val="14"/>
                <w:szCs w:val="14"/>
                <w:lang w:val="fr-FR"/>
              </w:rPr>
              <w:t>2T</w:t>
            </w:r>
            <w:r w:rsidR="00DB78A6">
              <w:rPr>
                <w:rFonts w:ascii="Arial" w:eastAsia="Times New Roman" w:hAnsi="Arial"/>
                <w:bCs/>
                <w:color w:val="FFFFFF"/>
                <w:sz w:val="14"/>
                <w:szCs w:val="14"/>
                <w:lang w:val="fr-FR"/>
              </w:rPr>
              <w:t>R</w:t>
            </w:r>
          </w:p>
          <w:p w:rsidR="00791719" w:rsidRPr="00791719" w:rsidRDefault="00791719" w:rsidP="00791719">
            <w:pPr>
              <w:snapToGrid w:val="0"/>
              <w:spacing w:after="0"/>
              <w:jc w:val="right"/>
              <w:rPr>
                <w:rFonts w:ascii="Arial" w:eastAsia="Times New Roman" w:hAnsi="Arial"/>
                <w:bCs/>
                <w:color w:val="FFFFFF"/>
                <w:sz w:val="14"/>
                <w:szCs w:val="14"/>
                <w:lang w:val="fr-FR"/>
              </w:rPr>
            </w:pPr>
            <w:r w:rsidRPr="00791719">
              <w:rPr>
                <w:rFonts w:ascii="Arial" w:eastAsia="Times New Roman" w:hAnsi="Arial"/>
                <w:bCs/>
                <w:color w:val="FFFFFF"/>
                <w:sz w:val="14"/>
                <w:szCs w:val="14"/>
                <w:lang w:val="fr-FR"/>
              </w:rPr>
              <w:t>2012</w:t>
            </w:r>
          </w:p>
        </w:tc>
        <w:tc>
          <w:tcPr>
            <w:tcW w:w="606" w:type="dxa"/>
            <w:shd w:val="clear" w:color="auto" w:fill="365F91" w:themeFill="accent1" w:themeFillShade="BF"/>
            <w:vAlign w:val="bottom"/>
            <w:hideMark/>
          </w:tcPr>
          <w:p w:rsidR="00791719" w:rsidRPr="00791719" w:rsidRDefault="00791719" w:rsidP="00791719">
            <w:pPr>
              <w:snapToGrid w:val="0"/>
              <w:spacing w:after="0"/>
              <w:jc w:val="right"/>
              <w:rPr>
                <w:rFonts w:ascii="Arial" w:eastAsia="Times New Roman" w:hAnsi="Arial"/>
                <w:bCs/>
                <w:color w:val="FFFFFF"/>
                <w:sz w:val="14"/>
                <w:szCs w:val="14"/>
                <w:lang w:val="fr-FR"/>
              </w:rPr>
            </w:pPr>
            <w:r w:rsidRPr="00791719">
              <w:rPr>
                <w:rFonts w:ascii="Arial" w:eastAsia="Times New Roman" w:hAnsi="Arial"/>
                <w:bCs/>
                <w:color w:val="FFFFFF"/>
                <w:sz w:val="14"/>
                <w:szCs w:val="14"/>
                <w:lang w:val="fr-FR"/>
              </w:rPr>
              <w:t>3T</w:t>
            </w:r>
            <w:r w:rsidR="00DB78A6">
              <w:rPr>
                <w:rFonts w:ascii="Arial" w:eastAsia="Times New Roman" w:hAnsi="Arial"/>
                <w:bCs/>
                <w:color w:val="FFFFFF"/>
                <w:sz w:val="14"/>
                <w:szCs w:val="14"/>
                <w:lang w:val="fr-FR"/>
              </w:rPr>
              <w:t>R</w:t>
            </w:r>
            <w:r w:rsidRPr="00791719">
              <w:rPr>
                <w:rFonts w:ascii="Arial" w:eastAsia="Times New Roman" w:hAnsi="Arial"/>
                <w:bCs/>
                <w:color w:val="FFFFFF"/>
                <w:sz w:val="14"/>
                <w:szCs w:val="14"/>
                <w:lang w:val="fr-FR"/>
              </w:rPr>
              <w:t xml:space="preserve"> </w:t>
            </w:r>
          </w:p>
          <w:p w:rsidR="00791719" w:rsidRPr="00791719" w:rsidRDefault="00791719" w:rsidP="00791719">
            <w:pPr>
              <w:snapToGrid w:val="0"/>
              <w:spacing w:after="0"/>
              <w:jc w:val="right"/>
              <w:rPr>
                <w:rFonts w:ascii="Arial" w:eastAsia="Times New Roman" w:hAnsi="Arial"/>
                <w:bCs/>
                <w:color w:val="FFFFFF"/>
                <w:sz w:val="14"/>
                <w:szCs w:val="14"/>
                <w:lang w:val="fr-FR"/>
              </w:rPr>
            </w:pPr>
            <w:r w:rsidRPr="00791719">
              <w:rPr>
                <w:rFonts w:ascii="Arial" w:eastAsia="Times New Roman" w:hAnsi="Arial"/>
                <w:bCs/>
                <w:color w:val="FFFFFF"/>
                <w:sz w:val="14"/>
                <w:szCs w:val="14"/>
                <w:lang w:val="fr-FR"/>
              </w:rPr>
              <w:t>2012</w:t>
            </w:r>
          </w:p>
        </w:tc>
        <w:tc>
          <w:tcPr>
            <w:tcW w:w="654" w:type="dxa"/>
            <w:shd w:val="clear" w:color="auto" w:fill="365F91" w:themeFill="accent1" w:themeFillShade="BF"/>
            <w:vAlign w:val="bottom"/>
            <w:hideMark/>
          </w:tcPr>
          <w:p w:rsidR="00DB78A6" w:rsidRDefault="00791719" w:rsidP="00DB78A6">
            <w:pPr>
              <w:snapToGrid w:val="0"/>
              <w:spacing w:after="0"/>
              <w:jc w:val="right"/>
              <w:rPr>
                <w:rFonts w:ascii="Arial" w:eastAsia="Times New Roman" w:hAnsi="Arial"/>
                <w:bCs/>
                <w:color w:val="FFFFFF"/>
                <w:sz w:val="14"/>
                <w:szCs w:val="14"/>
                <w:lang w:val="fr-FR"/>
              </w:rPr>
            </w:pPr>
            <w:r w:rsidRPr="00791719">
              <w:rPr>
                <w:rFonts w:ascii="Arial" w:eastAsia="Times New Roman" w:hAnsi="Arial"/>
                <w:bCs/>
                <w:color w:val="FFFFFF"/>
                <w:sz w:val="14"/>
                <w:szCs w:val="14"/>
                <w:lang w:val="fr-FR"/>
              </w:rPr>
              <w:t>4T</w:t>
            </w:r>
            <w:r w:rsidR="00DB78A6">
              <w:rPr>
                <w:rFonts w:ascii="Arial" w:eastAsia="Times New Roman" w:hAnsi="Arial"/>
                <w:bCs/>
                <w:color w:val="FFFFFF"/>
                <w:sz w:val="14"/>
                <w:szCs w:val="14"/>
                <w:lang w:val="fr-FR"/>
              </w:rPr>
              <w:t>R</w:t>
            </w:r>
          </w:p>
          <w:p w:rsidR="00791719" w:rsidRPr="00791719" w:rsidRDefault="00791719" w:rsidP="00DB78A6">
            <w:pPr>
              <w:snapToGrid w:val="0"/>
              <w:spacing w:after="0"/>
              <w:jc w:val="right"/>
              <w:rPr>
                <w:rFonts w:ascii="Arial" w:eastAsia="Times New Roman" w:hAnsi="Arial"/>
                <w:bCs/>
                <w:color w:val="FFFFFF"/>
                <w:sz w:val="14"/>
                <w:szCs w:val="14"/>
                <w:lang w:val="fr-FR"/>
              </w:rPr>
            </w:pPr>
            <w:r w:rsidRPr="00791719">
              <w:rPr>
                <w:rFonts w:ascii="Arial" w:eastAsia="Times New Roman" w:hAnsi="Arial"/>
                <w:bCs/>
                <w:color w:val="FFFFFF"/>
                <w:sz w:val="14"/>
                <w:szCs w:val="14"/>
                <w:lang w:val="fr-FR"/>
              </w:rPr>
              <w:t>2012</w:t>
            </w:r>
          </w:p>
        </w:tc>
        <w:tc>
          <w:tcPr>
            <w:tcW w:w="654" w:type="dxa"/>
            <w:shd w:val="clear" w:color="auto" w:fill="365F91" w:themeFill="accent1" w:themeFillShade="BF"/>
            <w:vAlign w:val="bottom"/>
            <w:hideMark/>
          </w:tcPr>
          <w:p w:rsidR="00DB78A6" w:rsidRDefault="00DB78A6" w:rsidP="00791719">
            <w:pPr>
              <w:snapToGrid w:val="0"/>
              <w:spacing w:after="0"/>
              <w:jc w:val="right"/>
              <w:rPr>
                <w:rFonts w:ascii="Arial" w:eastAsia="Times New Roman" w:hAnsi="Arial"/>
                <w:bCs/>
                <w:color w:val="FFFFFF"/>
                <w:sz w:val="14"/>
                <w:szCs w:val="14"/>
                <w:lang w:val="fr-FR"/>
              </w:rPr>
            </w:pPr>
            <w:r>
              <w:rPr>
                <w:rFonts w:ascii="Arial" w:eastAsia="Times New Roman" w:hAnsi="Arial"/>
                <w:bCs/>
                <w:color w:val="FFFFFF"/>
                <w:sz w:val="14"/>
                <w:szCs w:val="14"/>
                <w:lang w:val="fr-FR"/>
              </w:rPr>
              <w:t>1TR</w:t>
            </w:r>
          </w:p>
          <w:p w:rsidR="00791719" w:rsidRPr="00791719" w:rsidRDefault="00791719" w:rsidP="00791719">
            <w:pPr>
              <w:snapToGrid w:val="0"/>
              <w:spacing w:after="0"/>
              <w:jc w:val="right"/>
              <w:rPr>
                <w:rFonts w:ascii="Arial" w:eastAsia="Times New Roman" w:hAnsi="Arial"/>
                <w:bCs/>
                <w:color w:val="FFFFFF"/>
                <w:sz w:val="14"/>
                <w:szCs w:val="14"/>
                <w:lang w:val="fr-FR"/>
              </w:rPr>
            </w:pPr>
            <w:r w:rsidRPr="00791719">
              <w:rPr>
                <w:rFonts w:ascii="Arial" w:eastAsia="Times New Roman" w:hAnsi="Arial"/>
                <w:bCs/>
                <w:color w:val="FFFFFF"/>
                <w:sz w:val="14"/>
                <w:szCs w:val="14"/>
                <w:lang w:val="fr-FR"/>
              </w:rPr>
              <w:t>2013</w:t>
            </w:r>
          </w:p>
        </w:tc>
        <w:tc>
          <w:tcPr>
            <w:tcW w:w="641" w:type="dxa"/>
            <w:shd w:val="clear" w:color="auto" w:fill="365F91" w:themeFill="accent1" w:themeFillShade="BF"/>
            <w:vAlign w:val="bottom"/>
            <w:hideMark/>
          </w:tcPr>
          <w:p w:rsidR="00DB78A6" w:rsidRDefault="00DB78A6" w:rsidP="00791719">
            <w:pPr>
              <w:snapToGrid w:val="0"/>
              <w:spacing w:after="0"/>
              <w:jc w:val="right"/>
              <w:rPr>
                <w:rFonts w:ascii="Arial" w:eastAsia="Times New Roman" w:hAnsi="Arial"/>
                <w:bCs/>
                <w:color w:val="FFFFFF"/>
                <w:sz w:val="14"/>
                <w:szCs w:val="14"/>
                <w:lang w:val="fr-FR"/>
              </w:rPr>
            </w:pPr>
            <w:r>
              <w:rPr>
                <w:rFonts w:ascii="Arial" w:eastAsia="Times New Roman" w:hAnsi="Arial"/>
                <w:bCs/>
                <w:color w:val="FFFFFF"/>
                <w:sz w:val="14"/>
                <w:szCs w:val="14"/>
                <w:lang w:val="fr-FR"/>
              </w:rPr>
              <w:t>2TR</w:t>
            </w:r>
          </w:p>
          <w:p w:rsidR="00791719" w:rsidRPr="00791719" w:rsidRDefault="00791719" w:rsidP="00791719">
            <w:pPr>
              <w:snapToGrid w:val="0"/>
              <w:spacing w:after="0"/>
              <w:jc w:val="right"/>
              <w:rPr>
                <w:rFonts w:ascii="Arial" w:eastAsia="Times New Roman" w:hAnsi="Arial"/>
                <w:bCs/>
                <w:color w:val="FFFFFF"/>
                <w:sz w:val="14"/>
                <w:szCs w:val="14"/>
                <w:lang w:val="fr-FR"/>
              </w:rPr>
            </w:pPr>
            <w:r w:rsidRPr="00791719">
              <w:rPr>
                <w:rFonts w:ascii="Arial" w:eastAsia="Times New Roman" w:hAnsi="Arial"/>
                <w:bCs/>
                <w:color w:val="FFFFFF"/>
                <w:sz w:val="14"/>
                <w:szCs w:val="14"/>
                <w:lang w:val="fr-FR"/>
              </w:rPr>
              <w:t>2013</w:t>
            </w:r>
          </w:p>
        </w:tc>
        <w:tc>
          <w:tcPr>
            <w:tcW w:w="671" w:type="dxa"/>
            <w:shd w:val="clear" w:color="auto" w:fill="365F91" w:themeFill="accent1" w:themeFillShade="BF"/>
            <w:vAlign w:val="bottom"/>
            <w:hideMark/>
          </w:tcPr>
          <w:p w:rsidR="00791719" w:rsidRPr="00791719" w:rsidRDefault="00DB78A6" w:rsidP="00791719">
            <w:pPr>
              <w:snapToGrid w:val="0"/>
              <w:spacing w:after="0"/>
              <w:jc w:val="right"/>
              <w:rPr>
                <w:rFonts w:ascii="Arial" w:eastAsia="Times New Roman" w:hAnsi="Arial"/>
                <w:bCs/>
                <w:color w:val="FFFFFF"/>
                <w:sz w:val="14"/>
                <w:szCs w:val="14"/>
                <w:lang w:val="fr-FR"/>
              </w:rPr>
            </w:pPr>
            <w:r>
              <w:rPr>
                <w:rFonts w:ascii="Arial" w:eastAsia="Times New Roman" w:hAnsi="Arial"/>
                <w:bCs/>
                <w:color w:val="FFFFFF"/>
                <w:sz w:val="14"/>
                <w:szCs w:val="14"/>
                <w:lang w:val="fr-FR"/>
              </w:rPr>
              <w:t>3TR</w:t>
            </w:r>
            <w:r w:rsidR="00791719" w:rsidRPr="00791719">
              <w:rPr>
                <w:rFonts w:ascii="Arial" w:eastAsia="Times New Roman" w:hAnsi="Arial"/>
                <w:bCs/>
                <w:color w:val="FFFFFF"/>
                <w:sz w:val="14"/>
                <w:szCs w:val="14"/>
                <w:lang w:val="fr-FR"/>
              </w:rPr>
              <w:t xml:space="preserve"> </w:t>
            </w:r>
          </w:p>
          <w:p w:rsidR="00791719" w:rsidRPr="00791719" w:rsidRDefault="00791719" w:rsidP="00791719">
            <w:pPr>
              <w:snapToGrid w:val="0"/>
              <w:spacing w:after="0"/>
              <w:jc w:val="right"/>
              <w:rPr>
                <w:rFonts w:ascii="Arial" w:eastAsia="Times New Roman" w:hAnsi="Arial"/>
                <w:bCs/>
                <w:color w:val="FFFFFF"/>
                <w:sz w:val="14"/>
                <w:szCs w:val="14"/>
                <w:lang w:val="fr-FR"/>
              </w:rPr>
            </w:pPr>
            <w:r w:rsidRPr="00791719">
              <w:rPr>
                <w:rFonts w:ascii="Arial" w:eastAsia="Times New Roman" w:hAnsi="Arial"/>
                <w:bCs/>
                <w:color w:val="FFFFFF"/>
                <w:sz w:val="14"/>
                <w:szCs w:val="14"/>
                <w:lang w:val="fr-FR"/>
              </w:rPr>
              <w:t>2013</w:t>
            </w:r>
          </w:p>
        </w:tc>
        <w:tc>
          <w:tcPr>
            <w:tcW w:w="646" w:type="dxa"/>
            <w:shd w:val="clear" w:color="auto" w:fill="365F91" w:themeFill="accent1" w:themeFillShade="BF"/>
            <w:vAlign w:val="bottom"/>
            <w:hideMark/>
          </w:tcPr>
          <w:p w:rsidR="00DB78A6" w:rsidRDefault="00DB78A6" w:rsidP="00791719">
            <w:pPr>
              <w:snapToGrid w:val="0"/>
              <w:spacing w:after="0"/>
              <w:jc w:val="right"/>
              <w:rPr>
                <w:rFonts w:ascii="Arial" w:eastAsia="Times New Roman" w:hAnsi="Arial"/>
                <w:bCs/>
                <w:color w:val="FFFFFF"/>
                <w:sz w:val="14"/>
                <w:szCs w:val="14"/>
                <w:lang w:val="fr-FR"/>
              </w:rPr>
            </w:pPr>
            <w:r>
              <w:rPr>
                <w:rFonts w:ascii="Arial" w:eastAsia="Times New Roman" w:hAnsi="Arial"/>
                <w:bCs/>
                <w:color w:val="FFFFFF"/>
                <w:sz w:val="14"/>
                <w:szCs w:val="14"/>
                <w:lang w:val="fr-FR"/>
              </w:rPr>
              <w:t>4TR</w:t>
            </w:r>
          </w:p>
          <w:p w:rsidR="00791719" w:rsidRPr="00791719" w:rsidRDefault="00791719" w:rsidP="00791719">
            <w:pPr>
              <w:snapToGrid w:val="0"/>
              <w:spacing w:after="0"/>
              <w:jc w:val="right"/>
              <w:rPr>
                <w:rFonts w:ascii="Arial" w:eastAsia="Times New Roman" w:hAnsi="Arial"/>
                <w:bCs/>
                <w:color w:val="FFFFFF"/>
                <w:sz w:val="14"/>
                <w:szCs w:val="14"/>
                <w:lang w:val="fr-FR"/>
              </w:rPr>
            </w:pPr>
            <w:r w:rsidRPr="00791719">
              <w:rPr>
                <w:rFonts w:ascii="Arial" w:eastAsia="Times New Roman" w:hAnsi="Arial"/>
                <w:bCs/>
                <w:color w:val="FFFFFF"/>
                <w:sz w:val="14"/>
                <w:szCs w:val="14"/>
                <w:lang w:val="fr-FR"/>
              </w:rPr>
              <w:t>2013</w:t>
            </w:r>
          </w:p>
        </w:tc>
        <w:tc>
          <w:tcPr>
            <w:tcW w:w="754" w:type="dxa"/>
            <w:shd w:val="clear" w:color="auto" w:fill="365F91" w:themeFill="accent1" w:themeFillShade="BF"/>
            <w:vAlign w:val="bottom"/>
            <w:hideMark/>
          </w:tcPr>
          <w:p w:rsidR="00791719" w:rsidRPr="00791719" w:rsidRDefault="00791719" w:rsidP="00791719">
            <w:pPr>
              <w:snapToGrid w:val="0"/>
              <w:spacing w:after="0"/>
              <w:jc w:val="right"/>
              <w:rPr>
                <w:rFonts w:ascii="Arial" w:eastAsia="Times New Roman" w:hAnsi="Arial"/>
                <w:bCs/>
                <w:color w:val="FFFFFF"/>
                <w:sz w:val="14"/>
                <w:szCs w:val="14"/>
                <w:lang w:val="fr-FR"/>
              </w:rPr>
            </w:pPr>
            <w:r w:rsidRPr="00791719">
              <w:rPr>
                <w:rFonts w:ascii="Arial" w:eastAsia="Times New Roman" w:hAnsi="Arial"/>
                <w:bCs/>
                <w:color w:val="FFFFFF"/>
                <w:sz w:val="14"/>
                <w:szCs w:val="14"/>
                <w:lang w:val="fr-FR"/>
              </w:rPr>
              <w:t>Exercice complet 2012</w:t>
            </w:r>
          </w:p>
        </w:tc>
        <w:tc>
          <w:tcPr>
            <w:tcW w:w="776" w:type="dxa"/>
            <w:shd w:val="clear" w:color="auto" w:fill="365F91" w:themeFill="accent1" w:themeFillShade="BF"/>
            <w:vAlign w:val="bottom"/>
            <w:hideMark/>
          </w:tcPr>
          <w:p w:rsidR="00791719" w:rsidRPr="00791719" w:rsidRDefault="00791719" w:rsidP="00DB78A6">
            <w:pPr>
              <w:snapToGrid w:val="0"/>
              <w:spacing w:after="0"/>
              <w:jc w:val="right"/>
              <w:rPr>
                <w:rFonts w:ascii="Arial" w:eastAsia="Times New Roman" w:hAnsi="Arial"/>
                <w:bCs/>
                <w:color w:val="FFFFFF"/>
                <w:sz w:val="14"/>
                <w:szCs w:val="14"/>
                <w:lang w:val="fr-FR"/>
              </w:rPr>
            </w:pPr>
            <w:r w:rsidRPr="00791719">
              <w:rPr>
                <w:rFonts w:ascii="Arial" w:eastAsia="Times New Roman" w:hAnsi="Arial"/>
                <w:bCs/>
                <w:color w:val="FFFFFF"/>
                <w:sz w:val="14"/>
                <w:szCs w:val="14"/>
                <w:lang w:val="fr-FR"/>
              </w:rPr>
              <w:t>Exercic</w:t>
            </w:r>
            <w:r w:rsidR="00DB78A6">
              <w:rPr>
                <w:rFonts w:ascii="Arial" w:eastAsia="Times New Roman" w:hAnsi="Arial"/>
                <w:bCs/>
                <w:color w:val="FFFFFF"/>
                <w:sz w:val="14"/>
                <w:szCs w:val="14"/>
                <w:lang w:val="fr-FR"/>
              </w:rPr>
              <w:t>e</w:t>
            </w:r>
            <w:r w:rsidRPr="00791719">
              <w:rPr>
                <w:rFonts w:ascii="Arial" w:eastAsia="Times New Roman" w:hAnsi="Arial"/>
                <w:bCs/>
                <w:color w:val="FFFFFF"/>
                <w:sz w:val="14"/>
                <w:szCs w:val="14"/>
                <w:lang w:val="fr-FR"/>
              </w:rPr>
              <w:t xml:space="preserve"> complet 2013</w:t>
            </w:r>
          </w:p>
        </w:tc>
      </w:tr>
      <w:tr w:rsidR="00791719" w:rsidRPr="00791719" w:rsidTr="00D24657">
        <w:trPr>
          <w:trHeight w:val="239"/>
        </w:trPr>
        <w:tc>
          <w:tcPr>
            <w:tcW w:w="3636" w:type="dxa"/>
            <w:tcBorders>
              <w:top w:val="nil"/>
              <w:left w:val="nil"/>
              <w:bottom w:val="nil"/>
              <w:right w:val="single" w:sz="8" w:space="0" w:color="1F497D" w:themeColor="text2"/>
            </w:tcBorders>
            <w:vAlign w:val="center"/>
            <w:hideMark/>
          </w:tcPr>
          <w:p w:rsidR="00791719" w:rsidRPr="00791719" w:rsidRDefault="00791719" w:rsidP="00791719">
            <w:pPr>
              <w:snapToGrid w:val="0"/>
              <w:spacing w:after="0"/>
              <w:rPr>
                <w:rFonts w:ascii="Arial" w:eastAsia="Times New Roman" w:hAnsi="Arial"/>
                <w:bCs/>
                <w:sz w:val="14"/>
                <w:szCs w:val="14"/>
                <w:lang w:val="fr-FR"/>
              </w:rPr>
            </w:pPr>
            <w:r w:rsidRPr="00791719">
              <w:rPr>
                <w:rFonts w:ascii="Arial" w:eastAsia="Times New Roman" w:hAnsi="Arial"/>
                <w:bCs/>
                <w:sz w:val="14"/>
                <w:szCs w:val="14"/>
                <w:lang w:val="fr-FR"/>
              </w:rPr>
              <w:t>Revenus nets d’intérêts</w:t>
            </w:r>
          </w:p>
        </w:tc>
        <w:tc>
          <w:tcPr>
            <w:tcW w:w="677"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1 261</w:t>
            </w:r>
          </w:p>
        </w:tc>
        <w:tc>
          <w:tcPr>
            <w:tcW w:w="713"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1 190</w:t>
            </w:r>
          </w:p>
        </w:tc>
        <w:tc>
          <w:tcPr>
            <w:tcW w:w="606"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1 097</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1 121</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1 068</w:t>
            </w:r>
          </w:p>
        </w:tc>
        <w:tc>
          <w:tcPr>
            <w:tcW w:w="64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1 016</w:t>
            </w:r>
          </w:p>
        </w:tc>
        <w:tc>
          <w:tcPr>
            <w:tcW w:w="67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1 028</w:t>
            </w:r>
          </w:p>
        </w:tc>
        <w:tc>
          <w:tcPr>
            <w:tcW w:w="646" w:type="dxa"/>
            <w:tcBorders>
              <w:top w:val="nil"/>
              <w:left w:val="nil"/>
              <w:bottom w:val="nil"/>
              <w:right w:val="single" w:sz="8" w:space="0" w:color="1F497D" w:themeColor="text2"/>
            </w:tcBorders>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1 020</w:t>
            </w:r>
          </w:p>
        </w:tc>
        <w:tc>
          <w:tcPr>
            <w:tcW w:w="754"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4 669</w:t>
            </w:r>
          </w:p>
        </w:tc>
        <w:tc>
          <w:tcPr>
            <w:tcW w:w="776" w:type="dxa"/>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4 132</w:t>
            </w:r>
          </w:p>
        </w:tc>
      </w:tr>
      <w:tr w:rsidR="00791719" w:rsidRPr="00791719" w:rsidTr="00D24657">
        <w:trPr>
          <w:trHeight w:val="285"/>
        </w:trPr>
        <w:tc>
          <w:tcPr>
            <w:tcW w:w="3636" w:type="dxa"/>
            <w:tcBorders>
              <w:top w:val="nil"/>
              <w:left w:val="nil"/>
              <w:bottom w:val="nil"/>
              <w:right w:val="single" w:sz="8" w:space="0" w:color="1F497D" w:themeColor="text2"/>
            </w:tcBorders>
            <w:vAlign w:val="center"/>
            <w:hideMark/>
          </w:tcPr>
          <w:p w:rsidR="00791719" w:rsidRPr="00791719" w:rsidRDefault="00791719" w:rsidP="00791719">
            <w:pPr>
              <w:snapToGrid w:val="0"/>
              <w:spacing w:after="0"/>
              <w:rPr>
                <w:rFonts w:ascii="Arial" w:eastAsia="Times New Roman" w:hAnsi="Arial"/>
                <w:bCs/>
                <w:sz w:val="12"/>
                <w:szCs w:val="12"/>
                <w:lang w:val="fr-FR"/>
              </w:rPr>
            </w:pPr>
            <w:r w:rsidRPr="00791719">
              <w:rPr>
                <w:rFonts w:ascii="Arial" w:eastAsia="Times New Roman" w:hAnsi="Arial"/>
                <w:bCs/>
                <w:sz w:val="12"/>
                <w:szCs w:val="12"/>
                <w:lang w:val="fr-FR"/>
              </w:rPr>
              <w:t xml:space="preserve">     Revenus d’intérêts</w:t>
            </w:r>
          </w:p>
        </w:tc>
        <w:tc>
          <w:tcPr>
            <w:tcW w:w="677"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2"/>
                <w:szCs w:val="12"/>
                <w:lang w:val="fr-FR"/>
              </w:rPr>
            </w:pPr>
            <w:r w:rsidRPr="00791719">
              <w:rPr>
                <w:rFonts w:ascii="Arial" w:eastAsia="Times New Roman" w:hAnsi="Arial"/>
                <w:bCs/>
                <w:sz w:val="12"/>
                <w:szCs w:val="12"/>
                <w:lang w:val="fr-FR"/>
              </w:rPr>
              <w:t>2 695</w:t>
            </w:r>
          </w:p>
        </w:tc>
        <w:tc>
          <w:tcPr>
            <w:tcW w:w="713" w:type="dxa"/>
            <w:vAlign w:val="center"/>
            <w:hideMark/>
          </w:tcPr>
          <w:p w:rsidR="00791719" w:rsidRPr="00791719" w:rsidRDefault="00791719" w:rsidP="00791719">
            <w:pPr>
              <w:snapToGrid w:val="0"/>
              <w:spacing w:after="0"/>
              <w:jc w:val="right"/>
              <w:rPr>
                <w:rFonts w:ascii="Arial" w:eastAsia="Times New Roman" w:hAnsi="Arial"/>
                <w:bCs/>
                <w:sz w:val="12"/>
                <w:szCs w:val="12"/>
                <w:lang w:val="fr-FR"/>
              </w:rPr>
            </w:pPr>
            <w:r w:rsidRPr="00791719">
              <w:rPr>
                <w:rFonts w:ascii="Arial" w:eastAsia="Times New Roman" w:hAnsi="Arial"/>
                <w:bCs/>
                <w:sz w:val="12"/>
                <w:szCs w:val="12"/>
                <w:lang w:val="fr-FR"/>
              </w:rPr>
              <w:t>2 563</w:t>
            </w:r>
          </w:p>
        </w:tc>
        <w:tc>
          <w:tcPr>
            <w:tcW w:w="606" w:type="dxa"/>
            <w:vAlign w:val="center"/>
            <w:hideMark/>
          </w:tcPr>
          <w:p w:rsidR="00791719" w:rsidRPr="00791719" w:rsidRDefault="00791719" w:rsidP="00791719">
            <w:pPr>
              <w:snapToGrid w:val="0"/>
              <w:spacing w:after="0"/>
              <w:jc w:val="right"/>
              <w:rPr>
                <w:rFonts w:ascii="Arial" w:eastAsia="Times New Roman" w:hAnsi="Arial"/>
                <w:bCs/>
                <w:sz w:val="12"/>
                <w:szCs w:val="12"/>
                <w:lang w:val="fr-FR"/>
              </w:rPr>
            </w:pPr>
            <w:r w:rsidRPr="00791719">
              <w:rPr>
                <w:rFonts w:ascii="Arial" w:eastAsia="Times New Roman" w:hAnsi="Arial"/>
                <w:bCs/>
                <w:sz w:val="12"/>
                <w:szCs w:val="12"/>
                <w:lang w:val="fr-FR"/>
              </w:rPr>
              <w:t>2 493</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2"/>
                <w:szCs w:val="12"/>
                <w:lang w:val="fr-FR"/>
              </w:rPr>
            </w:pPr>
            <w:r w:rsidRPr="00791719">
              <w:rPr>
                <w:rFonts w:ascii="Arial" w:eastAsia="Times New Roman" w:hAnsi="Arial"/>
                <w:bCs/>
                <w:sz w:val="12"/>
                <w:szCs w:val="12"/>
                <w:lang w:val="fr-FR"/>
              </w:rPr>
              <w:t>2 382</w:t>
            </w:r>
          </w:p>
        </w:tc>
        <w:tc>
          <w:tcPr>
            <w:tcW w:w="654" w:type="dxa"/>
            <w:vAlign w:val="center"/>
            <w:hideMark/>
          </w:tcPr>
          <w:p w:rsidR="00791719" w:rsidRPr="00791719" w:rsidRDefault="00791719" w:rsidP="00791719">
            <w:pPr>
              <w:keepNext/>
              <w:snapToGrid w:val="0"/>
              <w:spacing w:after="0"/>
              <w:ind w:right="-290"/>
              <w:jc w:val="right"/>
              <w:outlineLvl w:val="3"/>
              <w:rPr>
                <w:rFonts w:ascii="Arial" w:eastAsia="Times New Roman" w:hAnsi="Arial"/>
                <w:bCs/>
                <w:sz w:val="12"/>
                <w:szCs w:val="12"/>
                <w:lang w:val="fr-FR"/>
              </w:rPr>
            </w:pPr>
            <w:r w:rsidRPr="00791719">
              <w:rPr>
                <w:rFonts w:ascii="Arial" w:eastAsia="Times New Roman" w:hAnsi="Arial"/>
                <w:bCs/>
                <w:sz w:val="12"/>
                <w:szCs w:val="12"/>
                <w:lang w:val="fr-FR"/>
              </w:rPr>
              <w:t>2 193    00</w:t>
            </w:r>
          </w:p>
        </w:tc>
        <w:tc>
          <w:tcPr>
            <w:tcW w:w="641" w:type="dxa"/>
            <w:vAlign w:val="center"/>
            <w:hideMark/>
          </w:tcPr>
          <w:p w:rsidR="00791719" w:rsidRPr="00791719" w:rsidRDefault="00791719" w:rsidP="00791719">
            <w:pPr>
              <w:snapToGrid w:val="0"/>
              <w:spacing w:after="0"/>
              <w:jc w:val="right"/>
              <w:rPr>
                <w:rFonts w:ascii="Arial" w:eastAsia="Times New Roman" w:hAnsi="Arial"/>
                <w:bCs/>
                <w:sz w:val="12"/>
                <w:szCs w:val="12"/>
                <w:lang w:val="fr-FR"/>
              </w:rPr>
            </w:pPr>
            <w:r w:rsidRPr="00791719">
              <w:rPr>
                <w:rFonts w:ascii="Arial" w:eastAsia="Times New Roman" w:hAnsi="Arial"/>
                <w:bCs/>
                <w:sz w:val="12"/>
                <w:szCs w:val="12"/>
                <w:lang w:val="fr-FR"/>
              </w:rPr>
              <w:t>2 109</w:t>
            </w:r>
          </w:p>
        </w:tc>
        <w:tc>
          <w:tcPr>
            <w:tcW w:w="671" w:type="dxa"/>
            <w:vAlign w:val="center"/>
            <w:hideMark/>
          </w:tcPr>
          <w:p w:rsidR="00791719" w:rsidRPr="00791719" w:rsidRDefault="00791719" w:rsidP="00791719">
            <w:pPr>
              <w:snapToGrid w:val="0"/>
              <w:spacing w:after="0"/>
              <w:jc w:val="right"/>
              <w:rPr>
                <w:rFonts w:ascii="Arial" w:eastAsia="Times New Roman" w:hAnsi="Arial"/>
                <w:bCs/>
                <w:sz w:val="12"/>
                <w:szCs w:val="12"/>
                <w:lang w:val="fr-FR"/>
              </w:rPr>
            </w:pPr>
            <w:r w:rsidRPr="00791719">
              <w:rPr>
                <w:rFonts w:ascii="Arial" w:eastAsia="Times New Roman" w:hAnsi="Arial"/>
                <w:bCs/>
                <w:sz w:val="12"/>
                <w:szCs w:val="12"/>
                <w:lang w:val="fr-FR"/>
              </w:rPr>
              <w:t>2 066</w:t>
            </w:r>
          </w:p>
        </w:tc>
        <w:tc>
          <w:tcPr>
            <w:tcW w:w="646" w:type="dxa"/>
            <w:tcBorders>
              <w:top w:val="nil"/>
              <w:left w:val="nil"/>
              <w:bottom w:val="nil"/>
              <w:right w:val="single" w:sz="8" w:space="0" w:color="1F497D" w:themeColor="text2"/>
            </w:tcBorders>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2"/>
                <w:szCs w:val="12"/>
                <w:lang w:val="fr-FR"/>
              </w:rPr>
            </w:pPr>
            <w:r w:rsidRPr="00791719">
              <w:rPr>
                <w:rFonts w:ascii="Arial" w:eastAsia="Times New Roman" w:hAnsi="Arial"/>
                <w:bCs/>
                <w:sz w:val="12"/>
                <w:szCs w:val="12"/>
                <w:lang w:val="fr-FR"/>
              </w:rPr>
              <w:t>2 095</w:t>
            </w:r>
          </w:p>
        </w:tc>
        <w:tc>
          <w:tcPr>
            <w:tcW w:w="754"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2"/>
                <w:szCs w:val="12"/>
                <w:lang w:val="fr-FR"/>
              </w:rPr>
            </w:pPr>
            <w:r w:rsidRPr="00791719">
              <w:rPr>
                <w:rFonts w:ascii="Arial" w:eastAsia="Times New Roman" w:hAnsi="Arial"/>
                <w:bCs/>
                <w:sz w:val="12"/>
                <w:szCs w:val="12"/>
                <w:lang w:val="fr-FR"/>
              </w:rPr>
              <w:t>10 134</w:t>
            </w:r>
          </w:p>
        </w:tc>
        <w:tc>
          <w:tcPr>
            <w:tcW w:w="776" w:type="dxa"/>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2"/>
                <w:szCs w:val="12"/>
                <w:lang w:val="fr-FR"/>
              </w:rPr>
            </w:pPr>
            <w:r w:rsidRPr="00791719">
              <w:rPr>
                <w:rFonts w:ascii="Arial" w:eastAsia="Times New Roman" w:hAnsi="Arial"/>
                <w:bCs/>
                <w:sz w:val="12"/>
                <w:szCs w:val="12"/>
                <w:lang w:val="fr-FR"/>
              </w:rPr>
              <w:t>8 464</w:t>
            </w:r>
          </w:p>
        </w:tc>
      </w:tr>
      <w:tr w:rsidR="00791719" w:rsidRPr="00791719" w:rsidTr="00D24657">
        <w:trPr>
          <w:trHeight w:val="285"/>
        </w:trPr>
        <w:tc>
          <w:tcPr>
            <w:tcW w:w="3636" w:type="dxa"/>
            <w:tcBorders>
              <w:top w:val="nil"/>
              <w:left w:val="nil"/>
              <w:bottom w:val="nil"/>
              <w:right w:val="single" w:sz="8" w:space="0" w:color="1F497D" w:themeColor="text2"/>
            </w:tcBorders>
            <w:vAlign w:val="center"/>
            <w:hideMark/>
          </w:tcPr>
          <w:p w:rsidR="00791719" w:rsidRPr="00791719" w:rsidRDefault="00791719" w:rsidP="00791719">
            <w:pPr>
              <w:snapToGrid w:val="0"/>
              <w:spacing w:after="0"/>
              <w:rPr>
                <w:rFonts w:ascii="Arial" w:eastAsia="Times New Roman" w:hAnsi="Arial"/>
                <w:bCs/>
                <w:sz w:val="12"/>
                <w:szCs w:val="12"/>
                <w:lang w:val="fr-FR"/>
              </w:rPr>
            </w:pPr>
            <w:r w:rsidRPr="00791719">
              <w:rPr>
                <w:rFonts w:ascii="Arial" w:eastAsia="Times New Roman" w:hAnsi="Arial"/>
                <w:bCs/>
                <w:sz w:val="12"/>
                <w:szCs w:val="12"/>
                <w:lang w:val="fr-FR"/>
              </w:rPr>
              <w:t xml:space="preserve">     Charges d’intérêts</w:t>
            </w:r>
          </w:p>
        </w:tc>
        <w:tc>
          <w:tcPr>
            <w:tcW w:w="677"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2"/>
                <w:szCs w:val="12"/>
                <w:lang w:val="fr-FR"/>
              </w:rPr>
            </w:pPr>
            <w:r w:rsidRPr="00791719">
              <w:rPr>
                <w:rFonts w:ascii="Arial" w:eastAsia="Times New Roman" w:hAnsi="Arial"/>
                <w:bCs/>
                <w:sz w:val="12"/>
                <w:szCs w:val="12"/>
                <w:lang w:val="fr-FR"/>
              </w:rPr>
              <w:t>-1 434</w:t>
            </w:r>
          </w:p>
        </w:tc>
        <w:tc>
          <w:tcPr>
            <w:tcW w:w="713" w:type="dxa"/>
            <w:vAlign w:val="center"/>
            <w:hideMark/>
          </w:tcPr>
          <w:p w:rsidR="00791719" w:rsidRPr="00791719" w:rsidRDefault="00791719" w:rsidP="00791719">
            <w:pPr>
              <w:snapToGrid w:val="0"/>
              <w:spacing w:after="0"/>
              <w:jc w:val="right"/>
              <w:rPr>
                <w:rFonts w:ascii="Arial" w:eastAsia="Times New Roman" w:hAnsi="Arial"/>
                <w:bCs/>
                <w:sz w:val="12"/>
                <w:szCs w:val="12"/>
                <w:lang w:val="fr-FR"/>
              </w:rPr>
            </w:pPr>
            <w:r w:rsidRPr="00791719">
              <w:rPr>
                <w:rFonts w:ascii="Arial" w:eastAsia="Times New Roman" w:hAnsi="Arial"/>
                <w:bCs/>
                <w:sz w:val="12"/>
                <w:szCs w:val="12"/>
                <w:lang w:val="fr-FR"/>
              </w:rPr>
              <w:t>-1 374</w:t>
            </w:r>
          </w:p>
        </w:tc>
        <w:tc>
          <w:tcPr>
            <w:tcW w:w="606" w:type="dxa"/>
            <w:vAlign w:val="center"/>
            <w:hideMark/>
          </w:tcPr>
          <w:p w:rsidR="00791719" w:rsidRPr="00791719" w:rsidRDefault="00791719" w:rsidP="00791719">
            <w:pPr>
              <w:snapToGrid w:val="0"/>
              <w:spacing w:after="0"/>
              <w:jc w:val="right"/>
              <w:rPr>
                <w:rFonts w:ascii="Arial" w:eastAsia="Times New Roman" w:hAnsi="Arial"/>
                <w:bCs/>
                <w:sz w:val="12"/>
                <w:szCs w:val="12"/>
                <w:lang w:val="fr-FR"/>
              </w:rPr>
            </w:pPr>
            <w:r w:rsidRPr="00791719">
              <w:rPr>
                <w:rFonts w:ascii="Arial" w:eastAsia="Times New Roman" w:hAnsi="Arial"/>
                <w:bCs/>
                <w:sz w:val="12"/>
                <w:szCs w:val="12"/>
                <w:lang w:val="fr-FR"/>
              </w:rPr>
              <w:t>-1 396</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2"/>
                <w:szCs w:val="12"/>
                <w:lang w:val="fr-FR"/>
              </w:rPr>
            </w:pPr>
            <w:r w:rsidRPr="00791719">
              <w:rPr>
                <w:rFonts w:ascii="Arial" w:eastAsia="Times New Roman" w:hAnsi="Arial"/>
                <w:bCs/>
                <w:sz w:val="12"/>
                <w:szCs w:val="12"/>
                <w:lang w:val="fr-FR"/>
              </w:rPr>
              <w:t>-1 261</w:t>
            </w:r>
          </w:p>
        </w:tc>
        <w:tc>
          <w:tcPr>
            <w:tcW w:w="654" w:type="dxa"/>
            <w:vAlign w:val="center"/>
            <w:hideMark/>
          </w:tcPr>
          <w:p w:rsidR="00791719" w:rsidRPr="00791719" w:rsidRDefault="00791719" w:rsidP="00791719">
            <w:pPr>
              <w:keepNext/>
              <w:snapToGrid w:val="0"/>
              <w:spacing w:after="0"/>
              <w:ind w:right="-290"/>
              <w:jc w:val="right"/>
              <w:outlineLvl w:val="3"/>
              <w:rPr>
                <w:rFonts w:ascii="Arial" w:eastAsia="Times New Roman" w:hAnsi="Arial"/>
                <w:bCs/>
                <w:sz w:val="12"/>
                <w:szCs w:val="12"/>
                <w:lang w:val="fr-FR"/>
              </w:rPr>
            </w:pPr>
            <w:r w:rsidRPr="00791719">
              <w:rPr>
                <w:rFonts w:ascii="Arial" w:eastAsia="Times New Roman" w:hAnsi="Arial"/>
                <w:bCs/>
                <w:sz w:val="12"/>
                <w:szCs w:val="12"/>
                <w:lang w:val="fr-FR"/>
              </w:rPr>
              <w:t>-1 125    00</w:t>
            </w:r>
          </w:p>
        </w:tc>
        <w:tc>
          <w:tcPr>
            <w:tcW w:w="641" w:type="dxa"/>
            <w:vAlign w:val="center"/>
            <w:hideMark/>
          </w:tcPr>
          <w:p w:rsidR="00791719" w:rsidRPr="00791719" w:rsidRDefault="00791719" w:rsidP="00791719">
            <w:pPr>
              <w:snapToGrid w:val="0"/>
              <w:spacing w:after="0"/>
              <w:jc w:val="right"/>
              <w:rPr>
                <w:rFonts w:ascii="Arial" w:eastAsia="Times New Roman" w:hAnsi="Arial"/>
                <w:bCs/>
                <w:sz w:val="12"/>
                <w:szCs w:val="12"/>
                <w:lang w:val="fr-FR"/>
              </w:rPr>
            </w:pPr>
            <w:r w:rsidRPr="00791719">
              <w:rPr>
                <w:rFonts w:ascii="Arial" w:eastAsia="Times New Roman" w:hAnsi="Arial"/>
                <w:bCs/>
                <w:sz w:val="12"/>
                <w:szCs w:val="12"/>
                <w:lang w:val="fr-FR"/>
              </w:rPr>
              <w:t>-1 093</w:t>
            </w:r>
          </w:p>
        </w:tc>
        <w:tc>
          <w:tcPr>
            <w:tcW w:w="671" w:type="dxa"/>
            <w:vAlign w:val="center"/>
            <w:hideMark/>
          </w:tcPr>
          <w:p w:rsidR="00791719" w:rsidRPr="00791719" w:rsidRDefault="00791719" w:rsidP="00791719">
            <w:pPr>
              <w:snapToGrid w:val="0"/>
              <w:spacing w:after="0"/>
              <w:jc w:val="right"/>
              <w:rPr>
                <w:rFonts w:ascii="Arial" w:eastAsia="Times New Roman" w:hAnsi="Arial"/>
                <w:bCs/>
                <w:sz w:val="12"/>
                <w:szCs w:val="12"/>
                <w:lang w:val="fr-FR"/>
              </w:rPr>
            </w:pPr>
            <w:r w:rsidRPr="00791719">
              <w:rPr>
                <w:rFonts w:ascii="Arial" w:eastAsia="Times New Roman" w:hAnsi="Arial"/>
                <w:bCs/>
                <w:sz w:val="12"/>
                <w:szCs w:val="12"/>
                <w:lang w:val="fr-FR"/>
              </w:rPr>
              <w:t>-1 039</w:t>
            </w:r>
          </w:p>
        </w:tc>
        <w:tc>
          <w:tcPr>
            <w:tcW w:w="646" w:type="dxa"/>
            <w:tcBorders>
              <w:top w:val="nil"/>
              <w:left w:val="nil"/>
              <w:bottom w:val="nil"/>
              <w:right w:val="single" w:sz="8" w:space="0" w:color="1F497D" w:themeColor="text2"/>
            </w:tcBorders>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2"/>
                <w:szCs w:val="12"/>
                <w:lang w:val="fr-FR"/>
              </w:rPr>
            </w:pPr>
            <w:r w:rsidRPr="00791719">
              <w:rPr>
                <w:rFonts w:ascii="Arial" w:eastAsia="Times New Roman" w:hAnsi="Arial"/>
                <w:bCs/>
                <w:sz w:val="12"/>
                <w:szCs w:val="12"/>
                <w:lang w:val="fr-FR"/>
              </w:rPr>
              <w:t>-1 075</w:t>
            </w:r>
          </w:p>
        </w:tc>
        <w:tc>
          <w:tcPr>
            <w:tcW w:w="754"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2"/>
                <w:szCs w:val="12"/>
                <w:lang w:val="fr-FR"/>
              </w:rPr>
            </w:pPr>
            <w:r w:rsidRPr="00791719">
              <w:rPr>
                <w:rFonts w:ascii="Arial" w:eastAsia="Times New Roman" w:hAnsi="Arial"/>
                <w:bCs/>
                <w:sz w:val="12"/>
                <w:szCs w:val="12"/>
                <w:lang w:val="fr-FR"/>
              </w:rPr>
              <w:t>-5 465</w:t>
            </w:r>
          </w:p>
        </w:tc>
        <w:tc>
          <w:tcPr>
            <w:tcW w:w="776" w:type="dxa"/>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2"/>
                <w:szCs w:val="12"/>
                <w:lang w:val="fr-FR"/>
              </w:rPr>
            </w:pPr>
            <w:r w:rsidRPr="00791719">
              <w:rPr>
                <w:rFonts w:ascii="Arial" w:eastAsia="Times New Roman" w:hAnsi="Arial"/>
                <w:bCs/>
                <w:sz w:val="12"/>
                <w:szCs w:val="12"/>
                <w:lang w:val="fr-FR"/>
              </w:rPr>
              <w:t>-4 332</w:t>
            </w:r>
          </w:p>
        </w:tc>
      </w:tr>
      <w:tr w:rsidR="00791719" w:rsidRPr="00791719" w:rsidTr="00D24657">
        <w:trPr>
          <w:trHeight w:val="285"/>
        </w:trPr>
        <w:tc>
          <w:tcPr>
            <w:tcW w:w="3636" w:type="dxa"/>
            <w:tcBorders>
              <w:top w:val="nil"/>
              <w:left w:val="nil"/>
              <w:bottom w:val="nil"/>
              <w:right w:val="single" w:sz="8" w:space="0" w:color="1F497D" w:themeColor="text2"/>
            </w:tcBorders>
            <w:vAlign w:val="center"/>
            <w:hideMark/>
          </w:tcPr>
          <w:p w:rsidR="00791719" w:rsidRPr="00791719" w:rsidRDefault="00791719" w:rsidP="00791719">
            <w:pPr>
              <w:spacing w:after="0"/>
              <w:rPr>
                <w:rFonts w:ascii="Arial" w:eastAsia="Times New Roman" w:hAnsi="Arial" w:cs="Arial"/>
                <w:sz w:val="14"/>
                <w:szCs w:val="14"/>
                <w:lang w:val="fr-FR"/>
              </w:rPr>
            </w:pPr>
            <w:r w:rsidRPr="00791719">
              <w:rPr>
                <w:rFonts w:ascii="Arial" w:eastAsia="Times New Roman" w:hAnsi="Arial" w:cs="Arial"/>
                <w:sz w:val="14"/>
                <w:szCs w:val="14"/>
                <w:lang w:val="fr-FR"/>
              </w:rPr>
              <w:t>Assurance non-vie (avant réassurance)</w:t>
            </w:r>
          </w:p>
        </w:tc>
        <w:tc>
          <w:tcPr>
            <w:tcW w:w="677"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204</w:t>
            </w:r>
          </w:p>
        </w:tc>
        <w:tc>
          <w:tcPr>
            <w:tcW w:w="713"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200</w:t>
            </w:r>
          </w:p>
        </w:tc>
        <w:tc>
          <w:tcPr>
            <w:tcW w:w="606"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157</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61</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149</w:t>
            </w:r>
          </w:p>
        </w:tc>
        <w:tc>
          <w:tcPr>
            <w:tcW w:w="64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115</w:t>
            </w:r>
          </w:p>
        </w:tc>
        <w:tc>
          <w:tcPr>
            <w:tcW w:w="67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145</w:t>
            </w:r>
          </w:p>
        </w:tc>
        <w:tc>
          <w:tcPr>
            <w:tcW w:w="646" w:type="dxa"/>
            <w:tcBorders>
              <w:top w:val="nil"/>
              <w:left w:val="nil"/>
              <w:bottom w:val="nil"/>
              <w:right w:val="single" w:sz="8" w:space="0" w:color="1F497D" w:themeColor="text2"/>
            </w:tcBorders>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127</w:t>
            </w:r>
          </w:p>
        </w:tc>
        <w:tc>
          <w:tcPr>
            <w:tcW w:w="754"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622</w:t>
            </w:r>
          </w:p>
        </w:tc>
        <w:tc>
          <w:tcPr>
            <w:tcW w:w="776" w:type="dxa"/>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536</w:t>
            </w:r>
          </w:p>
        </w:tc>
      </w:tr>
      <w:tr w:rsidR="00791719" w:rsidRPr="00791719" w:rsidTr="00D24657">
        <w:trPr>
          <w:trHeight w:val="285"/>
        </w:trPr>
        <w:tc>
          <w:tcPr>
            <w:tcW w:w="3636" w:type="dxa"/>
            <w:tcBorders>
              <w:top w:val="nil"/>
              <w:left w:val="nil"/>
              <w:bottom w:val="nil"/>
              <w:right w:val="single" w:sz="8" w:space="0" w:color="1F497D" w:themeColor="text2"/>
            </w:tcBorders>
            <w:vAlign w:val="center"/>
            <w:hideMark/>
          </w:tcPr>
          <w:p w:rsidR="00791719" w:rsidRPr="00791719" w:rsidRDefault="00791719" w:rsidP="00791719">
            <w:pPr>
              <w:spacing w:after="0"/>
              <w:ind w:firstLineChars="400" w:firstLine="560"/>
              <w:rPr>
                <w:rFonts w:ascii="Arial" w:eastAsia="Times New Roman" w:hAnsi="Arial" w:cs="Arial"/>
                <w:i/>
                <w:iCs/>
                <w:sz w:val="14"/>
                <w:szCs w:val="14"/>
                <w:lang w:val="fr-FR"/>
              </w:rPr>
            </w:pPr>
            <w:r w:rsidRPr="00791719">
              <w:rPr>
                <w:rFonts w:ascii="Arial" w:eastAsia="Times New Roman" w:hAnsi="Arial" w:cs="Arial"/>
                <w:i/>
                <w:iCs/>
                <w:sz w:val="14"/>
                <w:szCs w:val="14"/>
                <w:lang w:val="fr-FR"/>
              </w:rPr>
              <w:t>Primes acquises</w:t>
            </w:r>
          </w:p>
        </w:tc>
        <w:tc>
          <w:tcPr>
            <w:tcW w:w="677"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438</w:t>
            </w:r>
          </w:p>
        </w:tc>
        <w:tc>
          <w:tcPr>
            <w:tcW w:w="713"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442</w:t>
            </w:r>
          </w:p>
        </w:tc>
        <w:tc>
          <w:tcPr>
            <w:tcW w:w="606"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307</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313</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305</w:t>
            </w:r>
          </w:p>
        </w:tc>
        <w:tc>
          <w:tcPr>
            <w:tcW w:w="64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316</w:t>
            </w:r>
          </w:p>
        </w:tc>
        <w:tc>
          <w:tcPr>
            <w:tcW w:w="67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321</w:t>
            </w:r>
          </w:p>
        </w:tc>
        <w:tc>
          <w:tcPr>
            <w:tcW w:w="646" w:type="dxa"/>
            <w:tcBorders>
              <w:top w:val="nil"/>
              <w:left w:val="nil"/>
              <w:bottom w:val="nil"/>
              <w:right w:val="single" w:sz="8" w:space="0" w:color="1F497D" w:themeColor="text2"/>
            </w:tcBorders>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317</w:t>
            </w:r>
          </w:p>
        </w:tc>
        <w:tc>
          <w:tcPr>
            <w:tcW w:w="754"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1 500</w:t>
            </w:r>
          </w:p>
        </w:tc>
        <w:tc>
          <w:tcPr>
            <w:tcW w:w="776" w:type="dxa"/>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1 259</w:t>
            </w:r>
          </w:p>
        </w:tc>
      </w:tr>
      <w:tr w:rsidR="00791719" w:rsidRPr="00791719" w:rsidTr="00D24657">
        <w:trPr>
          <w:trHeight w:val="285"/>
        </w:trPr>
        <w:tc>
          <w:tcPr>
            <w:tcW w:w="3636" w:type="dxa"/>
            <w:tcBorders>
              <w:top w:val="nil"/>
              <w:left w:val="nil"/>
              <w:bottom w:val="nil"/>
              <w:right w:val="single" w:sz="8" w:space="0" w:color="1F497D" w:themeColor="text2"/>
            </w:tcBorders>
            <w:vAlign w:val="center"/>
            <w:hideMark/>
          </w:tcPr>
          <w:p w:rsidR="00791719" w:rsidRPr="00791719" w:rsidRDefault="00791719" w:rsidP="00791719">
            <w:pPr>
              <w:spacing w:after="0"/>
              <w:ind w:firstLineChars="400" w:firstLine="560"/>
              <w:rPr>
                <w:rFonts w:ascii="Arial" w:eastAsia="Times New Roman" w:hAnsi="Arial" w:cs="Arial"/>
                <w:i/>
                <w:iCs/>
                <w:sz w:val="14"/>
                <w:szCs w:val="14"/>
                <w:lang w:val="fr-FR"/>
              </w:rPr>
            </w:pPr>
            <w:r w:rsidRPr="00791719">
              <w:rPr>
                <w:rFonts w:ascii="Arial" w:eastAsia="Times New Roman" w:hAnsi="Arial" w:cs="Arial"/>
                <w:i/>
                <w:iCs/>
                <w:sz w:val="14"/>
                <w:szCs w:val="14"/>
                <w:lang w:val="fr-FR"/>
              </w:rPr>
              <w:t>Charges techniques</w:t>
            </w:r>
          </w:p>
        </w:tc>
        <w:tc>
          <w:tcPr>
            <w:tcW w:w="677"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-234</w:t>
            </w:r>
          </w:p>
        </w:tc>
        <w:tc>
          <w:tcPr>
            <w:tcW w:w="713"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-243</w:t>
            </w:r>
          </w:p>
        </w:tc>
        <w:tc>
          <w:tcPr>
            <w:tcW w:w="606"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-150</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-252</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-156</w:t>
            </w:r>
          </w:p>
        </w:tc>
        <w:tc>
          <w:tcPr>
            <w:tcW w:w="64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-201</w:t>
            </w:r>
          </w:p>
        </w:tc>
        <w:tc>
          <w:tcPr>
            <w:tcW w:w="67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-176</w:t>
            </w:r>
          </w:p>
        </w:tc>
        <w:tc>
          <w:tcPr>
            <w:tcW w:w="646" w:type="dxa"/>
            <w:tcBorders>
              <w:top w:val="nil"/>
              <w:left w:val="nil"/>
              <w:bottom w:val="nil"/>
              <w:right w:val="single" w:sz="8" w:space="0" w:color="1F497D" w:themeColor="text2"/>
            </w:tcBorders>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-190</w:t>
            </w:r>
          </w:p>
        </w:tc>
        <w:tc>
          <w:tcPr>
            <w:tcW w:w="754"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-878</w:t>
            </w:r>
          </w:p>
        </w:tc>
        <w:tc>
          <w:tcPr>
            <w:tcW w:w="776" w:type="dxa"/>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-723</w:t>
            </w:r>
          </w:p>
        </w:tc>
      </w:tr>
      <w:tr w:rsidR="00791719" w:rsidRPr="00791719" w:rsidTr="00D24657">
        <w:trPr>
          <w:trHeight w:val="285"/>
        </w:trPr>
        <w:tc>
          <w:tcPr>
            <w:tcW w:w="3636" w:type="dxa"/>
            <w:tcBorders>
              <w:top w:val="nil"/>
              <w:left w:val="nil"/>
              <w:bottom w:val="nil"/>
              <w:right w:val="single" w:sz="8" w:space="0" w:color="1F497D" w:themeColor="text2"/>
            </w:tcBorders>
            <w:vAlign w:val="center"/>
            <w:hideMark/>
          </w:tcPr>
          <w:p w:rsidR="00791719" w:rsidRPr="00791719" w:rsidRDefault="00791719" w:rsidP="00791719">
            <w:pPr>
              <w:spacing w:after="0"/>
              <w:ind w:firstLineChars="400" w:firstLine="560"/>
              <w:rPr>
                <w:rFonts w:ascii="Arial" w:eastAsia="Times New Roman" w:hAnsi="Arial" w:cs="Arial"/>
                <w:i/>
                <w:iCs/>
                <w:sz w:val="14"/>
                <w:szCs w:val="14"/>
                <w:lang w:val="fr-FR"/>
              </w:rPr>
            </w:pPr>
            <w:r w:rsidRPr="00791719">
              <w:rPr>
                <w:rFonts w:ascii="Arial" w:eastAsia="Times New Roman" w:hAnsi="Arial" w:cs="Arial"/>
                <w:i/>
                <w:iCs/>
                <w:sz w:val="14"/>
                <w:szCs w:val="14"/>
                <w:lang w:val="fr-FR"/>
              </w:rPr>
              <w:t>Résultat de la réassurance cédée</w:t>
            </w:r>
          </w:p>
        </w:tc>
        <w:tc>
          <w:tcPr>
            <w:tcW w:w="677"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-14</w:t>
            </w:r>
          </w:p>
        </w:tc>
        <w:tc>
          <w:tcPr>
            <w:tcW w:w="713"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w:t>
            </w:r>
          </w:p>
        </w:tc>
        <w:tc>
          <w:tcPr>
            <w:tcW w:w="606"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-12</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13</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-12</w:t>
            </w:r>
          </w:p>
        </w:tc>
        <w:tc>
          <w:tcPr>
            <w:tcW w:w="64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13</w:t>
            </w:r>
          </w:p>
        </w:tc>
        <w:tc>
          <w:tcPr>
            <w:tcW w:w="67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w:t>
            </w:r>
          </w:p>
        </w:tc>
        <w:tc>
          <w:tcPr>
            <w:tcW w:w="646" w:type="dxa"/>
            <w:tcBorders>
              <w:top w:val="nil"/>
              <w:left w:val="nil"/>
              <w:bottom w:val="nil"/>
              <w:right w:val="single" w:sz="8" w:space="0" w:color="1F497D" w:themeColor="text2"/>
            </w:tcBorders>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-6</w:t>
            </w:r>
          </w:p>
        </w:tc>
        <w:tc>
          <w:tcPr>
            <w:tcW w:w="754"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-13</w:t>
            </w:r>
          </w:p>
        </w:tc>
        <w:tc>
          <w:tcPr>
            <w:tcW w:w="776" w:type="dxa"/>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-5</w:t>
            </w:r>
          </w:p>
        </w:tc>
      </w:tr>
      <w:tr w:rsidR="00791719" w:rsidRPr="00791719" w:rsidTr="00D24657">
        <w:trPr>
          <w:trHeight w:val="285"/>
        </w:trPr>
        <w:tc>
          <w:tcPr>
            <w:tcW w:w="3636" w:type="dxa"/>
            <w:tcBorders>
              <w:top w:val="nil"/>
              <w:left w:val="nil"/>
              <w:bottom w:val="nil"/>
              <w:right w:val="single" w:sz="8" w:space="0" w:color="1F497D" w:themeColor="text2"/>
            </w:tcBorders>
            <w:vAlign w:val="center"/>
            <w:hideMark/>
          </w:tcPr>
          <w:p w:rsidR="00791719" w:rsidRPr="00791719" w:rsidRDefault="00791719" w:rsidP="00791719">
            <w:pPr>
              <w:spacing w:after="0"/>
              <w:ind w:firstLineChars="400" w:firstLine="560"/>
              <w:rPr>
                <w:rFonts w:ascii="Arial" w:eastAsia="Times New Roman" w:hAnsi="Arial" w:cs="Arial"/>
                <w:i/>
                <w:iCs/>
                <w:sz w:val="14"/>
                <w:szCs w:val="14"/>
                <w:lang w:val="fr-FR"/>
              </w:rPr>
            </w:pPr>
            <w:r w:rsidRPr="00791719">
              <w:rPr>
                <w:rFonts w:ascii="Arial" w:eastAsia="Times New Roman" w:hAnsi="Arial" w:cs="Arial"/>
                <w:i/>
                <w:iCs/>
                <w:sz w:val="14"/>
                <w:szCs w:val="14"/>
                <w:lang w:val="fr-FR"/>
              </w:rPr>
              <w:t>Revenus de dividendes</w:t>
            </w:r>
          </w:p>
        </w:tc>
        <w:tc>
          <w:tcPr>
            <w:tcW w:w="677"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6</w:t>
            </w:r>
          </w:p>
        </w:tc>
        <w:tc>
          <w:tcPr>
            <w:tcW w:w="713"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21</w:t>
            </w:r>
          </w:p>
        </w:tc>
        <w:tc>
          <w:tcPr>
            <w:tcW w:w="606"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13</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5</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5</w:t>
            </w:r>
          </w:p>
        </w:tc>
        <w:tc>
          <w:tcPr>
            <w:tcW w:w="64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20</w:t>
            </w:r>
          </w:p>
        </w:tc>
        <w:tc>
          <w:tcPr>
            <w:tcW w:w="67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14</w:t>
            </w:r>
          </w:p>
        </w:tc>
        <w:tc>
          <w:tcPr>
            <w:tcW w:w="646" w:type="dxa"/>
            <w:tcBorders>
              <w:top w:val="nil"/>
              <w:left w:val="nil"/>
              <w:bottom w:val="nil"/>
              <w:right w:val="single" w:sz="8" w:space="0" w:color="1F497D" w:themeColor="text2"/>
            </w:tcBorders>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8</w:t>
            </w:r>
          </w:p>
        </w:tc>
        <w:tc>
          <w:tcPr>
            <w:tcW w:w="754"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45</w:t>
            </w:r>
          </w:p>
        </w:tc>
        <w:tc>
          <w:tcPr>
            <w:tcW w:w="776" w:type="dxa"/>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47</w:t>
            </w:r>
          </w:p>
        </w:tc>
      </w:tr>
      <w:tr w:rsidR="00791719" w:rsidRPr="00791719" w:rsidTr="00D24657">
        <w:trPr>
          <w:trHeight w:val="285"/>
        </w:trPr>
        <w:tc>
          <w:tcPr>
            <w:tcW w:w="3636" w:type="dxa"/>
            <w:tcBorders>
              <w:top w:val="nil"/>
              <w:left w:val="nil"/>
              <w:bottom w:val="nil"/>
              <w:right w:val="single" w:sz="8" w:space="0" w:color="1F497D" w:themeColor="text2"/>
            </w:tcBorders>
            <w:vAlign w:val="center"/>
            <w:hideMark/>
          </w:tcPr>
          <w:p w:rsidR="00791719" w:rsidRPr="00791719" w:rsidRDefault="00791719" w:rsidP="00791719">
            <w:pPr>
              <w:spacing w:after="0"/>
              <w:ind w:firstLineChars="400" w:firstLine="560"/>
              <w:rPr>
                <w:rFonts w:ascii="Arial" w:eastAsia="Times New Roman" w:hAnsi="Arial" w:cs="Arial"/>
                <w:i/>
                <w:iCs/>
                <w:sz w:val="14"/>
                <w:szCs w:val="14"/>
                <w:lang w:val="fr-FR"/>
              </w:rPr>
            </w:pPr>
            <w:r w:rsidRPr="00791719">
              <w:rPr>
                <w:rFonts w:ascii="Arial" w:eastAsia="Times New Roman" w:hAnsi="Arial" w:cs="Arial"/>
                <w:i/>
                <w:iCs/>
                <w:sz w:val="14"/>
                <w:szCs w:val="14"/>
                <w:lang w:val="fr-FR"/>
              </w:rPr>
              <w:t>Résultat net des instruments financiers à la</w:t>
            </w:r>
          </w:p>
          <w:p w:rsidR="00791719" w:rsidRPr="00791719" w:rsidRDefault="00791719" w:rsidP="00791719">
            <w:pPr>
              <w:spacing w:after="0"/>
              <w:ind w:firstLineChars="400" w:firstLine="560"/>
              <w:rPr>
                <w:rFonts w:ascii="Arial" w:eastAsia="Times New Roman" w:hAnsi="Arial" w:cs="Arial"/>
                <w:i/>
                <w:iCs/>
                <w:sz w:val="14"/>
                <w:szCs w:val="14"/>
                <w:lang w:val="fr-FR"/>
              </w:rPr>
            </w:pPr>
            <w:r w:rsidRPr="00791719">
              <w:rPr>
                <w:rFonts w:ascii="Arial" w:eastAsia="Times New Roman" w:hAnsi="Arial" w:cs="Arial"/>
                <w:i/>
                <w:iCs/>
                <w:sz w:val="14"/>
                <w:szCs w:val="14"/>
                <w:lang w:val="fr-FR"/>
              </w:rPr>
              <w:t xml:space="preserve"> juste valeur par le biais du compte de résultat</w:t>
            </w:r>
          </w:p>
        </w:tc>
        <w:tc>
          <w:tcPr>
            <w:tcW w:w="677"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60</w:t>
            </w:r>
          </w:p>
        </w:tc>
        <w:tc>
          <w:tcPr>
            <w:tcW w:w="713"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43</w:t>
            </w:r>
          </w:p>
        </w:tc>
        <w:tc>
          <w:tcPr>
            <w:tcW w:w="606"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275</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42</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314</w:t>
            </w:r>
          </w:p>
        </w:tc>
        <w:tc>
          <w:tcPr>
            <w:tcW w:w="64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425</w:t>
            </w:r>
          </w:p>
        </w:tc>
        <w:tc>
          <w:tcPr>
            <w:tcW w:w="67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223</w:t>
            </w:r>
          </w:p>
        </w:tc>
        <w:tc>
          <w:tcPr>
            <w:tcW w:w="646" w:type="dxa"/>
            <w:tcBorders>
              <w:top w:val="nil"/>
              <w:left w:val="nil"/>
              <w:bottom w:val="nil"/>
              <w:right w:val="single" w:sz="8" w:space="0" w:color="1F497D" w:themeColor="text2"/>
            </w:tcBorders>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229</w:t>
            </w:r>
          </w:p>
        </w:tc>
        <w:tc>
          <w:tcPr>
            <w:tcW w:w="754"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420</w:t>
            </w:r>
          </w:p>
        </w:tc>
        <w:tc>
          <w:tcPr>
            <w:tcW w:w="776" w:type="dxa"/>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1 191</w:t>
            </w:r>
          </w:p>
        </w:tc>
      </w:tr>
      <w:tr w:rsidR="00791719" w:rsidRPr="00791719" w:rsidTr="00D24657">
        <w:trPr>
          <w:trHeight w:val="285"/>
        </w:trPr>
        <w:tc>
          <w:tcPr>
            <w:tcW w:w="3636" w:type="dxa"/>
            <w:tcBorders>
              <w:top w:val="nil"/>
              <w:left w:val="nil"/>
              <w:bottom w:val="nil"/>
              <w:right w:val="single" w:sz="8" w:space="0" w:color="1F497D" w:themeColor="text2"/>
            </w:tcBorders>
            <w:vAlign w:val="center"/>
            <w:hideMark/>
          </w:tcPr>
          <w:p w:rsidR="00791719" w:rsidRPr="00791719" w:rsidRDefault="00791719" w:rsidP="00791719">
            <w:pPr>
              <w:spacing w:after="0"/>
              <w:ind w:firstLineChars="400" w:firstLine="560"/>
              <w:rPr>
                <w:rFonts w:ascii="Arial" w:eastAsia="Times New Roman" w:hAnsi="Arial" w:cs="Arial"/>
                <w:i/>
                <w:iCs/>
                <w:sz w:val="14"/>
                <w:szCs w:val="14"/>
                <w:lang w:val="fr-FR"/>
              </w:rPr>
            </w:pPr>
            <w:r w:rsidRPr="00791719">
              <w:rPr>
                <w:rFonts w:ascii="Arial" w:eastAsia="Times New Roman" w:hAnsi="Arial" w:cs="Arial"/>
                <w:i/>
                <w:iCs/>
                <w:sz w:val="14"/>
                <w:szCs w:val="14"/>
                <w:lang w:val="fr-FR"/>
              </w:rPr>
              <w:t xml:space="preserve">Résultat net réalisé sur des actifs disponibles </w:t>
            </w:r>
          </w:p>
          <w:p w:rsidR="00791719" w:rsidRPr="00791719" w:rsidRDefault="00791719" w:rsidP="00791719">
            <w:pPr>
              <w:spacing w:after="0"/>
              <w:ind w:firstLineChars="400" w:firstLine="560"/>
              <w:rPr>
                <w:rFonts w:ascii="Arial" w:eastAsia="Times New Roman" w:hAnsi="Arial" w:cs="Arial"/>
                <w:i/>
                <w:iCs/>
                <w:sz w:val="14"/>
                <w:szCs w:val="14"/>
                <w:lang w:val="fr-FR"/>
              </w:rPr>
            </w:pPr>
            <w:r w:rsidRPr="00791719">
              <w:rPr>
                <w:rFonts w:ascii="Arial" w:eastAsia="Times New Roman" w:hAnsi="Arial" w:cs="Arial"/>
                <w:i/>
                <w:iCs/>
                <w:sz w:val="14"/>
                <w:szCs w:val="14"/>
                <w:lang w:val="fr-FR"/>
              </w:rPr>
              <w:t>à la vente</w:t>
            </w:r>
          </w:p>
        </w:tc>
        <w:tc>
          <w:tcPr>
            <w:tcW w:w="677"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32</w:t>
            </w:r>
          </w:p>
        </w:tc>
        <w:tc>
          <w:tcPr>
            <w:tcW w:w="713"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9</w:t>
            </w:r>
          </w:p>
        </w:tc>
        <w:tc>
          <w:tcPr>
            <w:tcW w:w="606"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56</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85</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142</w:t>
            </w:r>
          </w:p>
        </w:tc>
        <w:tc>
          <w:tcPr>
            <w:tcW w:w="64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47</w:t>
            </w:r>
          </w:p>
        </w:tc>
        <w:tc>
          <w:tcPr>
            <w:tcW w:w="67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34</w:t>
            </w:r>
          </w:p>
        </w:tc>
        <w:tc>
          <w:tcPr>
            <w:tcW w:w="646" w:type="dxa"/>
            <w:tcBorders>
              <w:top w:val="nil"/>
              <w:left w:val="nil"/>
              <w:bottom w:val="nil"/>
              <w:right w:val="single" w:sz="8" w:space="0" w:color="1F497D" w:themeColor="text2"/>
            </w:tcBorders>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29</w:t>
            </w:r>
          </w:p>
        </w:tc>
        <w:tc>
          <w:tcPr>
            <w:tcW w:w="754"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181</w:t>
            </w:r>
          </w:p>
        </w:tc>
        <w:tc>
          <w:tcPr>
            <w:tcW w:w="776" w:type="dxa"/>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252</w:t>
            </w:r>
          </w:p>
        </w:tc>
      </w:tr>
      <w:tr w:rsidR="00791719" w:rsidRPr="00791719" w:rsidTr="00D24657">
        <w:trPr>
          <w:trHeight w:val="285"/>
        </w:trPr>
        <w:tc>
          <w:tcPr>
            <w:tcW w:w="3636" w:type="dxa"/>
            <w:tcBorders>
              <w:top w:val="nil"/>
              <w:left w:val="nil"/>
              <w:bottom w:val="nil"/>
              <w:right w:val="single" w:sz="8" w:space="0" w:color="1F497D" w:themeColor="text2"/>
            </w:tcBorders>
            <w:vAlign w:val="center"/>
            <w:hideMark/>
          </w:tcPr>
          <w:p w:rsidR="00791719" w:rsidRPr="00791719" w:rsidRDefault="00791719" w:rsidP="00791719">
            <w:pPr>
              <w:spacing w:after="0"/>
              <w:ind w:firstLineChars="400" w:firstLine="560"/>
              <w:rPr>
                <w:rFonts w:ascii="Arial" w:eastAsia="Times New Roman" w:hAnsi="Arial" w:cs="Arial"/>
                <w:i/>
                <w:iCs/>
                <w:sz w:val="14"/>
                <w:szCs w:val="14"/>
                <w:lang w:val="fr-FR"/>
              </w:rPr>
            </w:pPr>
            <w:r w:rsidRPr="00791719">
              <w:rPr>
                <w:rFonts w:ascii="Arial" w:eastAsia="Times New Roman" w:hAnsi="Arial" w:cs="Arial"/>
                <w:i/>
                <w:iCs/>
                <w:sz w:val="14"/>
                <w:szCs w:val="14"/>
                <w:lang w:val="fr-FR"/>
              </w:rPr>
              <w:t>Revenus nets de commissions</w:t>
            </w:r>
          </w:p>
        </w:tc>
        <w:tc>
          <w:tcPr>
            <w:tcW w:w="677"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304</w:t>
            </w:r>
          </w:p>
        </w:tc>
        <w:tc>
          <w:tcPr>
            <w:tcW w:w="713"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309</w:t>
            </w:r>
          </w:p>
        </w:tc>
        <w:tc>
          <w:tcPr>
            <w:tcW w:w="606"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343</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360</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393</w:t>
            </w:r>
          </w:p>
        </w:tc>
        <w:tc>
          <w:tcPr>
            <w:tcW w:w="64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385</w:t>
            </w:r>
          </w:p>
        </w:tc>
        <w:tc>
          <w:tcPr>
            <w:tcW w:w="67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340</w:t>
            </w:r>
          </w:p>
        </w:tc>
        <w:tc>
          <w:tcPr>
            <w:tcW w:w="646" w:type="dxa"/>
            <w:tcBorders>
              <w:top w:val="nil"/>
              <w:left w:val="nil"/>
              <w:bottom w:val="nil"/>
              <w:right w:val="single" w:sz="8" w:space="0" w:color="1F497D" w:themeColor="text2"/>
            </w:tcBorders>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366</w:t>
            </w:r>
          </w:p>
        </w:tc>
        <w:tc>
          <w:tcPr>
            <w:tcW w:w="754"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1 315</w:t>
            </w:r>
          </w:p>
        </w:tc>
        <w:tc>
          <w:tcPr>
            <w:tcW w:w="776" w:type="dxa"/>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1 484</w:t>
            </w:r>
          </w:p>
        </w:tc>
      </w:tr>
      <w:tr w:rsidR="00791719" w:rsidRPr="00791719" w:rsidTr="00D24657">
        <w:trPr>
          <w:trHeight w:val="285"/>
        </w:trPr>
        <w:tc>
          <w:tcPr>
            <w:tcW w:w="3636" w:type="dxa"/>
            <w:tcBorders>
              <w:top w:val="nil"/>
              <w:left w:val="nil"/>
              <w:bottom w:val="nil"/>
              <w:right w:val="single" w:sz="8" w:space="0" w:color="1F497D" w:themeColor="text2"/>
            </w:tcBorders>
            <w:vAlign w:val="center"/>
            <w:hideMark/>
          </w:tcPr>
          <w:p w:rsidR="00791719" w:rsidRPr="00791719" w:rsidRDefault="00791719" w:rsidP="00791719">
            <w:pPr>
              <w:spacing w:after="0"/>
              <w:ind w:firstLineChars="400" w:firstLine="560"/>
              <w:rPr>
                <w:rFonts w:ascii="Arial" w:eastAsia="Times New Roman" w:hAnsi="Arial" w:cs="Arial"/>
                <w:i/>
                <w:iCs/>
                <w:sz w:val="14"/>
                <w:szCs w:val="14"/>
                <w:lang w:val="fr-FR"/>
              </w:rPr>
            </w:pPr>
            <w:r w:rsidRPr="00791719">
              <w:rPr>
                <w:rFonts w:ascii="Arial" w:eastAsia="Times New Roman" w:hAnsi="Arial" w:cs="Arial"/>
                <w:i/>
                <w:iCs/>
                <w:sz w:val="14"/>
                <w:szCs w:val="14"/>
                <w:lang w:val="fr-FR"/>
              </w:rPr>
              <w:t xml:space="preserve">     Revenus de frais et commissions</w:t>
            </w:r>
          </w:p>
        </w:tc>
        <w:tc>
          <w:tcPr>
            <w:tcW w:w="677"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492</w:t>
            </w:r>
          </w:p>
        </w:tc>
        <w:tc>
          <w:tcPr>
            <w:tcW w:w="713"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479</w:t>
            </w:r>
          </w:p>
        </w:tc>
        <w:tc>
          <w:tcPr>
            <w:tcW w:w="606"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494</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541</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 xml:space="preserve">641     </w:t>
            </w:r>
          </w:p>
        </w:tc>
        <w:tc>
          <w:tcPr>
            <w:tcW w:w="64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565</w:t>
            </w:r>
          </w:p>
        </w:tc>
        <w:tc>
          <w:tcPr>
            <w:tcW w:w="67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512</w:t>
            </w:r>
          </w:p>
        </w:tc>
        <w:tc>
          <w:tcPr>
            <w:tcW w:w="646" w:type="dxa"/>
            <w:tcBorders>
              <w:top w:val="nil"/>
              <w:left w:val="nil"/>
              <w:bottom w:val="nil"/>
              <w:right w:val="single" w:sz="8" w:space="0" w:color="1F497D" w:themeColor="text2"/>
            </w:tcBorders>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569</w:t>
            </w:r>
          </w:p>
        </w:tc>
        <w:tc>
          <w:tcPr>
            <w:tcW w:w="754"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2 005</w:t>
            </w:r>
          </w:p>
        </w:tc>
        <w:tc>
          <w:tcPr>
            <w:tcW w:w="776" w:type="dxa"/>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2 286</w:t>
            </w:r>
          </w:p>
        </w:tc>
      </w:tr>
      <w:tr w:rsidR="00791719" w:rsidRPr="00791719" w:rsidTr="00D24657">
        <w:trPr>
          <w:trHeight w:val="285"/>
        </w:trPr>
        <w:tc>
          <w:tcPr>
            <w:tcW w:w="3636" w:type="dxa"/>
            <w:tcBorders>
              <w:top w:val="nil"/>
              <w:left w:val="nil"/>
              <w:bottom w:val="nil"/>
              <w:right w:val="single" w:sz="8" w:space="0" w:color="1F497D" w:themeColor="text2"/>
            </w:tcBorders>
            <w:vAlign w:val="center"/>
            <w:hideMark/>
          </w:tcPr>
          <w:p w:rsidR="00791719" w:rsidRPr="00791719" w:rsidRDefault="00791719" w:rsidP="00791719">
            <w:pPr>
              <w:spacing w:after="0"/>
              <w:ind w:firstLineChars="400" w:firstLine="560"/>
              <w:rPr>
                <w:rFonts w:ascii="Arial" w:eastAsia="Times New Roman" w:hAnsi="Arial" w:cs="Arial"/>
                <w:i/>
                <w:iCs/>
                <w:sz w:val="14"/>
                <w:szCs w:val="14"/>
                <w:lang w:val="fr-FR"/>
              </w:rPr>
            </w:pPr>
            <w:r w:rsidRPr="00791719">
              <w:rPr>
                <w:rFonts w:ascii="Arial" w:eastAsia="Times New Roman" w:hAnsi="Arial" w:cs="Arial"/>
                <w:i/>
                <w:iCs/>
                <w:sz w:val="14"/>
                <w:szCs w:val="14"/>
                <w:lang w:val="fr-FR"/>
              </w:rPr>
              <w:t xml:space="preserve">     Charges de frais et commissions</w:t>
            </w:r>
          </w:p>
        </w:tc>
        <w:tc>
          <w:tcPr>
            <w:tcW w:w="677"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-188</w:t>
            </w:r>
          </w:p>
        </w:tc>
        <w:tc>
          <w:tcPr>
            <w:tcW w:w="713"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-170</w:t>
            </w:r>
          </w:p>
        </w:tc>
        <w:tc>
          <w:tcPr>
            <w:tcW w:w="606"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-151</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-181</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 xml:space="preserve">-248     </w:t>
            </w:r>
          </w:p>
        </w:tc>
        <w:tc>
          <w:tcPr>
            <w:tcW w:w="64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-180</w:t>
            </w:r>
          </w:p>
        </w:tc>
        <w:tc>
          <w:tcPr>
            <w:tcW w:w="67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-171</w:t>
            </w:r>
          </w:p>
        </w:tc>
        <w:tc>
          <w:tcPr>
            <w:tcW w:w="646" w:type="dxa"/>
            <w:tcBorders>
              <w:top w:val="nil"/>
              <w:left w:val="nil"/>
              <w:bottom w:val="nil"/>
              <w:right w:val="single" w:sz="8" w:space="0" w:color="1F497D" w:themeColor="text2"/>
            </w:tcBorders>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-203</w:t>
            </w:r>
          </w:p>
        </w:tc>
        <w:tc>
          <w:tcPr>
            <w:tcW w:w="754"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-690</w:t>
            </w:r>
          </w:p>
        </w:tc>
        <w:tc>
          <w:tcPr>
            <w:tcW w:w="776" w:type="dxa"/>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-802</w:t>
            </w:r>
          </w:p>
        </w:tc>
      </w:tr>
      <w:tr w:rsidR="00791719" w:rsidRPr="00791719" w:rsidTr="00D24657">
        <w:trPr>
          <w:trHeight w:val="285"/>
        </w:trPr>
        <w:tc>
          <w:tcPr>
            <w:tcW w:w="3636" w:type="dxa"/>
            <w:tcBorders>
              <w:top w:val="nil"/>
              <w:left w:val="nil"/>
              <w:bottom w:val="nil"/>
              <w:right w:val="single" w:sz="8" w:space="0" w:color="1F497D" w:themeColor="text2"/>
            </w:tcBorders>
            <w:vAlign w:val="center"/>
            <w:hideMark/>
          </w:tcPr>
          <w:p w:rsidR="00791719" w:rsidRPr="00791719" w:rsidRDefault="00791719" w:rsidP="00791719">
            <w:pPr>
              <w:spacing w:after="0"/>
              <w:ind w:firstLineChars="400" w:firstLine="560"/>
              <w:rPr>
                <w:rFonts w:ascii="Arial" w:eastAsia="Times New Roman" w:hAnsi="Arial" w:cs="Arial"/>
                <w:i/>
                <w:iCs/>
                <w:sz w:val="14"/>
                <w:szCs w:val="14"/>
                <w:lang w:val="fr-FR"/>
              </w:rPr>
            </w:pPr>
            <w:r w:rsidRPr="00791719">
              <w:rPr>
                <w:rFonts w:ascii="Arial" w:eastAsia="Times New Roman" w:hAnsi="Arial" w:cs="Arial"/>
                <w:i/>
                <w:iCs/>
                <w:sz w:val="14"/>
                <w:szCs w:val="14"/>
                <w:lang w:val="fr-FR"/>
              </w:rPr>
              <w:t>Autres revenus nets</w:t>
            </w:r>
          </w:p>
        </w:tc>
        <w:tc>
          <w:tcPr>
            <w:tcW w:w="677"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73</w:t>
            </w:r>
          </w:p>
        </w:tc>
        <w:tc>
          <w:tcPr>
            <w:tcW w:w="713"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368</w:t>
            </w:r>
          </w:p>
        </w:tc>
        <w:tc>
          <w:tcPr>
            <w:tcW w:w="606"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106</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187</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76</w:t>
            </w:r>
          </w:p>
        </w:tc>
        <w:tc>
          <w:tcPr>
            <w:tcW w:w="64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-20</w:t>
            </w:r>
          </w:p>
        </w:tc>
        <w:tc>
          <w:tcPr>
            <w:tcW w:w="67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51</w:t>
            </w:r>
          </w:p>
        </w:tc>
        <w:tc>
          <w:tcPr>
            <w:tcW w:w="646" w:type="dxa"/>
            <w:tcBorders>
              <w:top w:val="nil"/>
              <w:left w:val="nil"/>
              <w:bottom w:val="nil"/>
              <w:right w:val="single" w:sz="8" w:space="0" w:color="1F497D" w:themeColor="text2"/>
            </w:tcBorders>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15</w:t>
            </w:r>
          </w:p>
        </w:tc>
        <w:tc>
          <w:tcPr>
            <w:tcW w:w="754"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734</w:t>
            </w:r>
          </w:p>
        </w:tc>
        <w:tc>
          <w:tcPr>
            <w:tcW w:w="776" w:type="dxa"/>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123</w:t>
            </w:r>
          </w:p>
        </w:tc>
      </w:tr>
      <w:tr w:rsidR="00791719" w:rsidRPr="00791719" w:rsidTr="00D24657">
        <w:trPr>
          <w:trHeight w:val="285"/>
        </w:trPr>
        <w:tc>
          <w:tcPr>
            <w:tcW w:w="3636" w:type="dxa"/>
            <w:tcBorders>
              <w:top w:val="nil"/>
              <w:left w:val="nil"/>
              <w:bottom w:val="nil"/>
              <w:right w:val="single" w:sz="8" w:space="0" w:color="1F497D" w:themeColor="text2"/>
            </w:tcBorders>
            <w:vAlign w:val="center"/>
            <w:hideMark/>
          </w:tcPr>
          <w:p w:rsidR="00791719" w:rsidRPr="00791719" w:rsidRDefault="00791719" w:rsidP="00791719">
            <w:pPr>
              <w:spacing w:after="0"/>
              <w:ind w:firstLineChars="400" w:firstLine="560"/>
              <w:rPr>
                <w:rFonts w:ascii="Arial" w:eastAsia="Times New Roman" w:hAnsi="Arial" w:cs="Arial"/>
                <w:i/>
                <w:iCs/>
                <w:sz w:val="14"/>
                <w:szCs w:val="14"/>
                <w:lang w:val="fr-FR"/>
              </w:rPr>
            </w:pPr>
            <w:r w:rsidRPr="00791719">
              <w:rPr>
                <w:rFonts w:ascii="Arial" w:eastAsia="Times New Roman" w:hAnsi="Arial" w:cs="Arial"/>
                <w:i/>
                <w:iCs/>
                <w:sz w:val="14"/>
                <w:szCs w:val="14"/>
                <w:lang w:val="fr-FR"/>
              </w:rPr>
              <w:t>Revenu total</w:t>
            </w:r>
          </w:p>
        </w:tc>
        <w:tc>
          <w:tcPr>
            <w:tcW w:w="677"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1 853</w:t>
            </w:r>
          </w:p>
        </w:tc>
        <w:tc>
          <w:tcPr>
            <w:tcW w:w="713"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2 072</w:t>
            </w:r>
          </w:p>
        </w:tc>
        <w:tc>
          <w:tcPr>
            <w:tcW w:w="606"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1 954</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1 854</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2 076</w:t>
            </w:r>
          </w:p>
        </w:tc>
        <w:tc>
          <w:tcPr>
            <w:tcW w:w="64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1 938</w:t>
            </w:r>
          </w:p>
        </w:tc>
        <w:tc>
          <w:tcPr>
            <w:tcW w:w="67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1 772</w:t>
            </w:r>
          </w:p>
        </w:tc>
        <w:tc>
          <w:tcPr>
            <w:tcW w:w="646" w:type="dxa"/>
            <w:tcBorders>
              <w:top w:val="nil"/>
              <w:left w:val="nil"/>
              <w:bottom w:val="nil"/>
              <w:right w:val="single" w:sz="8" w:space="0" w:color="1F497D" w:themeColor="text2"/>
            </w:tcBorders>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1 731</w:t>
            </w:r>
          </w:p>
        </w:tc>
        <w:tc>
          <w:tcPr>
            <w:tcW w:w="754"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7 733</w:t>
            </w:r>
          </w:p>
        </w:tc>
        <w:tc>
          <w:tcPr>
            <w:tcW w:w="776" w:type="dxa"/>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7 517</w:t>
            </w:r>
          </w:p>
        </w:tc>
      </w:tr>
      <w:tr w:rsidR="00791719" w:rsidRPr="00791719" w:rsidTr="00D24657">
        <w:trPr>
          <w:trHeight w:val="285"/>
        </w:trPr>
        <w:tc>
          <w:tcPr>
            <w:tcW w:w="3636" w:type="dxa"/>
            <w:tcBorders>
              <w:top w:val="nil"/>
              <w:left w:val="nil"/>
              <w:bottom w:val="nil"/>
              <w:right w:val="single" w:sz="8" w:space="0" w:color="1F497D" w:themeColor="text2"/>
            </w:tcBorders>
            <w:vAlign w:val="center"/>
            <w:hideMark/>
          </w:tcPr>
          <w:p w:rsidR="00791719" w:rsidRPr="00791719" w:rsidRDefault="00791719" w:rsidP="00791719">
            <w:pPr>
              <w:spacing w:after="0"/>
              <w:ind w:firstLineChars="400" w:firstLine="560"/>
              <w:rPr>
                <w:rFonts w:ascii="Arial" w:eastAsia="Times New Roman" w:hAnsi="Arial" w:cs="Arial"/>
                <w:i/>
                <w:iCs/>
                <w:sz w:val="14"/>
                <w:szCs w:val="14"/>
                <w:lang w:val="fr-FR"/>
              </w:rPr>
            </w:pPr>
            <w:r w:rsidRPr="00791719">
              <w:rPr>
                <w:rFonts w:ascii="Arial" w:eastAsia="Times New Roman" w:hAnsi="Arial" w:cs="Arial"/>
                <w:i/>
                <w:iCs/>
                <w:sz w:val="14"/>
                <w:szCs w:val="14"/>
                <w:lang w:val="fr-FR"/>
              </w:rPr>
              <w:t>Charges d'exploitation</w:t>
            </w:r>
          </w:p>
        </w:tc>
        <w:tc>
          <w:tcPr>
            <w:tcW w:w="677"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-1 132</w:t>
            </w:r>
          </w:p>
        </w:tc>
        <w:tc>
          <w:tcPr>
            <w:tcW w:w="713"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-1 033</w:t>
            </w:r>
          </w:p>
        </w:tc>
        <w:tc>
          <w:tcPr>
            <w:tcW w:w="606"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-1 003</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-1 081</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-1 039</w:t>
            </w:r>
          </w:p>
        </w:tc>
        <w:tc>
          <w:tcPr>
            <w:tcW w:w="64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-931</w:t>
            </w:r>
          </w:p>
        </w:tc>
        <w:tc>
          <w:tcPr>
            <w:tcW w:w="67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-925</w:t>
            </w:r>
          </w:p>
        </w:tc>
        <w:tc>
          <w:tcPr>
            <w:tcW w:w="646" w:type="dxa"/>
            <w:tcBorders>
              <w:top w:val="nil"/>
              <w:left w:val="nil"/>
              <w:bottom w:val="nil"/>
              <w:right w:val="single" w:sz="8" w:space="0" w:color="1F497D" w:themeColor="text2"/>
            </w:tcBorders>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-976</w:t>
            </w:r>
          </w:p>
        </w:tc>
        <w:tc>
          <w:tcPr>
            <w:tcW w:w="754"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-4 248</w:t>
            </w:r>
          </w:p>
        </w:tc>
        <w:tc>
          <w:tcPr>
            <w:tcW w:w="776" w:type="dxa"/>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-3 871</w:t>
            </w:r>
          </w:p>
        </w:tc>
      </w:tr>
      <w:tr w:rsidR="00791719" w:rsidRPr="00791719" w:rsidTr="00D24657">
        <w:trPr>
          <w:trHeight w:val="285"/>
        </w:trPr>
        <w:tc>
          <w:tcPr>
            <w:tcW w:w="3636" w:type="dxa"/>
            <w:tcBorders>
              <w:top w:val="nil"/>
              <w:left w:val="nil"/>
              <w:bottom w:val="nil"/>
              <w:right w:val="single" w:sz="8" w:space="0" w:color="1F497D" w:themeColor="text2"/>
            </w:tcBorders>
            <w:vAlign w:val="center"/>
            <w:hideMark/>
          </w:tcPr>
          <w:p w:rsidR="00791719" w:rsidRPr="00791719" w:rsidRDefault="00791719" w:rsidP="00791719">
            <w:pPr>
              <w:spacing w:after="0"/>
              <w:ind w:firstLineChars="400" w:firstLine="560"/>
              <w:rPr>
                <w:rFonts w:ascii="Arial" w:eastAsia="Times New Roman" w:hAnsi="Arial" w:cs="Arial"/>
                <w:i/>
                <w:iCs/>
                <w:sz w:val="14"/>
                <w:szCs w:val="14"/>
                <w:lang w:val="fr-FR"/>
              </w:rPr>
            </w:pPr>
            <w:r w:rsidRPr="00791719">
              <w:rPr>
                <w:rFonts w:ascii="Arial" w:eastAsia="Times New Roman" w:hAnsi="Arial" w:cs="Arial"/>
                <w:i/>
                <w:iCs/>
                <w:sz w:val="14"/>
                <w:szCs w:val="14"/>
                <w:lang w:val="fr-FR"/>
              </w:rPr>
              <w:t>Réductions de valeur :</w:t>
            </w:r>
          </w:p>
        </w:tc>
        <w:tc>
          <w:tcPr>
            <w:tcW w:w="677"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-273</w:t>
            </w:r>
          </w:p>
        </w:tc>
        <w:tc>
          <w:tcPr>
            <w:tcW w:w="713"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-1 473</w:t>
            </w:r>
          </w:p>
        </w:tc>
        <w:tc>
          <w:tcPr>
            <w:tcW w:w="606"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-302</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-463</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-352</w:t>
            </w:r>
          </w:p>
        </w:tc>
        <w:tc>
          <w:tcPr>
            <w:tcW w:w="64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-276</w:t>
            </w:r>
          </w:p>
        </w:tc>
        <w:tc>
          <w:tcPr>
            <w:tcW w:w="67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-363</w:t>
            </w:r>
          </w:p>
        </w:tc>
        <w:tc>
          <w:tcPr>
            <w:tcW w:w="646" w:type="dxa"/>
            <w:tcBorders>
              <w:top w:val="nil"/>
              <w:left w:val="nil"/>
              <w:bottom w:val="nil"/>
              <w:right w:val="single" w:sz="8" w:space="0" w:color="1F497D" w:themeColor="text2"/>
            </w:tcBorders>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-942</w:t>
            </w:r>
          </w:p>
        </w:tc>
        <w:tc>
          <w:tcPr>
            <w:tcW w:w="754"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-2 511</w:t>
            </w:r>
          </w:p>
        </w:tc>
        <w:tc>
          <w:tcPr>
            <w:tcW w:w="776" w:type="dxa"/>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-1 933</w:t>
            </w:r>
          </w:p>
        </w:tc>
      </w:tr>
      <w:tr w:rsidR="00791719" w:rsidRPr="00791719" w:rsidTr="00D24657">
        <w:trPr>
          <w:trHeight w:val="285"/>
        </w:trPr>
        <w:tc>
          <w:tcPr>
            <w:tcW w:w="3636" w:type="dxa"/>
            <w:tcBorders>
              <w:top w:val="nil"/>
              <w:left w:val="nil"/>
              <w:bottom w:val="nil"/>
              <w:right w:val="single" w:sz="8" w:space="0" w:color="1F497D" w:themeColor="text2"/>
            </w:tcBorders>
            <w:vAlign w:val="center"/>
            <w:hideMark/>
          </w:tcPr>
          <w:p w:rsidR="00791719" w:rsidRPr="00791719" w:rsidRDefault="00791719" w:rsidP="00791719">
            <w:pPr>
              <w:spacing w:after="0"/>
              <w:ind w:firstLineChars="400" w:firstLine="560"/>
              <w:rPr>
                <w:rFonts w:ascii="Arial" w:eastAsia="Times New Roman" w:hAnsi="Arial" w:cs="Arial"/>
                <w:i/>
                <w:iCs/>
                <w:sz w:val="14"/>
                <w:szCs w:val="14"/>
                <w:lang w:val="fr-FR"/>
              </w:rPr>
            </w:pPr>
            <w:r w:rsidRPr="00791719">
              <w:rPr>
                <w:rFonts w:ascii="Arial" w:eastAsia="Times New Roman" w:hAnsi="Arial" w:cs="Arial"/>
                <w:i/>
                <w:iCs/>
                <w:sz w:val="14"/>
                <w:szCs w:val="14"/>
                <w:lang w:val="fr-FR"/>
              </w:rPr>
              <w:t xml:space="preserve">     sur prêts et créances</w:t>
            </w:r>
          </w:p>
        </w:tc>
        <w:tc>
          <w:tcPr>
            <w:tcW w:w="677"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-261</w:t>
            </w:r>
          </w:p>
        </w:tc>
        <w:tc>
          <w:tcPr>
            <w:tcW w:w="713"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-198</w:t>
            </w:r>
          </w:p>
        </w:tc>
        <w:tc>
          <w:tcPr>
            <w:tcW w:w="606"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-283</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-330</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-295</w:t>
            </w:r>
          </w:p>
        </w:tc>
        <w:tc>
          <w:tcPr>
            <w:tcW w:w="64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-255</w:t>
            </w:r>
          </w:p>
        </w:tc>
        <w:tc>
          <w:tcPr>
            <w:tcW w:w="67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-231</w:t>
            </w:r>
          </w:p>
        </w:tc>
        <w:tc>
          <w:tcPr>
            <w:tcW w:w="646" w:type="dxa"/>
            <w:tcBorders>
              <w:top w:val="nil"/>
              <w:left w:val="nil"/>
              <w:bottom w:val="nil"/>
              <w:right w:val="single" w:sz="8" w:space="0" w:color="1F497D" w:themeColor="text2"/>
            </w:tcBorders>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-938</w:t>
            </w:r>
          </w:p>
        </w:tc>
        <w:tc>
          <w:tcPr>
            <w:tcW w:w="754"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-1 072</w:t>
            </w:r>
          </w:p>
        </w:tc>
        <w:tc>
          <w:tcPr>
            <w:tcW w:w="776" w:type="dxa"/>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-1 719</w:t>
            </w:r>
          </w:p>
        </w:tc>
      </w:tr>
      <w:tr w:rsidR="00791719" w:rsidRPr="00791719" w:rsidTr="00D24657">
        <w:trPr>
          <w:trHeight w:val="285"/>
        </w:trPr>
        <w:tc>
          <w:tcPr>
            <w:tcW w:w="3636" w:type="dxa"/>
            <w:tcBorders>
              <w:top w:val="nil"/>
              <w:left w:val="nil"/>
              <w:bottom w:val="nil"/>
              <w:right w:val="single" w:sz="8" w:space="0" w:color="1F497D" w:themeColor="text2"/>
            </w:tcBorders>
            <w:vAlign w:val="center"/>
            <w:hideMark/>
          </w:tcPr>
          <w:p w:rsidR="00791719" w:rsidRPr="00791719" w:rsidRDefault="00791719" w:rsidP="00791719">
            <w:pPr>
              <w:spacing w:after="0"/>
              <w:ind w:firstLineChars="400" w:firstLine="560"/>
              <w:rPr>
                <w:rFonts w:ascii="Arial" w:eastAsia="Times New Roman" w:hAnsi="Arial" w:cs="Arial"/>
                <w:i/>
                <w:iCs/>
                <w:sz w:val="14"/>
                <w:szCs w:val="14"/>
                <w:lang w:val="fr-FR"/>
              </w:rPr>
            </w:pPr>
            <w:r w:rsidRPr="00791719">
              <w:rPr>
                <w:rFonts w:ascii="Arial" w:eastAsia="Times New Roman" w:hAnsi="Arial" w:cs="Arial"/>
                <w:i/>
                <w:iCs/>
                <w:sz w:val="14"/>
                <w:szCs w:val="14"/>
                <w:lang w:val="fr-FR"/>
              </w:rPr>
              <w:t xml:space="preserve">     sur actifs disponibles à la vente</w:t>
            </w:r>
          </w:p>
        </w:tc>
        <w:tc>
          <w:tcPr>
            <w:tcW w:w="677"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-5</w:t>
            </w:r>
          </w:p>
        </w:tc>
        <w:tc>
          <w:tcPr>
            <w:tcW w:w="713"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-75</w:t>
            </w:r>
          </w:p>
        </w:tc>
        <w:tc>
          <w:tcPr>
            <w:tcW w:w="606"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-4</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-11</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-13</w:t>
            </w:r>
          </w:p>
        </w:tc>
        <w:tc>
          <w:tcPr>
            <w:tcW w:w="64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-3</w:t>
            </w:r>
          </w:p>
        </w:tc>
        <w:tc>
          <w:tcPr>
            <w:tcW w:w="67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-8</w:t>
            </w:r>
          </w:p>
        </w:tc>
        <w:tc>
          <w:tcPr>
            <w:tcW w:w="646" w:type="dxa"/>
            <w:tcBorders>
              <w:top w:val="nil"/>
              <w:left w:val="nil"/>
              <w:bottom w:val="nil"/>
              <w:right w:val="single" w:sz="8" w:space="0" w:color="1F497D" w:themeColor="text2"/>
            </w:tcBorders>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-10</w:t>
            </w:r>
          </w:p>
        </w:tc>
        <w:tc>
          <w:tcPr>
            <w:tcW w:w="754"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-95</w:t>
            </w:r>
          </w:p>
        </w:tc>
        <w:tc>
          <w:tcPr>
            <w:tcW w:w="776" w:type="dxa"/>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-34</w:t>
            </w:r>
          </w:p>
        </w:tc>
      </w:tr>
      <w:tr w:rsidR="00791719" w:rsidRPr="00791719" w:rsidTr="00D24657">
        <w:trPr>
          <w:trHeight w:val="285"/>
        </w:trPr>
        <w:tc>
          <w:tcPr>
            <w:tcW w:w="3636" w:type="dxa"/>
            <w:tcBorders>
              <w:top w:val="nil"/>
              <w:left w:val="nil"/>
              <w:bottom w:val="nil"/>
              <w:right w:val="single" w:sz="8" w:space="0" w:color="1F497D" w:themeColor="text2"/>
            </w:tcBorders>
            <w:vAlign w:val="center"/>
            <w:hideMark/>
          </w:tcPr>
          <w:p w:rsidR="00791719" w:rsidRPr="00791719" w:rsidRDefault="00791719" w:rsidP="00791719">
            <w:pPr>
              <w:spacing w:after="0"/>
              <w:ind w:firstLineChars="400" w:firstLine="560"/>
              <w:rPr>
                <w:rFonts w:ascii="Arial" w:eastAsia="Times New Roman" w:hAnsi="Arial" w:cs="Arial"/>
                <w:i/>
                <w:iCs/>
                <w:sz w:val="14"/>
                <w:szCs w:val="14"/>
                <w:lang w:val="fr-FR"/>
              </w:rPr>
            </w:pPr>
            <w:r w:rsidRPr="00791719">
              <w:rPr>
                <w:rFonts w:ascii="Arial" w:eastAsia="Times New Roman" w:hAnsi="Arial" w:cs="Arial"/>
                <w:i/>
                <w:iCs/>
                <w:sz w:val="14"/>
                <w:szCs w:val="14"/>
                <w:lang w:val="fr-FR"/>
              </w:rPr>
              <w:t xml:space="preserve">     sur goodwill</w:t>
            </w:r>
          </w:p>
        </w:tc>
        <w:tc>
          <w:tcPr>
            <w:tcW w:w="677"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0</w:t>
            </w:r>
          </w:p>
        </w:tc>
        <w:tc>
          <w:tcPr>
            <w:tcW w:w="713"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-414</w:t>
            </w:r>
          </w:p>
        </w:tc>
        <w:tc>
          <w:tcPr>
            <w:tcW w:w="606"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0</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-8</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-7</w:t>
            </w:r>
          </w:p>
        </w:tc>
        <w:tc>
          <w:tcPr>
            <w:tcW w:w="64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0</w:t>
            </w:r>
          </w:p>
        </w:tc>
        <w:tc>
          <w:tcPr>
            <w:tcW w:w="67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0</w:t>
            </w:r>
          </w:p>
        </w:tc>
        <w:tc>
          <w:tcPr>
            <w:tcW w:w="646" w:type="dxa"/>
            <w:tcBorders>
              <w:top w:val="nil"/>
              <w:left w:val="nil"/>
              <w:bottom w:val="nil"/>
              <w:right w:val="single" w:sz="8" w:space="0" w:color="1F497D" w:themeColor="text2"/>
            </w:tcBorders>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0</w:t>
            </w:r>
          </w:p>
        </w:tc>
        <w:tc>
          <w:tcPr>
            <w:tcW w:w="754"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-421</w:t>
            </w:r>
          </w:p>
        </w:tc>
        <w:tc>
          <w:tcPr>
            <w:tcW w:w="776" w:type="dxa"/>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-7</w:t>
            </w:r>
          </w:p>
        </w:tc>
      </w:tr>
      <w:tr w:rsidR="00791719" w:rsidRPr="00791719" w:rsidTr="00D24657">
        <w:trPr>
          <w:trHeight w:val="285"/>
        </w:trPr>
        <w:tc>
          <w:tcPr>
            <w:tcW w:w="3636" w:type="dxa"/>
            <w:tcBorders>
              <w:top w:val="nil"/>
              <w:left w:val="nil"/>
              <w:bottom w:val="nil"/>
              <w:right w:val="single" w:sz="8" w:space="0" w:color="1F497D" w:themeColor="text2"/>
            </w:tcBorders>
            <w:vAlign w:val="center"/>
            <w:hideMark/>
          </w:tcPr>
          <w:p w:rsidR="00791719" w:rsidRPr="00791719" w:rsidRDefault="00791719" w:rsidP="00791719">
            <w:pPr>
              <w:spacing w:after="0"/>
              <w:ind w:firstLineChars="400" w:firstLine="560"/>
              <w:rPr>
                <w:rFonts w:ascii="Arial" w:eastAsia="Times New Roman" w:hAnsi="Arial" w:cs="Arial"/>
                <w:i/>
                <w:iCs/>
                <w:sz w:val="14"/>
                <w:szCs w:val="14"/>
                <w:lang w:val="fr-FR"/>
              </w:rPr>
            </w:pPr>
            <w:r w:rsidRPr="00791719">
              <w:rPr>
                <w:rFonts w:ascii="Arial" w:eastAsia="Times New Roman" w:hAnsi="Arial" w:cs="Arial"/>
                <w:i/>
                <w:iCs/>
                <w:sz w:val="14"/>
                <w:szCs w:val="14"/>
                <w:lang w:val="fr-FR"/>
              </w:rPr>
              <w:t xml:space="preserve">     sur autres</w:t>
            </w:r>
          </w:p>
        </w:tc>
        <w:tc>
          <w:tcPr>
            <w:tcW w:w="677"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-7</w:t>
            </w:r>
          </w:p>
        </w:tc>
        <w:tc>
          <w:tcPr>
            <w:tcW w:w="713"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-786</w:t>
            </w:r>
          </w:p>
        </w:tc>
        <w:tc>
          <w:tcPr>
            <w:tcW w:w="606"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-15</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-114</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-37</w:t>
            </w:r>
          </w:p>
        </w:tc>
        <w:tc>
          <w:tcPr>
            <w:tcW w:w="64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-18</w:t>
            </w:r>
          </w:p>
        </w:tc>
        <w:tc>
          <w:tcPr>
            <w:tcW w:w="67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-125</w:t>
            </w:r>
          </w:p>
        </w:tc>
        <w:tc>
          <w:tcPr>
            <w:tcW w:w="646" w:type="dxa"/>
            <w:tcBorders>
              <w:top w:val="nil"/>
              <w:left w:val="nil"/>
              <w:bottom w:val="nil"/>
              <w:right w:val="single" w:sz="8" w:space="0" w:color="1F497D" w:themeColor="text2"/>
            </w:tcBorders>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7</w:t>
            </w:r>
          </w:p>
        </w:tc>
        <w:tc>
          <w:tcPr>
            <w:tcW w:w="754"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-923</w:t>
            </w:r>
          </w:p>
        </w:tc>
        <w:tc>
          <w:tcPr>
            <w:tcW w:w="776" w:type="dxa"/>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-173</w:t>
            </w:r>
          </w:p>
        </w:tc>
      </w:tr>
      <w:tr w:rsidR="00791719" w:rsidRPr="00791719" w:rsidTr="00D24657">
        <w:trPr>
          <w:trHeight w:val="285"/>
        </w:trPr>
        <w:tc>
          <w:tcPr>
            <w:tcW w:w="3636" w:type="dxa"/>
            <w:tcBorders>
              <w:top w:val="nil"/>
              <w:left w:val="nil"/>
              <w:bottom w:val="nil"/>
              <w:right w:val="single" w:sz="8" w:space="0" w:color="1F497D" w:themeColor="text2"/>
            </w:tcBorders>
            <w:vAlign w:val="center"/>
            <w:hideMark/>
          </w:tcPr>
          <w:p w:rsidR="00791719" w:rsidRPr="00791719" w:rsidRDefault="00791719" w:rsidP="00791719">
            <w:pPr>
              <w:spacing w:after="0"/>
              <w:ind w:firstLineChars="400" w:firstLine="560"/>
              <w:rPr>
                <w:rFonts w:ascii="Arial" w:eastAsia="Times New Roman" w:hAnsi="Arial" w:cs="Arial"/>
                <w:i/>
                <w:iCs/>
                <w:sz w:val="14"/>
                <w:szCs w:val="14"/>
                <w:lang w:val="fr-FR"/>
              </w:rPr>
            </w:pPr>
            <w:r w:rsidRPr="00791719">
              <w:rPr>
                <w:rFonts w:ascii="Arial" w:eastAsia="Times New Roman" w:hAnsi="Arial" w:cs="Arial"/>
                <w:i/>
                <w:iCs/>
                <w:sz w:val="14"/>
                <w:szCs w:val="14"/>
                <w:lang w:val="fr-FR"/>
              </w:rPr>
              <w:t xml:space="preserve">Quote-part dans le résultat des entreprises </w:t>
            </w:r>
          </w:p>
          <w:p w:rsidR="00791719" w:rsidRPr="00791719" w:rsidRDefault="00791719" w:rsidP="00791719">
            <w:pPr>
              <w:spacing w:after="0"/>
              <w:ind w:firstLineChars="400" w:firstLine="560"/>
              <w:rPr>
                <w:rFonts w:ascii="Arial" w:eastAsia="Times New Roman" w:hAnsi="Arial" w:cs="Arial"/>
                <w:i/>
                <w:iCs/>
                <w:sz w:val="14"/>
                <w:szCs w:val="14"/>
                <w:lang w:val="fr-FR"/>
              </w:rPr>
            </w:pPr>
            <w:r w:rsidRPr="00791719">
              <w:rPr>
                <w:rFonts w:ascii="Arial" w:eastAsia="Times New Roman" w:hAnsi="Arial" w:cs="Arial"/>
                <w:i/>
                <w:iCs/>
                <w:sz w:val="14"/>
                <w:szCs w:val="14"/>
                <w:lang w:val="fr-FR"/>
              </w:rPr>
              <w:t>associées</w:t>
            </w:r>
          </w:p>
        </w:tc>
        <w:tc>
          <w:tcPr>
            <w:tcW w:w="677"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-9</w:t>
            </w:r>
          </w:p>
        </w:tc>
        <w:tc>
          <w:tcPr>
            <w:tcW w:w="713"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17</w:t>
            </w:r>
          </w:p>
        </w:tc>
        <w:tc>
          <w:tcPr>
            <w:tcW w:w="606"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-6</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0</w:t>
            </w:r>
          </w:p>
        </w:tc>
        <w:tc>
          <w:tcPr>
            <w:tcW w:w="64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0</w:t>
            </w:r>
          </w:p>
        </w:tc>
        <w:tc>
          <w:tcPr>
            <w:tcW w:w="67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0</w:t>
            </w:r>
          </w:p>
        </w:tc>
        <w:tc>
          <w:tcPr>
            <w:tcW w:w="646" w:type="dxa"/>
            <w:tcBorders>
              <w:top w:val="nil"/>
              <w:left w:val="nil"/>
              <w:bottom w:val="nil"/>
              <w:right w:val="single" w:sz="8" w:space="0" w:color="1F497D" w:themeColor="text2"/>
            </w:tcBorders>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0</w:t>
            </w:r>
          </w:p>
        </w:tc>
        <w:tc>
          <w:tcPr>
            <w:tcW w:w="754"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2</w:t>
            </w:r>
          </w:p>
        </w:tc>
        <w:tc>
          <w:tcPr>
            <w:tcW w:w="776" w:type="dxa"/>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w:t>
            </w:r>
          </w:p>
        </w:tc>
      </w:tr>
      <w:tr w:rsidR="00791719" w:rsidRPr="00791719" w:rsidTr="00D24657">
        <w:trPr>
          <w:trHeight w:val="285"/>
        </w:trPr>
        <w:tc>
          <w:tcPr>
            <w:tcW w:w="3636" w:type="dxa"/>
            <w:tcBorders>
              <w:top w:val="nil"/>
              <w:left w:val="nil"/>
              <w:bottom w:val="nil"/>
              <w:right w:val="single" w:sz="8" w:space="0" w:color="1F497D" w:themeColor="text2"/>
            </w:tcBorders>
            <w:vAlign w:val="center"/>
            <w:hideMark/>
          </w:tcPr>
          <w:p w:rsidR="00791719" w:rsidRPr="00791719" w:rsidRDefault="00791719" w:rsidP="00791719">
            <w:pPr>
              <w:spacing w:after="0"/>
              <w:ind w:firstLineChars="400" w:firstLine="560"/>
              <w:rPr>
                <w:rFonts w:ascii="Arial" w:eastAsia="Times New Roman" w:hAnsi="Arial" w:cs="Arial"/>
                <w:i/>
                <w:iCs/>
                <w:sz w:val="14"/>
                <w:szCs w:val="14"/>
                <w:lang w:val="fr-FR"/>
              </w:rPr>
            </w:pPr>
            <w:r w:rsidRPr="00791719">
              <w:rPr>
                <w:rFonts w:ascii="Arial" w:eastAsia="Times New Roman" w:hAnsi="Arial" w:cs="Arial"/>
                <w:i/>
                <w:iCs/>
                <w:sz w:val="14"/>
                <w:szCs w:val="14"/>
                <w:lang w:val="fr-FR"/>
              </w:rPr>
              <w:t>Résultat avant impôts</w:t>
            </w:r>
          </w:p>
        </w:tc>
        <w:tc>
          <w:tcPr>
            <w:tcW w:w="677"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439</w:t>
            </w:r>
          </w:p>
        </w:tc>
        <w:tc>
          <w:tcPr>
            <w:tcW w:w="713"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-417</w:t>
            </w:r>
          </w:p>
        </w:tc>
        <w:tc>
          <w:tcPr>
            <w:tcW w:w="606"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644</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310</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684</w:t>
            </w:r>
          </w:p>
        </w:tc>
        <w:tc>
          <w:tcPr>
            <w:tcW w:w="64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731</w:t>
            </w:r>
          </w:p>
        </w:tc>
        <w:tc>
          <w:tcPr>
            <w:tcW w:w="67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485</w:t>
            </w:r>
          </w:p>
        </w:tc>
        <w:tc>
          <w:tcPr>
            <w:tcW w:w="646" w:type="dxa"/>
            <w:tcBorders>
              <w:top w:val="nil"/>
              <w:left w:val="nil"/>
              <w:bottom w:val="nil"/>
              <w:right w:val="single" w:sz="8" w:space="0" w:color="1F497D" w:themeColor="text2"/>
            </w:tcBorders>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-186</w:t>
            </w:r>
          </w:p>
        </w:tc>
        <w:tc>
          <w:tcPr>
            <w:tcW w:w="754"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976</w:t>
            </w:r>
          </w:p>
        </w:tc>
        <w:tc>
          <w:tcPr>
            <w:tcW w:w="776" w:type="dxa"/>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1 714</w:t>
            </w:r>
          </w:p>
        </w:tc>
      </w:tr>
      <w:tr w:rsidR="00791719" w:rsidRPr="00791719" w:rsidTr="00D24657">
        <w:trPr>
          <w:trHeight w:val="285"/>
        </w:trPr>
        <w:tc>
          <w:tcPr>
            <w:tcW w:w="3636" w:type="dxa"/>
            <w:tcBorders>
              <w:top w:val="nil"/>
              <w:left w:val="nil"/>
              <w:bottom w:val="nil"/>
              <w:right w:val="single" w:sz="8" w:space="0" w:color="1F497D" w:themeColor="text2"/>
            </w:tcBorders>
            <w:vAlign w:val="center"/>
            <w:hideMark/>
          </w:tcPr>
          <w:p w:rsidR="00791719" w:rsidRPr="00791719" w:rsidRDefault="00791719" w:rsidP="00791719">
            <w:pPr>
              <w:spacing w:after="0"/>
              <w:ind w:firstLineChars="400" w:firstLine="560"/>
              <w:rPr>
                <w:rFonts w:ascii="Arial" w:eastAsia="Times New Roman" w:hAnsi="Arial" w:cs="Arial"/>
                <w:i/>
                <w:iCs/>
                <w:sz w:val="14"/>
                <w:szCs w:val="14"/>
                <w:lang w:val="fr-FR"/>
              </w:rPr>
            </w:pPr>
            <w:r w:rsidRPr="00791719">
              <w:rPr>
                <w:rFonts w:ascii="Arial" w:eastAsia="Times New Roman" w:hAnsi="Arial" w:cs="Arial"/>
                <w:i/>
                <w:iCs/>
                <w:sz w:val="14"/>
                <w:szCs w:val="14"/>
                <w:lang w:val="fr-FR"/>
              </w:rPr>
              <w:t>Impôts</w:t>
            </w:r>
          </w:p>
        </w:tc>
        <w:tc>
          <w:tcPr>
            <w:tcW w:w="677"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-93</w:t>
            </w:r>
          </w:p>
        </w:tc>
        <w:tc>
          <w:tcPr>
            <w:tcW w:w="713"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-110</w:t>
            </w:r>
          </w:p>
        </w:tc>
        <w:tc>
          <w:tcPr>
            <w:tcW w:w="606"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-103</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-56</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-160</w:t>
            </w:r>
          </w:p>
        </w:tc>
        <w:tc>
          <w:tcPr>
            <w:tcW w:w="64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-211</w:t>
            </w:r>
          </w:p>
        </w:tc>
        <w:tc>
          <w:tcPr>
            <w:tcW w:w="67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-209</w:t>
            </w:r>
          </w:p>
        </w:tc>
        <w:tc>
          <w:tcPr>
            <w:tcW w:w="646" w:type="dxa"/>
            <w:tcBorders>
              <w:top w:val="nil"/>
              <w:left w:val="nil"/>
              <w:bottom w:val="nil"/>
              <w:right w:val="single" w:sz="8" w:space="0" w:color="1F497D" w:themeColor="text2"/>
            </w:tcBorders>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-104</w:t>
            </w:r>
          </w:p>
        </w:tc>
        <w:tc>
          <w:tcPr>
            <w:tcW w:w="754"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-362</w:t>
            </w:r>
          </w:p>
        </w:tc>
        <w:tc>
          <w:tcPr>
            <w:tcW w:w="776" w:type="dxa"/>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-685</w:t>
            </w:r>
          </w:p>
        </w:tc>
      </w:tr>
      <w:tr w:rsidR="00791719" w:rsidRPr="00791719" w:rsidTr="00D24657">
        <w:trPr>
          <w:trHeight w:val="285"/>
        </w:trPr>
        <w:tc>
          <w:tcPr>
            <w:tcW w:w="3636" w:type="dxa"/>
            <w:tcBorders>
              <w:top w:val="nil"/>
              <w:left w:val="nil"/>
              <w:bottom w:val="nil"/>
              <w:right w:val="single" w:sz="8" w:space="0" w:color="1F497D" w:themeColor="text2"/>
            </w:tcBorders>
            <w:vAlign w:val="center"/>
            <w:hideMark/>
          </w:tcPr>
          <w:p w:rsidR="00791719" w:rsidRPr="00791719" w:rsidRDefault="00791719" w:rsidP="00791719">
            <w:pPr>
              <w:spacing w:after="0"/>
              <w:ind w:firstLineChars="400" w:firstLine="560"/>
              <w:rPr>
                <w:rFonts w:ascii="Arial" w:eastAsia="Times New Roman" w:hAnsi="Arial" w:cs="Arial"/>
                <w:i/>
                <w:iCs/>
                <w:sz w:val="14"/>
                <w:szCs w:val="14"/>
                <w:lang w:val="fr-FR"/>
              </w:rPr>
            </w:pPr>
            <w:r w:rsidRPr="00791719">
              <w:rPr>
                <w:rFonts w:ascii="Arial" w:eastAsia="Times New Roman" w:hAnsi="Arial" w:cs="Arial"/>
                <w:i/>
                <w:iCs/>
                <w:sz w:val="14"/>
                <w:szCs w:val="14"/>
                <w:lang w:val="fr-FR"/>
              </w:rPr>
              <w:t xml:space="preserve">Résultat net après impôts des activités </w:t>
            </w:r>
          </w:p>
          <w:p w:rsidR="00791719" w:rsidRPr="00791719" w:rsidRDefault="00791719" w:rsidP="00791719">
            <w:pPr>
              <w:spacing w:after="0"/>
              <w:ind w:firstLineChars="400" w:firstLine="560"/>
              <w:rPr>
                <w:rFonts w:ascii="Arial" w:eastAsia="Times New Roman" w:hAnsi="Arial" w:cs="Arial"/>
                <w:i/>
                <w:iCs/>
                <w:sz w:val="14"/>
                <w:szCs w:val="14"/>
                <w:lang w:val="fr-FR"/>
              </w:rPr>
            </w:pPr>
            <w:r w:rsidRPr="00791719">
              <w:rPr>
                <w:rFonts w:ascii="Arial" w:eastAsia="Times New Roman" w:hAnsi="Arial" w:cs="Arial"/>
                <w:i/>
                <w:iCs/>
                <w:sz w:val="14"/>
                <w:szCs w:val="14"/>
                <w:lang w:val="fr-FR"/>
              </w:rPr>
              <w:t>abandonnées</w:t>
            </w:r>
          </w:p>
        </w:tc>
        <w:tc>
          <w:tcPr>
            <w:tcW w:w="677"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40</w:t>
            </w:r>
          </w:p>
        </w:tc>
        <w:tc>
          <w:tcPr>
            <w:tcW w:w="713"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-8</w:t>
            </w:r>
          </w:p>
        </w:tc>
        <w:tc>
          <w:tcPr>
            <w:tcW w:w="606"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0</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-6</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0</w:t>
            </w:r>
          </w:p>
        </w:tc>
        <w:tc>
          <w:tcPr>
            <w:tcW w:w="64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0</w:t>
            </w:r>
          </w:p>
        </w:tc>
        <w:tc>
          <w:tcPr>
            <w:tcW w:w="67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0</w:t>
            </w:r>
          </w:p>
        </w:tc>
        <w:tc>
          <w:tcPr>
            <w:tcW w:w="646" w:type="dxa"/>
            <w:tcBorders>
              <w:top w:val="nil"/>
              <w:left w:val="nil"/>
              <w:bottom w:val="nil"/>
              <w:right w:val="single" w:sz="8" w:space="0" w:color="1F497D" w:themeColor="text2"/>
            </w:tcBorders>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0</w:t>
            </w:r>
          </w:p>
        </w:tc>
        <w:tc>
          <w:tcPr>
            <w:tcW w:w="754"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27</w:t>
            </w:r>
          </w:p>
        </w:tc>
        <w:tc>
          <w:tcPr>
            <w:tcW w:w="776" w:type="dxa"/>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0</w:t>
            </w:r>
          </w:p>
        </w:tc>
      </w:tr>
      <w:tr w:rsidR="00791719" w:rsidRPr="00791719" w:rsidTr="00D24657">
        <w:trPr>
          <w:trHeight w:val="285"/>
        </w:trPr>
        <w:tc>
          <w:tcPr>
            <w:tcW w:w="3636" w:type="dxa"/>
            <w:tcBorders>
              <w:top w:val="nil"/>
              <w:left w:val="nil"/>
              <w:bottom w:val="nil"/>
              <w:right w:val="single" w:sz="8" w:space="0" w:color="1F497D" w:themeColor="text2"/>
            </w:tcBorders>
            <w:vAlign w:val="center"/>
            <w:hideMark/>
          </w:tcPr>
          <w:p w:rsidR="00791719" w:rsidRPr="00791719" w:rsidRDefault="00791719" w:rsidP="00791719">
            <w:pPr>
              <w:spacing w:after="0"/>
              <w:ind w:firstLineChars="400" w:firstLine="560"/>
              <w:rPr>
                <w:rFonts w:ascii="Arial" w:eastAsia="Times New Roman" w:hAnsi="Arial" w:cs="Arial"/>
                <w:i/>
                <w:iCs/>
                <w:sz w:val="14"/>
                <w:szCs w:val="14"/>
                <w:lang w:val="fr-FR"/>
              </w:rPr>
            </w:pPr>
            <w:r w:rsidRPr="00791719">
              <w:rPr>
                <w:rFonts w:ascii="Arial" w:eastAsia="Times New Roman" w:hAnsi="Arial" w:cs="Arial"/>
                <w:i/>
                <w:iCs/>
                <w:sz w:val="14"/>
                <w:szCs w:val="14"/>
                <w:lang w:val="fr-FR"/>
              </w:rPr>
              <w:t>Résultat après impôts</w:t>
            </w:r>
          </w:p>
        </w:tc>
        <w:tc>
          <w:tcPr>
            <w:tcW w:w="677"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387</w:t>
            </w:r>
          </w:p>
        </w:tc>
        <w:tc>
          <w:tcPr>
            <w:tcW w:w="713"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-535</w:t>
            </w:r>
          </w:p>
        </w:tc>
        <w:tc>
          <w:tcPr>
            <w:tcW w:w="606"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540</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249</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524</w:t>
            </w:r>
          </w:p>
        </w:tc>
        <w:tc>
          <w:tcPr>
            <w:tcW w:w="64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520</w:t>
            </w:r>
          </w:p>
        </w:tc>
        <w:tc>
          <w:tcPr>
            <w:tcW w:w="67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276</w:t>
            </w:r>
          </w:p>
        </w:tc>
        <w:tc>
          <w:tcPr>
            <w:tcW w:w="646" w:type="dxa"/>
            <w:tcBorders>
              <w:top w:val="nil"/>
              <w:left w:val="nil"/>
              <w:bottom w:val="nil"/>
              <w:right w:val="single" w:sz="8" w:space="0" w:color="1F497D" w:themeColor="text2"/>
            </w:tcBorders>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-290</w:t>
            </w:r>
          </w:p>
        </w:tc>
        <w:tc>
          <w:tcPr>
            <w:tcW w:w="754"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641</w:t>
            </w:r>
          </w:p>
        </w:tc>
        <w:tc>
          <w:tcPr>
            <w:tcW w:w="776" w:type="dxa"/>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1 029</w:t>
            </w:r>
          </w:p>
        </w:tc>
      </w:tr>
      <w:tr w:rsidR="00791719" w:rsidRPr="00791719" w:rsidTr="00D24657">
        <w:trPr>
          <w:trHeight w:val="285"/>
        </w:trPr>
        <w:tc>
          <w:tcPr>
            <w:tcW w:w="3636" w:type="dxa"/>
            <w:tcBorders>
              <w:top w:val="nil"/>
              <w:left w:val="nil"/>
              <w:bottom w:val="nil"/>
              <w:right w:val="single" w:sz="8" w:space="0" w:color="1F497D" w:themeColor="text2"/>
            </w:tcBorders>
            <w:vAlign w:val="center"/>
            <w:hideMark/>
          </w:tcPr>
          <w:p w:rsidR="00791719" w:rsidRPr="00791719" w:rsidRDefault="00791719" w:rsidP="00791719">
            <w:pPr>
              <w:spacing w:after="0"/>
              <w:ind w:firstLineChars="400" w:firstLine="560"/>
              <w:rPr>
                <w:rFonts w:ascii="Arial" w:eastAsia="Times New Roman" w:hAnsi="Arial" w:cs="Arial"/>
                <w:i/>
                <w:iCs/>
                <w:sz w:val="14"/>
                <w:szCs w:val="14"/>
                <w:lang w:val="fr-FR"/>
              </w:rPr>
            </w:pPr>
            <w:r w:rsidRPr="00791719">
              <w:rPr>
                <w:rFonts w:ascii="Arial" w:eastAsia="Times New Roman" w:hAnsi="Arial" w:cs="Arial"/>
                <w:i/>
                <w:iCs/>
                <w:sz w:val="14"/>
                <w:szCs w:val="14"/>
                <w:lang w:val="fr-FR"/>
              </w:rPr>
              <w:t xml:space="preserve">      attribuable à des participations minoritaires</w:t>
            </w:r>
          </w:p>
        </w:tc>
        <w:tc>
          <w:tcPr>
            <w:tcW w:w="677"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7</w:t>
            </w:r>
          </w:p>
        </w:tc>
        <w:tc>
          <w:tcPr>
            <w:tcW w:w="713"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5</w:t>
            </w:r>
          </w:p>
        </w:tc>
        <w:tc>
          <w:tcPr>
            <w:tcW w:w="606"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9</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9</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4</w:t>
            </w:r>
          </w:p>
        </w:tc>
        <w:tc>
          <w:tcPr>
            <w:tcW w:w="64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3</w:t>
            </w:r>
          </w:p>
        </w:tc>
        <w:tc>
          <w:tcPr>
            <w:tcW w:w="67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4</w:t>
            </w:r>
          </w:p>
        </w:tc>
        <w:tc>
          <w:tcPr>
            <w:tcW w:w="646" w:type="dxa"/>
            <w:tcBorders>
              <w:top w:val="nil"/>
              <w:left w:val="nil"/>
              <w:bottom w:val="nil"/>
              <w:right w:val="single" w:sz="8" w:space="0" w:color="1F497D" w:themeColor="text2"/>
            </w:tcBorders>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4</w:t>
            </w:r>
          </w:p>
        </w:tc>
        <w:tc>
          <w:tcPr>
            <w:tcW w:w="754"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29</w:t>
            </w:r>
          </w:p>
        </w:tc>
        <w:tc>
          <w:tcPr>
            <w:tcW w:w="776" w:type="dxa"/>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14</w:t>
            </w:r>
          </w:p>
        </w:tc>
      </w:tr>
      <w:tr w:rsidR="00791719" w:rsidRPr="00791719" w:rsidTr="00D24657">
        <w:trPr>
          <w:trHeight w:val="285"/>
        </w:trPr>
        <w:tc>
          <w:tcPr>
            <w:tcW w:w="3636" w:type="dxa"/>
            <w:tcBorders>
              <w:top w:val="nil"/>
              <w:left w:val="nil"/>
              <w:bottom w:val="nil"/>
              <w:right w:val="single" w:sz="8" w:space="0" w:color="1F497D" w:themeColor="text2"/>
            </w:tcBorders>
            <w:vAlign w:val="center"/>
            <w:hideMark/>
          </w:tcPr>
          <w:p w:rsidR="00791719" w:rsidRPr="00791719" w:rsidRDefault="00791719" w:rsidP="00791719">
            <w:pPr>
              <w:spacing w:after="0"/>
              <w:ind w:firstLineChars="400" w:firstLine="560"/>
              <w:rPr>
                <w:rFonts w:ascii="Arial" w:eastAsia="Times New Roman" w:hAnsi="Arial" w:cs="Arial"/>
                <w:i/>
                <w:iCs/>
                <w:sz w:val="14"/>
                <w:szCs w:val="14"/>
                <w:lang w:val="fr-FR"/>
              </w:rPr>
            </w:pPr>
            <w:r w:rsidRPr="00791719">
              <w:rPr>
                <w:rFonts w:ascii="Arial" w:eastAsia="Times New Roman" w:hAnsi="Arial" w:cs="Arial"/>
                <w:i/>
                <w:iCs/>
                <w:sz w:val="14"/>
                <w:szCs w:val="14"/>
                <w:lang w:val="fr-FR"/>
              </w:rPr>
              <w:t xml:space="preserve">     attribuable aux actionnaires de la société</w:t>
            </w:r>
          </w:p>
          <w:p w:rsidR="00791719" w:rsidRPr="00791719" w:rsidRDefault="00791719" w:rsidP="00791719">
            <w:pPr>
              <w:spacing w:after="0"/>
              <w:ind w:firstLineChars="400" w:firstLine="560"/>
              <w:rPr>
                <w:rFonts w:ascii="Arial" w:eastAsia="Times New Roman" w:hAnsi="Arial" w:cs="Arial"/>
                <w:i/>
                <w:iCs/>
                <w:sz w:val="14"/>
                <w:szCs w:val="14"/>
                <w:lang w:val="fr-FR"/>
              </w:rPr>
            </w:pPr>
            <w:r w:rsidRPr="00791719">
              <w:rPr>
                <w:rFonts w:ascii="Arial" w:eastAsia="Times New Roman" w:hAnsi="Arial" w:cs="Arial"/>
                <w:i/>
                <w:iCs/>
                <w:sz w:val="14"/>
                <w:szCs w:val="14"/>
                <w:lang w:val="fr-FR"/>
              </w:rPr>
              <w:t xml:space="preserve">     mère</w:t>
            </w:r>
          </w:p>
        </w:tc>
        <w:tc>
          <w:tcPr>
            <w:tcW w:w="677"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380</w:t>
            </w:r>
          </w:p>
        </w:tc>
        <w:tc>
          <w:tcPr>
            <w:tcW w:w="713"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-539</w:t>
            </w:r>
          </w:p>
        </w:tc>
        <w:tc>
          <w:tcPr>
            <w:tcW w:w="606"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531</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240</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520</w:t>
            </w:r>
          </w:p>
        </w:tc>
        <w:tc>
          <w:tcPr>
            <w:tcW w:w="64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517</w:t>
            </w:r>
          </w:p>
        </w:tc>
        <w:tc>
          <w:tcPr>
            <w:tcW w:w="67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272</w:t>
            </w:r>
          </w:p>
        </w:tc>
        <w:tc>
          <w:tcPr>
            <w:tcW w:w="646" w:type="dxa"/>
            <w:tcBorders>
              <w:top w:val="nil"/>
              <w:left w:val="nil"/>
              <w:bottom w:val="nil"/>
              <w:right w:val="single" w:sz="8" w:space="0" w:color="1F497D" w:themeColor="text2"/>
            </w:tcBorders>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-294</w:t>
            </w:r>
          </w:p>
        </w:tc>
        <w:tc>
          <w:tcPr>
            <w:tcW w:w="754"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612</w:t>
            </w:r>
          </w:p>
        </w:tc>
        <w:tc>
          <w:tcPr>
            <w:tcW w:w="776" w:type="dxa"/>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1 015</w:t>
            </w:r>
          </w:p>
        </w:tc>
      </w:tr>
      <w:tr w:rsidR="00791719" w:rsidRPr="00791719" w:rsidTr="00D24657">
        <w:trPr>
          <w:trHeight w:val="285"/>
        </w:trPr>
        <w:tc>
          <w:tcPr>
            <w:tcW w:w="3636" w:type="dxa"/>
            <w:tcBorders>
              <w:top w:val="nil"/>
              <w:left w:val="nil"/>
              <w:bottom w:val="nil"/>
              <w:right w:val="single" w:sz="8" w:space="0" w:color="1F497D" w:themeColor="text2"/>
            </w:tcBorders>
            <w:vAlign w:val="center"/>
            <w:hideMark/>
          </w:tcPr>
          <w:p w:rsidR="00791719" w:rsidRPr="00791719" w:rsidRDefault="00791719" w:rsidP="00791719">
            <w:pPr>
              <w:spacing w:after="0"/>
              <w:ind w:firstLineChars="400" w:firstLine="560"/>
              <w:rPr>
                <w:rFonts w:ascii="Arial" w:eastAsia="Times New Roman" w:hAnsi="Arial" w:cs="Arial"/>
                <w:i/>
                <w:iCs/>
                <w:sz w:val="14"/>
                <w:szCs w:val="14"/>
                <w:lang w:val="fr-FR"/>
              </w:rPr>
            </w:pPr>
            <w:r w:rsidRPr="00791719">
              <w:rPr>
                <w:rFonts w:ascii="Arial" w:eastAsia="Times New Roman" w:hAnsi="Arial" w:cs="Arial"/>
                <w:i/>
                <w:iCs/>
                <w:sz w:val="14"/>
                <w:szCs w:val="14"/>
                <w:lang w:val="fr-FR"/>
              </w:rPr>
              <w:t>Bénéfice de base par action (EUR)</w:t>
            </w:r>
          </w:p>
        </w:tc>
        <w:tc>
          <w:tcPr>
            <w:tcW w:w="677"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0.71</w:t>
            </w:r>
          </w:p>
        </w:tc>
        <w:tc>
          <w:tcPr>
            <w:tcW w:w="713"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-1.99</w:t>
            </w:r>
          </w:p>
        </w:tc>
        <w:tc>
          <w:tcPr>
            <w:tcW w:w="606"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1.16</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-0.97</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1.25</w:t>
            </w:r>
          </w:p>
        </w:tc>
        <w:tc>
          <w:tcPr>
            <w:tcW w:w="64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1.24</w:t>
            </w:r>
          </w:p>
        </w:tc>
        <w:tc>
          <w:tcPr>
            <w:tcW w:w="67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-0.75</w:t>
            </w:r>
          </w:p>
        </w:tc>
        <w:tc>
          <w:tcPr>
            <w:tcW w:w="646" w:type="dxa"/>
            <w:tcBorders>
              <w:top w:val="nil"/>
              <w:left w:val="nil"/>
              <w:bottom w:val="nil"/>
              <w:right w:val="single" w:sz="8" w:space="0" w:color="1F497D" w:themeColor="text2"/>
            </w:tcBorders>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-0.71</w:t>
            </w:r>
          </w:p>
        </w:tc>
        <w:tc>
          <w:tcPr>
            <w:tcW w:w="754"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-1.09</w:t>
            </w:r>
          </w:p>
        </w:tc>
        <w:tc>
          <w:tcPr>
            <w:tcW w:w="776" w:type="dxa"/>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1.03</w:t>
            </w:r>
          </w:p>
        </w:tc>
      </w:tr>
      <w:tr w:rsidR="00791719" w:rsidRPr="00791719" w:rsidTr="00D24657">
        <w:trPr>
          <w:trHeight w:val="285"/>
        </w:trPr>
        <w:tc>
          <w:tcPr>
            <w:tcW w:w="3636" w:type="dxa"/>
            <w:tcBorders>
              <w:top w:val="nil"/>
              <w:left w:val="nil"/>
              <w:bottom w:val="nil"/>
              <w:right w:val="single" w:sz="8" w:space="0" w:color="1F497D" w:themeColor="text2"/>
            </w:tcBorders>
            <w:vAlign w:val="center"/>
            <w:hideMark/>
          </w:tcPr>
          <w:p w:rsidR="00791719" w:rsidRPr="00791719" w:rsidRDefault="00791719" w:rsidP="00791719">
            <w:pPr>
              <w:spacing w:after="0"/>
              <w:ind w:firstLineChars="400" w:firstLine="560"/>
              <w:rPr>
                <w:rFonts w:ascii="Arial" w:eastAsia="Times New Roman" w:hAnsi="Arial" w:cs="Arial"/>
                <w:i/>
                <w:iCs/>
                <w:sz w:val="14"/>
                <w:szCs w:val="14"/>
                <w:lang w:val="fr-FR"/>
              </w:rPr>
            </w:pPr>
            <w:r w:rsidRPr="00791719">
              <w:rPr>
                <w:rFonts w:ascii="Arial" w:eastAsia="Times New Roman" w:hAnsi="Arial" w:cs="Arial"/>
                <w:i/>
                <w:iCs/>
                <w:sz w:val="14"/>
                <w:szCs w:val="14"/>
                <w:lang w:val="fr-FR"/>
              </w:rPr>
              <w:t>Bénéfice dilué par action (EUR)</w:t>
            </w:r>
          </w:p>
        </w:tc>
        <w:tc>
          <w:tcPr>
            <w:tcW w:w="677"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0.71</w:t>
            </w:r>
          </w:p>
        </w:tc>
        <w:tc>
          <w:tcPr>
            <w:tcW w:w="713"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-1.99</w:t>
            </w:r>
          </w:p>
        </w:tc>
        <w:tc>
          <w:tcPr>
            <w:tcW w:w="606"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1.16</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-0.97</w:t>
            </w:r>
          </w:p>
        </w:tc>
        <w:tc>
          <w:tcPr>
            <w:tcW w:w="654"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1.25</w:t>
            </w:r>
          </w:p>
        </w:tc>
        <w:tc>
          <w:tcPr>
            <w:tcW w:w="64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1.24</w:t>
            </w:r>
          </w:p>
        </w:tc>
        <w:tc>
          <w:tcPr>
            <w:tcW w:w="671" w:type="dxa"/>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-0.75</w:t>
            </w:r>
          </w:p>
        </w:tc>
        <w:tc>
          <w:tcPr>
            <w:tcW w:w="646" w:type="dxa"/>
            <w:tcBorders>
              <w:top w:val="nil"/>
              <w:left w:val="nil"/>
              <w:bottom w:val="nil"/>
              <w:right w:val="single" w:sz="8" w:space="0" w:color="1F497D" w:themeColor="text2"/>
            </w:tcBorders>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-0.71</w:t>
            </w:r>
          </w:p>
        </w:tc>
        <w:tc>
          <w:tcPr>
            <w:tcW w:w="754" w:type="dxa"/>
            <w:tcBorders>
              <w:top w:val="nil"/>
              <w:left w:val="single" w:sz="8" w:space="0" w:color="1F497D" w:themeColor="text2"/>
              <w:bottom w:val="nil"/>
              <w:right w:val="nil"/>
            </w:tcBorders>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-1.09</w:t>
            </w:r>
          </w:p>
        </w:tc>
        <w:tc>
          <w:tcPr>
            <w:tcW w:w="776" w:type="dxa"/>
            <w:shd w:val="clear" w:color="auto" w:fill="DBE5F1" w:themeFill="accent1" w:themeFillTint="33"/>
            <w:vAlign w:val="center"/>
            <w:hideMark/>
          </w:tcPr>
          <w:p w:rsidR="00791719" w:rsidRPr="00791719" w:rsidRDefault="00791719" w:rsidP="00791719">
            <w:pPr>
              <w:snapToGrid w:val="0"/>
              <w:spacing w:after="0"/>
              <w:jc w:val="right"/>
              <w:rPr>
                <w:rFonts w:ascii="Arial" w:eastAsia="Times New Roman" w:hAnsi="Arial"/>
                <w:bCs/>
                <w:sz w:val="14"/>
                <w:szCs w:val="14"/>
                <w:lang w:val="fr-FR"/>
              </w:rPr>
            </w:pPr>
            <w:r w:rsidRPr="00791719">
              <w:rPr>
                <w:rFonts w:ascii="Arial" w:eastAsia="Times New Roman" w:hAnsi="Arial"/>
                <w:bCs/>
                <w:sz w:val="14"/>
                <w:szCs w:val="14"/>
                <w:lang w:val="fr-FR"/>
              </w:rPr>
              <w:t>1.03</w:t>
            </w:r>
          </w:p>
        </w:tc>
      </w:tr>
    </w:tbl>
    <w:p w:rsidR="00FB1D51" w:rsidRPr="00791719" w:rsidRDefault="00FB1D51">
      <w:pPr>
        <w:spacing w:after="0" w:line="240" w:lineRule="auto"/>
        <w:rPr>
          <w:rFonts w:cs="Arial"/>
          <w:bCs/>
          <w:color w:val="003768"/>
          <w:sz w:val="20"/>
          <w:szCs w:val="20"/>
          <w:lang w:val="nl-BE"/>
        </w:rPr>
      </w:pPr>
      <w:r w:rsidRPr="00791719">
        <w:rPr>
          <w:rFonts w:cs="Arial"/>
          <w:bCs/>
          <w:color w:val="003768"/>
          <w:sz w:val="20"/>
          <w:szCs w:val="20"/>
          <w:lang w:val="nl-BE"/>
        </w:rPr>
        <w:br w:type="page"/>
      </w:r>
    </w:p>
    <w:p w:rsidR="00FB1D51" w:rsidRDefault="0039284E" w:rsidP="0039284E">
      <w:pPr>
        <w:autoSpaceDE w:val="0"/>
        <w:autoSpaceDN w:val="0"/>
        <w:adjustRightInd w:val="0"/>
        <w:spacing w:after="120" w:line="240" w:lineRule="auto"/>
        <w:ind w:left="992" w:right="6"/>
        <w:jc w:val="both"/>
        <w:rPr>
          <w:rFonts w:cs="Arial"/>
          <w:bCs/>
          <w:color w:val="003768"/>
          <w:sz w:val="20"/>
          <w:szCs w:val="20"/>
          <w:lang w:val="fr-FR"/>
        </w:rPr>
      </w:pPr>
      <w:r>
        <w:rPr>
          <w:rFonts w:cs="Arial"/>
          <w:bCs/>
          <w:noProof/>
          <w:color w:val="003768"/>
          <w:sz w:val="20"/>
          <w:szCs w:val="20"/>
          <w:lang w:val="nl-BE" w:eastAsia="nl-BE"/>
        </w:rPr>
        <w:lastRenderedPageBreak/>
        <w:drawing>
          <wp:inline distT="0" distB="0" distL="0" distR="0" wp14:anchorId="7F557FC5">
            <wp:extent cx="6450330" cy="499745"/>
            <wp:effectExtent l="0" t="0" r="762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50330" cy="499745"/>
                    </a:xfrm>
                    <a:prstGeom prst="rect">
                      <a:avLst/>
                    </a:prstGeom>
                    <a:noFill/>
                  </pic:spPr>
                </pic:pic>
              </a:graphicData>
            </a:graphic>
          </wp:inline>
        </w:drawing>
      </w:r>
    </w:p>
    <w:p w:rsidR="00FB1D51" w:rsidRDefault="0039284E" w:rsidP="0039284E">
      <w:pPr>
        <w:autoSpaceDE w:val="0"/>
        <w:autoSpaceDN w:val="0"/>
        <w:adjustRightInd w:val="0"/>
        <w:spacing w:after="120" w:line="240" w:lineRule="auto"/>
        <w:ind w:left="992" w:right="6"/>
        <w:jc w:val="both"/>
        <w:rPr>
          <w:rFonts w:cs="Arial"/>
          <w:bCs/>
          <w:color w:val="003768"/>
          <w:sz w:val="20"/>
          <w:szCs w:val="20"/>
          <w:lang w:val="fr-FR"/>
        </w:rPr>
      </w:pPr>
      <w:r w:rsidRPr="0039284E">
        <w:rPr>
          <w:rFonts w:cs="Arial"/>
          <w:bCs/>
          <w:color w:val="003768"/>
          <w:sz w:val="20"/>
          <w:szCs w:val="20"/>
          <w:lang w:val="fr-FR"/>
        </w:rPr>
        <w:t xml:space="preserve">Pour une appréciation plus complète du cours des activités, KBC fournit également d'autres chiffres que ceux établis selon les normes IFRS (section précédente). Dans l'aperçu ci-après, l'incidence des activités </w:t>
      </w:r>
      <w:proofErr w:type="spellStart"/>
      <w:r w:rsidRPr="0039284E">
        <w:rPr>
          <w:rFonts w:cs="Arial"/>
          <w:bCs/>
          <w:color w:val="003768"/>
          <w:sz w:val="20"/>
          <w:szCs w:val="20"/>
          <w:lang w:val="fr-FR"/>
        </w:rPr>
        <w:t>legacy</w:t>
      </w:r>
      <w:proofErr w:type="spellEnd"/>
      <w:r w:rsidRPr="0039284E">
        <w:rPr>
          <w:rFonts w:cs="Arial"/>
          <w:bCs/>
          <w:color w:val="003768"/>
          <w:sz w:val="20"/>
          <w:szCs w:val="20"/>
          <w:lang w:val="fr-FR"/>
        </w:rPr>
        <w:t xml:space="preserve"> (désinvestissements restants, CDO) et de la valorisation de nos propres risques de crédit est exclue du compte de résultat et résumée en trois lignes au bas de la présentation (dans le </w:t>
      </w:r>
      <w:proofErr w:type="spellStart"/>
      <w:r w:rsidRPr="0039284E">
        <w:rPr>
          <w:rFonts w:cs="Arial"/>
          <w:bCs/>
          <w:color w:val="003768"/>
          <w:sz w:val="20"/>
          <w:szCs w:val="20"/>
          <w:lang w:val="fr-FR"/>
        </w:rPr>
        <w:t>reporting</w:t>
      </w:r>
      <w:proofErr w:type="spellEnd"/>
      <w:r w:rsidRPr="0039284E">
        <w:rPr>
          <w:rFonts w:cs="Arial"/>
          <w:bCs/>
          <w:color w:val="003768"/>
          <w:sz w:val="20"/>
          <w:szCs w:val="20"/>
          <w:lang w:val="fr-FR"/>
        </w:rPr>
        <w:t xml:space="preserve"> par division, ces éléments sont incorporés dans le Centre de groupe). Par ailleurs, un traitement comptable différent pour les revenus du marché des capitaux a été appliqué à la division Belgique (tous les résultats des opérations de négociation étant transférés au « Résultat net des instruments financiers à la juste valeur »). Les différences entre les chiffres selon IFRS et les chiffres ajustés sont détaillées sous « Annexes relatives à l'information par division » à la section « États financiers consolidés » du rapport trimestriel.</w:t>
      </w:r>
    </w:p>
    <w:tbl>
      <w:tblPr>
        <w:tblW w:w="10489" w:type="dxa"/>
        <w:tblInd w:w="1028" w:type="dxa"/>
        <w:tblLook w:val="01E0" w:firstRow="1" w:lastRow="1" w:firstColumn="1" w:lastColumn="1" w:noHBand="0" w:noVBand="0"/>
      </w:tblPr>
      <w:tblGrid>
        <w:gridCol w:w="3202"/>
        <w:gridCol w:w="738"/>
        <w:gridCol w:w="760"/>
        <w:gridCol w:w="738"/>
        <w:gridCol w:w="621"/>
        <w:gridCol w:w="738"/>
        <w:gridCol w:w="738"/>
        <w:gridCol w:w="738"/>
        <w:gridCol w:w="14"/>
        <w:gridCol w:w="556"/>
        <w:gridCol w:w="27"/>
        <w:gridCol w:w="785"/>
        <w:gridCol w:w="834"/>
      </w:tblGrid>
      <w:tr w:rsidR="00D24657" w:rsidRPr="0039284E" w:rsidTr="0039284E">
        <w:tc>
          <w:tcPr>
            <w:tcW w:w="3202" w:type="dxa"/>
            <w:tcBorders>
              <w:top w:val="nil"/>
              <w:left w:val="nil"/>
              <w:bottom w:val="single" w:sz="24" w:space="0" w:color="FFFFFF" w:themeColor="background1"/>
              <w:right w:val="single" w:sz="8" w:space="0" w:color="FFFFFF" w:themeColor="background1"/>
            </w:tcBorders>
            <w:shd w:val="clear" w:color="auto" w:fill="365F91" w:themeFill="accent1" w:themeFillShade="BF"/>
            <w:vAlign w:val="center"/>
            <w:hideMark/>
          </w:tcPr>
          <w:p w:rsidR="0039284E" w:rsidRPr="0039284E" w:rsidRDefault="0039284E" w:rsidP="0039284E">
            <w:pPr>
              <w:snapToGrid w:val="0"/>
              <w:spacing w:after="0"/>
              <w:rPr>
                <w:rFonts w:ascii="Arial" w:eastAsia="Times New Roman" w:hAnsi="Arial"/>
                <w:bCs/>
                <w:color w:val="FFFFFF" w:themeColor="background1"/>
                <w:sz w:val="14"/>
                <w:szCs w:val="14"/>
                <w:lang w:val="fr-FR"/>
              </w:rPr>
            </w:pPr>
            <w:r w:rsidRPr="0039284E">
              <w:rPr>
                <w:rFonts w:ascii="Arial" w:eastAsia="Times New Roman" w:hAnsi="Arial"/>
                <w:bCs/>
                <w:color w:val="FFFFFF" w:themeColor="background1"/>
                <w:sz w:val="14"/>
                <w:szCs w:val="14"/>
                <w:lang w:val="fr-FR"/>
              </w:rPr>
              <w:t>Compte de résultat consolidé, KBC Groupe (en millions EUR)</w:t>
            </w:r>
          </w:p>
        </w:tc>
        <w:tc>
          <w:tcPr>
            <w:tcW w:w="738" w:type="dxa"/>
            <w:tcBorders>
              <w:top w:val="nil"/>
              <w:left w:val="single" w:sz="8" w:space="0" w:color="FFFFFF" w:themeColor="background1"/>
              <w:bottom w:val="single" w:sz="24" w:space="0" w:color="FFFFFF" w:themeColor="background1"/>
              <w:right w:val="nil"/>
            </w:tcBorders>
            <w:shd w:val="clear" w:color="auto" w:fill="365F91" w:themeFill="accent1" w:themeFillShade="BF"/>
            <w:vAlign w:val="bottom"/>
            <w:hideMark/>
          </w:tcPr>
          <w:p w:rsidR="00D24657" w:rsidRDefault="00D24657" w:rsidP="0039284E">
            <w:pPr>
              <w:snapToGrid w:val="0"/>
              <w:spacing w:after="0"/>
              <w:jc w:val="right"/>
              <w:rPr>
                <w:rFonts w:ascii="Arial" w:eastAsia="Times New Roman" w:hAnsi="Arial"/>
                <w:bCs/>
                <w:color w:val="FFFFFF" w:themeColor="background1"/>
                <w:sz w:val="14"/>
                <w:szCs w:val="14"/>
                <w:lang w:val="fr-FR"/>
              </w:rPr>
            </w:pPr>
            <w:r>
              <w:rPr>
                <w:rFonts w:ascii="Arial" w:eastAsia="Times New Roman" w:hAnsi="Arial"/>
                <w:bCs/>
                <w:color w:val="FFFFFF" w:themeColor="background1"/>
                <w:sz w:val="14"/>
                <w:szCs w:val="14"/>
                <w:lang w:val="fr-FR"/>
              </w:rPr>
              <w:t>1TR</w:t>
            </w:r>
          </w:p>
          <w:p w:rsidR="0039284E" w:rsidRPr="0039284E" w:rsidRDefault="0039284E" w:rsidP="0039284E">
            <w:pPr>
              <w:snapToGrid w:val="0"/>
              <w:spacing w:after="0"/>
              <w:jc w:val="right"/>
              <w:rPr>
                <w:rFonts w:ascii="Arial" w:eastAsia="Times New Roman" w:hAnsi="Arial"/>
                <w:bCs/>
                <w:color w:val="FFFFFF" w:themeColor="background1"/>
                <w:sz w:val="14"/>
                <w:szCs w:val="14"/>
                <w:lang w:val="fr-FR"/>
              </w:rPr>
            </w:pPr>
            <w:r w:rsidRPr="0039284E">
              <w:rPr>
                <w:rFonts w:ascii="Arial" w:eastAsia="Times New Roman" w:hAnsi="Arial"/>
                <w:bCs/>
                <w:color w:val="FFFFFF" w:themeColor="background1"/>
                <w:sz w:val="14"/>
                <w:szCs w:val="14"/>
                <w:lang w:val="fr-FR"/>
              </w:rPr>
              <w:t>2012</w:t>
            </w:r>
          </w:p>
        </w:tc>
        <w:tc>
          <w:tcPr>
            <w:tcW w:w="760" w:type="dxa"/>
            <w:tcBorders>
              <w:top w:val="nil"/>
              <w:left w:val="nil"/>
              <w:bottom w:val="single" w:sz="24" w:space="0" w:color="FFFFFF" w:themeColor="background1"/>
              <w:right w:val="nil"/>
            </w:tcBorders>
            <w:shd w:val="clear" w:color="auto" w:fill="365F91" w:themeFill="accent1" w:themeFillShade="BF"/>
            <w:vAlign w:val="bottom"/>
            <w:hideMark/>
          </w:tcPr>
          <w:p w:rsidR="00D24657" w:rsidRDefault="00D24657" w:rsidP="0039284E">
            <w:pPr>
              <w:snapToGrid w:val="0"/>
              <w:spacing w:after="0"/>
              <w:jc w:val="right"/>
              <w:rPr>
                <w:rFonts w:ascii="Arial" w:eastAsia="Times New Roman" w:hAnsi="Arial"/>
                <w:bCs/>
                <w:color w:val="FFFFFF" w:themeColor="background1"/>
                <w:sz w:val="14"/>
                <w:szCs w:val="14"/>
                <w:lang w:val="fr-FR"/>
              </w:rPr>
            </w:pPr>
            <w:r>
              <w:rPr>
                <w:rFonts w:ascii="Arial" w:eastAsia="Times New Roman" w:hAnsi="Arial"/>
                <w:bCs/>
                <w:color w:val="FFFFFF" w:themeColor="background1"/>
                <w:sz w:val="14"/>
                <w:szCs w:val="14"/>
                <w:lang w:val="fr-FR"/>
              </w:rPr>
              <w:t>2TR</w:t>
            </w:r>
          </w:p>
          <w:p w:rsidR="0039284E" w:rsidRPr="0039284E" w:rsidRDefault="0039284E" w:rsidP="0039284E">
            <w:pPr>
              <w:snapToGrid w:val="0"/>
              <w:spacing w:after="0"/>
              <w:jc w:val="right"/>
              <w:rPr>
                <w:rFonts w:ascii="Arial" w:eastAsia="Times New Roman" w:hAnsi="Arial"/>
                <w:bCs/>
                <w:color w:val="FFFFFF" w:themeColor="background1"/>
                <w:sz w:val="14"/>
                <w:szCs w:val="14"/>
                <w:lang w:val="fr-FR"/>
              </w:rPr>
            </w:pPr>
            <w:r w:rsidRPr="0039284E">
              <w:rPr>
                <w:rFonts w:ascii="Arial" w:eastAsia="Times New Roman" w:hAnsi="Arial"/>
                <w:bCs/>
                <w:color w:val="FFFFFF" w:themeColor="background1"/>
                <w:sz w:val="14"/>
                <w:szCs w:val="14"/>
                <w:lang w:val="fr-FR"/>
              </w:rPr>
              <w:t>2012</w:t>
            </w:r>
          </w:p>
        </w:tc>
        <w:tc>
          <w:tcPr>
            <w:tcW w:w="738" w:type="dxa"/>
            <w:tcBorders>
              <w:top w:val="nil"/>
              <w:left w:val="nil"/>
              <w:bottom w:val="single" w:sz="24" w:space="0" w:color="FFFFFF" w:themeColor="background1"/>
              <w:right w:val="nil"/>
            </w:tcBorders>
            <w:shd w:val="clear" w:color="auto" w:fill="365F91" w:themeFill="accent1" w:themeFillShade="BF"/>
            <w:vAlign w:val="bottom"/>
            <w:hideMark/>
          </w:tcPr>
          <w:p w:rsidR="00D24657" w:rsidRDefault="00D24657" w:rsidP="0039284E">
            <w:pPr>
              <w:snapToGrid w:val="0"/>
              <w:spacing w:after="0"/>
              <w:jc w:val="right"/>
              <w:rPr>
                <w:rFonts w:ascii="Arial" w:eastAsia="Times New Roman" w:hAnsi="Arial"/>
                <w:bCs/>
                <w:color w:val="FFFFFF" w:themeColor="background1"/>
                <w:sz w:val="14"/>
                <w:szCs w:val="14"/>
                <w:lang w:val="fr-FR"/>
              </w:rPr>
            </w:pPr>
            <w:r>
              <w:rPr>
                <w:rFonts w:ascii="Arial" w:eastAsia="Times New Roman" w:hAnsi="Arial"/>
                <w:bCs/>
                <w:color w:val="FFFFFF" w:themeColor="background1"/>
                <w:sz w:val="14"/>
                <w:szCs w:val="14"/>
                <w:lang w:val="fr-FR"/>
              </w:rPr>
              <w:t>3TR</w:t>
            </w:r>
          </w:p>
          <w:p w:rsidR="0039284E" w:rsidRPr="0039284E" w:rsidRDefault="0039284E" w:rsidP="0039284E">
            <w:pPr>
              <w:snapToGrid w:val="0"/>
              <w:spacing w:after="0"/>
              <w:jc w:val="right"/>
              <w:rPr>
                <w:rFonts w:ascii="Arial" w:eastAsia="Times New Roman" w:hAnsi="Arial"/>
                <w:bCs/>
                <w:color w:val="FFFFFF" w:themeColor="background1"/>
                <w:sz w:val="14"/>
                <w:szCs w:val="14"/>
                <w:lang w:val="fr-FR"/>
              </w:rPr>
            </w:pPr>
            <w:r w:rsidRPr="0039284E">
              <w:rPr>
                <w:rFonts w:ascii="Arial" w:eastAsia="Times New Roman" w:hAnsi="Arial"/>
                <w:bCs/>
                <w:color w:val="FFFFFF" w:themeColor="background1"/>
                <w:sz w:val="14"/>
                <w:szCs w:val="14"/>
                <w:lang w:val="fr-FR"/>
              </w:rPr>
              <w:t>2012</w:t>
            </w:r>
          </w:p>
        </w:tc>
        <w:tc>
          <w:tcPr>
            <w:tcW w:w="621" w:type="dxa"/>
            <w:tcBorders>
              <w:top w:val="nil"/>
              <w:left w:val="nil"/>
              <w:bottom w:val="single" w:sz="24" w:space="0" w:color="FFFFFF" w:themeColor="background1"/>
              <w:right w:val="nil"/>
            </w:tcBorders>
            <w:shd w:val="clear" w:color="auto" w:fill="365F91" w:themeFill="accent1" w:themeFillShade="BF"/>
            <w:vAlign w:val="bottom"/>
            <w:hideMark/>
          </w:tcPr>
          <w:p w:rsidR="0039284E" w:rsidRPr="0039284E" w:rsidRDefault="00D24657" w:rsidP="0039284E">
            <w:pPr>
              <w:snapToGrid w:val="0"/>
              <w:spacing w:after="0"/>
              <w:jc w:val="right"/>
              <w:rPr>
                <w:rFonts w:ascii="Arial" w:eastAsia="Times New Roman" w:hAnsi="Arial"/>
                <w:bCs/>
                <w:color w:val="FFFFFF" w:themeColor="background1"/>
                <w:sz w:val="14"/>
                <w:szCs w:val="14"/>
                <w:lang w:val="fr-FR"/>
              </w:rPr>
            </w:pPr>
            <w:r>
              <w:rPr>
                <w:rFonts w:ascii="Arial" w:eastAsia="Times New Roman" w:hAnsi="Arial"/>
                <w:bCs/>
                <w:color w:val="FFFFFF" w:themeColor="background1"/>
                <w:sz w:val="14"/>
                <w:szCs w:val="14"/>
                <w:lang w:val="fr-FR"/>
              </w:rPr>
              <w:t>4TR</w:t>
            </w:r>
          </w:p>
          <w:p w:rsidR="0039284E" w:rsidRPr="0039284E" w:rsidRDefault="0039284E" w:rsidP="0039284E">
            <w:pPr>
              <w:snapToGrid w:val="0"/>
              <w:spacing w:after="0"/>
              <w:jc w:val="right"/>
              <w:rPr>
                <w:rFonts w:ascii="Arial" w:eastAsia="Times New Roman" w:hAnsi="Arial"/>
                <w:bCs/>
                <w:color w:val="FFFFFF" w:themeColor="background1"/>
                <w:sz w:val="14"/>
                <w:szCs w:val="14"/>
                <w:lang w:val="fr-FR"/>
              </w:rPr>
            </w:pPr>
            <w:r w:rsidRPr="0039284E">
              <w:rPr>
                <w:rFonts w:ascii="Arial" w:eastAsia="Times New Roman" w:hAnsi="Arial"/>
                <w:bCs/>
                <w:color w:val="FFFFFF" w:themeColor="background1"/>
                <w:sz w:val="14"/>
                <w:szCs w:val="14"/>
                <w:lang w:val="fr-FR"/>
              </w:rPr>
              <w:t>2012</w:t>
            </w:r>
          </w:p>
        </w:tc>
        <w:tc>
          <w:tcPr>
            <w:tcW w:w="738" w:type="dxa"/>
            <w:tcBorders>
              <w:top w:val="nil"/>
              <w:left w:val="nil"/>
              <w:bottom w:val="single" w:sz="24" w:space="0" w:color="FFFFFF" w:themeColor="background1"/>
              <w:right w:val="nil"/>
            </w:tcBorders>
            <w:shd w:val="clear" w:color="auto" w:fill="365F91" w:themeFill="accent1" w:themeFillShade="BF"/>
            <w:vAlign w:val="bottom"/>
            <w:hideMark/>
          </w:tcPr>
          <w:p w:rsidR="00D24657" w:rsidRDefault="0039284E" w:rsidP="00D24657">
            <w:pPr>
              <w:snapToGrid w:val="0"/>
              <w:spacing w:after="0"/>
              <w:jc w:val="right"/>
              <w:rPr>
                <w:rFonts w:ascii="Arial" w:eastAsia="Times New Roman" w:hAnsi="Arial"/>
                <w:bCs/>
                <w:color w:val="FFFFFF" w:themeColor="background1"/>
                <w:sz w:val="14"/>
                <w:szCs w:val="14"/>
                <w:lang w:val="fr-FR"/>
              </w:rPr>
            </w:pPr>
            <w:r w:rsidRPr="0039284E">
              <w:rPr>
                <w:rFonts w:ascii="Arial" w:eastAsia="Times New Roman" w:hAnsi="Arial"/>
                <w:bCs/>
                <w:color w:val="FFFFFF" w:themeColor="background1"/>
                <w:sz w:val="14"/>
                <w:szCs w:val="14"/>
                <w:lang w:val="fr-FR"/>
              </w:rPr>
              <w:t>1T</w:t>
            </w:r>
            <w:r w:rsidR="00D24657">
              <w:rPr>
                <w:rFonts w:ascii="Arial" w:eastAsia="Times New Roman" w:hAnsi="Arial"/>
                <w:bCs/>
                <w:color w:val="FFFFFF" w:themeColor="background1"/>
                <w:sz w:val="14"/>
                <w:szCs w:val="14"/>
                <w:lang w:val="fr-FR"/>
              </w:rPr>
              <w:t>R</w:t>
            </w:r>
          </w:p>
          <w:p w:rsidR="0039284E" w:rsidRPr="0039284E" w:rsidRDefault="0039284E" w:rsidP="00D24657">
            <w:pPr>
              <w:snapToGrid w:val="0"/>
              <w:spacing w:after="0"/>
              <w:jc w:val="right"/>
              <w:rPr>
                <w:rFonts w:ascii="Arial" w:eastAsia="Times New Roman" w:hAnsi="Arial"/>
                <w:bCs/>
                <w:color w:val="FFFFFF" w:themeColor="background1"/>
                <w:sz w:val="14"/>
                <w:szCs w:val="14"/>
                <w:lang w:val="fr-FR"/>
              </w:rPr>
            </w:pPr>
            <w:r w:rsidRPr="0039284E">
              <w:rPr>
                <w:rFonts w:ascii="Arial" w:eastAsia="Times New Roman" w:hAnsi="Arial"/>
                <w:bCs/>
                <w:color w:val="FFFFFF" w:themeColor="background1"/>
                <w:sz w:val="14"/>
                <w:szCs w:val="14"/>
                <w:lang w:val="fr-FR"/>
              </w:rPr>
              <w:t>2013</w:t>
            </w:r>
          </w:p>
        </w:tc>
        <w:tc>
          <w:tcPr>
            <w:tcW w:w="738" w:type="dxa"/>
            <w:tcBorders>
              <w:top w:val="nil"/>
              <w:left w:val="nil"/>
              <w:bottom w:val="single" w:sz="24" w:space="0" w:color="FFFFFF" w:themeColor="background1"/>
              <w:right w:val="nil"/>
            </w:tcBorders>
            <w:shd w:val="clear" w:color="auto" w:fill="365F91" w:themeFill="accent1" w:themeFillShade="BF"/>
            <w:vAlign w:val="bottom"/>
            <w:hideMark/>
          </w:tcPr>
          <w:p w:rsidR="00D24657" w:rsidRDefault="00D24657" w:rsidP="0039284E">
            <w:pPr>
              <w:snapToGrid w:val="0"/>
              <w:spacing w:after="0"/>
              <w:jc w:val="right"/>
              <w:rPr>
                <w:rFonts w:ascii="Arial" w:eastAsia="Times New Roman" w:hAnsi="Arial"/>
                <w:bCs/>
                <w:color w:val="FFFFFF" w:themeColor="background1"/>
                <w:sz w:val="14"/>
                <w:szCs w:val="14"/>
                <w:lang w:val="fr-FR"/>
              </w:rPr>
            </w:pPr>
            <w:r>
              <w:rPr>
                <w:rFonts w:ascii="Arial" w:eastAsia="Times New Roman" w:hAnsi="Arial"/>
                <w:bCs/>
                <w:color w:val="FFFFFF" w:themeColor="background1"/>
                <w:sz w:val="14"/>
                <w:szCs w:val="14"/>
                <w:lang w:val="fr-FR"/>
              </w:rPr>
              <w:t>2TR</w:t>
            </w:r>
          </w:p>
          <w:p w:rsidR="0039284E" w:rsidRPr="0039284E" w:rsidRDefault="0039284E" w:rsidP="0039284E">
            <w:pPr>
              <w:snapToGrid w:val="0"/>
              <w:spacing w:after="0"/>
              <w:jc w:val="right"/>
              <w:rPr>
                <w:rFonts w:ascii="Arial" w:eastAsia="Times New Roman" w:hAnsi="Arial"/>
                <w:bCs/>
                <w:color w:val="FFFFFF" w:themeColor="background1"/>
                <w:sz w:val="14"/>
                <w:szCs w:val="14"/>
                <w:lang w:val="fr-FR"/>
              </w:rPr>
            </w:pPr>
            <w:r w:rsidRPr="0039284E">
              <w:rPr>
                <w:rFonts w:ascii="Arial" w:eastAsia="Times New Roman" w:hAnsi="Arial"/>
                <w:bCs/>
                <w:color w:val="FFFFFF" w:themeColor="background1"/>
                <w:sz w:val="14"/>
                <w:szCs w:val="14"/>
                <w:lang w:val="fr-FR"/>
              </w:rPr>
              <w:t>2013</w:t>
            </w:r>
          </w:p>
        </w:tc>
        <w:tc>
          <w:tcPr>
            <w:tcW w:w="738" w:type="dxa"/>
            <w:tcBorders>
              <w:top w:val="nil"/>
              <w:left w:val="nil"/>
              <w:bottom w:val="single" w:sz="24" w:space="0" w:color="FFFFFF" w:themeColor="background1"/>
              <w:right w:val="nil"/>
            </w:tcBorders>
            <w:shd w:val="clear" w:color="auto" w:fill="365F91" w:themeFill="accent1" w:themeFillShade="BF"/>
            <w:vAlign w:val="bottom"/>
            <w:hideMark/>
          </w:tcPr>
          <w:p w:rsidR="00D24657" w:rsidRDefault="00D24657" w:rsidP="0039284E">
            <w:pPr>
              <w:snapToGrid w:val="0"/>
              <w:spacing w:after="0"/>
              <w:jc w:val="right"/>
              <w:rPr>
                <w:rFonts w:ascii="Arial" w:eastAsia="Times New Roman" w:hAnsi="Arial"/>
                <w:bCs/>
                <w:color w:val="FFFFFF" w:themeColor="background1"/>
                <w:sz w:val="14"/>
                <w:szCs w:val="14"/>
                <w:lang w:val="fr-FR"/>
              </w:rPr>
            </w:pPr>
            <w:r>
              <w:rPr>
                <w:rFonts w:ascii="Arial" w:eastAsia="Times New Roman" w:hAnsi="Arial"/>
                <w:bCs/>
                <w:color w:val="FFFFFF" w:themeColor="background1"/>
                <w:sz w:val="14"/>
                <w:szCs w:val="14"/>
                <w:lang w:val="fr-FR"/>
              </w:rPr>
              <w:t>3TR</w:t>
            </w:r>
          </w:p>
          <w:p w:rsidR="0039284E" w:rsidRPr="0039284E" w:rsidRDefault="0039284E" w:rsidP="0039284E">
            <w:pPr>
              <w:snapToGrid w:val="0"/>
              <w:spacing w:after="0"/>
              <w:jc w:val="right"/>
              <w:rPr>
                <w:rFonts w:ascii="Arial" w:eastAsia="Times New Roman" w:hAnsi="Arial"/>
                <w:bCs/>
                <w:color w:val="FFFFFF" w:themeColor="background1"/>
                <w:sz w:val="14"/>
                <w:szCs w:val="14"/>
                <w:lang w:val="fr-FR"/>
              </w:rPr>
            </w:pPr>
            <w:r w:rsidRPr="0039284E">
              <w:rPr>
                <w:rFonts w:ascii="Arial" w:eastAsia="Times New Roman" w:hAnsi="Arial"/>
                <w:bCs/>
                <w:color w:val="FFFFFF" w:themeColor="background1"/>
                <w:sz w:val="14"/>
                <w:szCs w:val="14"/>
                <w:lang w:val="fr-FR"/>
              </w:rPr>
              <w:t>2013</w:t>
            </w:r>
          </w:p>
        </w:tc>
        <w:tc>
          <w:tcPr>
            <w:tcW w:w="597" w:type="dxa"/>
            <w:gridSpan w:val="3"/>
            <w:tcBorders>
              <w:top w:val="nil"/>
              <w:left w:val="nil"/>
              <w:bottom w:val="single" w:sz="24" w:space="0" w:color="FFFFFF" w:themeColor="background1"/>
              <w:right w:val="single" w:sz="8" w:space="0" w:color="FFFFFF" w:themeColor="background1"/>
            </w:tcBorders>
            <w:shd w:val="clear" w:color="auto" w:fill="365F91" w:themeFill="accent1" w:themeFillShade="BF"/>
            <w:vAlign w:val="bottom"/>
            <w:hideMark/>
          </w:tcPr>
          <w:p w:rsidR="0039284E" w:rsidRPr="0039284E" w:rsidRDefault="00D24657" w:rsidP="0039284E">
            <w:pPr>
              <w:snapToGrid w:val="0"/>
              <w:spacing w:after="0"/>
              <w:jc w:val="right"/>
              <w:rPr>
                <w:rFonts w:ascii="Arial" w:eastAsia="Times New Roman" w:hAnsi="Arial"/>
                <w:bCs/>
                <w:color w:val="FFFFFF" w:themeColor="background1"/>
                <w:sz w:val="14"/>
                <w:szCs w:val="14"/>
                <w:lang w:val="fr-FR"/>
              </w:rPr>
            </w:pPr>
            <w:r>
              <w:rPr>
                <w:rFonts w:ascii="Arial" w:eastAsia="Times New Roman" w:hAnsi="Arial"/>
                <w:bCs/>
                <w:color w:val="FFFFFF" w:themeColor="background1"/>
                <w:sz w:val="14"/>
                <w:szCs w:val="14"/>
                <w:lang w:val="fr-FR"/>
              </w:rPr>
              <w:t>4TR</w:t>
            </w:r>
          </w:p>
          <w:p w:rsidR="0039284E" w:rsidRPr="0039284E" w:rsidRDefault="0039284E" w:rsidP="0039284E">
            <w:pPr>
              <w:snapToGrid w:val="0"/>
              <w:spacing w:after="0"/>
              <w:jc w:val="right"/>
              <w:rPr>
                <w:rFonts w:ascii="Arial" w:eastAsia="Times New Roman" w:hAnsi="Arial"/>
                <w:bCs/>
                <w:color w:val="FFFFFF" w:themeColor="background1"/>
                <w:sz w:val="14"/>
                <w:szCs w:val="14"/>
                <w:lang w:val="fr-FR"/>
              </w:rPr>
            </w:pPr>
            <w:r w:rsidRPr="0039284E">
              <w:rPr>
                <w:rFonts w:ascii="Arial" w:eastAsia="Times New Roman" w:hAnsi="Arial"/>
                <w:bCs/>
                <w:color w:val="FFFFFF" w:themeColor="background1"/>
                <w:sz w:val="14"/>
                <w:szCs w:val="14"/>
                <w:lang w:val="fr-FR"/>
              </w:rPr>
              <w:t>2013</w:t>
            </w:r>
          </w:p>
        </w:tc>
        <w:tc>
          <w:tcPr>
            <w:tcW w:w="785" w:type="dxa"/>
            <w:tcBorders>
              <w:top w:val="nil"/>
              <w:left w:val="single" w:sz="8" w:space="0" w:color="FFFFFF" w:themeColor="background1"/>
              <w:bottom w:val="single" w:sz="24" w:space="0" w:color="FFFFFF" w:themeColor="background1"/>
              <w:right w:val="nil"/>
            </w:tcBorders>
            <w:shd w:val="clear" w:color="auto" w:fill="365F91" w:themeFill="accent1" w:themeFillShade="BF"/>
            <w:hideMark/>
          </w:tcPr>
          <w:p w:rsidR="0039284E" w:rsidRPr="0039284E" w:rsidRDefault="0039284E" w:rsidP="0039284E">
            <w:pPr>
              <w:snapToGrid w:val="0"/>
              <w:spacing w:after="0"/>
              <w:jc w:val="right"/>
              <w:rPr>
                <w:rFonts w:ascii="Arial" w:eastAsia="Times New Roman" w:hAnsi="Arial"/>
                <w:bCs/>
                <w:color w:val="FFFFFF" w:themeColor="background1"/>
                <w:sz w:val="14"/>
                <w:szCs w:val="14"/>
                <w:lang w:val="fr-FR"/>
              </w:rPr>
            </w:pPr>
            <w:r w:rsidRPr="0039284E">
              <w:rPr>
                <w:rFonts w:ascii="Arial" w:eastAsia="Times New Roman" w:hAnsi="Arial"/>
                <w:bCs/>
                <w:color w:val="FFFFFF" w:themeColor="background1"/>
                <w:sz w:val="14"/>
                <w:szCs w:val="14"/>
                <w:lang w:val="fr-FR"/>
              </w:rPr>
              <w:t>Exercice complet 2012</w:t>
            </w:r>
          </w:p>
        </w:tc>
        <w:tc>
          <w:tcPr>
            <w:tcW w:w="834" w:type="dxa"/>
            <w:tcBorders>
              <w:top w:val="nil"/>
              <w:left w:val="nil"/>
              <w:bottom w:val="single" w:sz="24" w:space="0" w:color="FFFFFF" w:themeColor="background1"/>
              <w:right w:val="nil"/>
            </w:tcBorders>
            <w:shd w:val="clear" w:color="auto" w:fill="365F91" w:themeFill="accent1" w:themeFillShade="BF"/>
            <w:hideMark/>
          </w:tcPr>
          <w:p w:rsidR="0039284E" w:rsidRPr="0039284E" w:rsidRDefault="0039284E" w:rsidP="0039284E">
            <w:pPr>
              <w:snapToGrid w:val="0"/>
              <w:spacing w:after="0"/>
              <w:jc w:val="right"/>
              <w:rPr>
                <w:rFonts w:ascii="Arial" w:eastAsia="Times New Roman" w:hAnsi="Arial"/>
                <w:bCs/>
                <w:color w:val="FFFFFF" w:themeColor="background1"/>
                <w:sz w:val="14"/>
                <w:szCs w:val="14"/>
                <w:lang w:val="fr-FR"/>
              </w:rPr>
            </w:pPr>
            <w:r w:rsidRPr="0039284E">
              <w:rPr>
                <w:rFonts w:ascii="Arial" w:eastAsia="Times New Roman" w:hAnsi="Arial"/>
                <w:bCs/>
                <w:color w:val="FFFFFF" w:themeColor="background1"/>
                <w:sz w:val="14"/>
                <w:szCs w:val="14"/>
                <w:lang w:val="fr-FR"/>
              </w:rPr>
              <w:t>Exercice complet</w:t>
            </w:r>
          </w:p>
          <w:p w:rsidR="0039284E" w:rsidRPr="0039284E" w:rsidRDefault="0039284E" w:rsidP="0039284E">
            <w:pPr>
              <w:snapToGrid w:val="0"/>
              <w:spacing w:after="0"/>
              <w:jc w:val="right"/>
              <w:rPr>
                <w:rFonts w:ascii="Arial" w:eastAsia="Times New Roman" w:hAnsi="Arial"/>
                <w:bCs/>
                <w:color w:val="FFFFFF" w:themeColor="background1"/>
                <w:sz w:val="14"/>
                <w:szCs w:val="14"/>
                <w:lang w:val="fr-FR"/>
              </w:rPr>
            </w:pPr>
            <w:r w:rsidRPr="0039284E">
              <w:rPr>
                <w:rFonts w:ascii="Arial" w:eastAsia="Times New Roman" w:hAnsi="Arial"/>
                <w:bCs/>
                <w:color w:val="FFFFFF" w:themeColor="background1"/>
                <w:sz w:val="14"/>
                <w:szCs w:val="14"/>
                <w:lang w:val="fr-FR"/>
              </w:rPr>
              <w:t>2013</w:t>
            </w:r>
          </w:p>
        </w:tc>
      </w:tr>
      <w:tr w:rsidR="00D24657" w:rsidRPr="00820EEE" w:rsidTr="0039284E">
        <w:trPr>
          <w:trHeight w:val="284"/>
        </w:trPr>
        <w:tc>
          <w:tcPr>
            <w:tcW w:w="3202" w:type="dxa"/>
            <w:tcBorders>
              <w:top w:val="single" w:sz="24" w:space="0" w:color="FFFFFF" w:themeColor="background1"/>
              <w:left w:val="nil"/>
              <w:bottom w:val="nil"/>
              <w:right w:val="single" w:sz="8" w:space="0" w:color="FFFFFF" w:themeColor="background1"/>
            </w:tcBorders>
            <w:shd w:val="clear" w:color="auto" w:fill="365F91" w:themeFill="accent1" w:themeFillShade="BF"/>
            <w:vAlign w:val="center"/>
            <w:hideMark/>
          </w:tcPr>
          <w:p w:rsidR="0039284E" w:rsidRPr="0039284E" w:rsidRDefault="0039284E" w:rsidP="0039284E">
            <w:pPr>
              <w:snapToGrid w:val="0"/>
              <w:spacing w:after="0"/>
              <w:rPr>
                <w:rFonts w:ascii="Arial" w:eastAsia="Times New Roman" w:hAnsi="Arial"/>
                <w:bCs/>
                <w:color w:val="FFFFFF" w:themeColor="background1"/>
                <w:sz w:val="14"/>
                <w:szCs w:val="14"/>
                <w:lang w:val="fr-FR"/>
              </w:rPr>
            </w:pPr>
            <w:r w:rsidRPr="0039284E">
              <w:rPr>
                <w:rFonts w:ascii="Arial" w:eastAsia="Times New Roman" w:hAnsi="Arial"/>
                <w:bCs/>
                <w:color w:val="FFFFFF" w:themeColor="background1"/>
                <w:sz w:val="14"/>
                <w:szCs w:val="14"/>
                <w:lang w:val="fr-FR"/>
              </w:rPr>
              <w:t xml:space="preserve">Résultat net ajusté (hors activités </w:t>
            </w:r>
            <w:proofErr w:type="spellStart"/>
            <w:r w:rsidRPr="0039284E">
              <w:rPr>
                <w:rFonts w:ascii="Arial" w:eastAsia="Times New Roman" w:hAnsi="Arial"/>
                <w:bCs/>
                <w:color w:val="FFFFFF" w:themeColor="background1"/>
                <w:sz w:val="14"/>
                <w:szCs w:val="14"/>
                <w:lang w:val="fr-FR"/>
              </w:rPr>
              <w:t>legacy</w:t>
            </w:r>
            <w:proofErr w:type="spellEnd"/>
            <w:r w:rsidRPr="0039284E">
              <w:rPr>
                <w:rFonts w:ascii="Arial" w:eastAsia="Times New Roman" w:hAnsi="Arial"/>
                <w:bCs/>
                <w:color w:val="FFFFFF" w:themeColor="background1"/>
                <w:sz w:val="14"/>
                <w:szCs w:val="14"/>
                <w:lang w:val="fr-FR"/>
              </w:rPr>
              <w:t xml:space="preserve"> et risques de crédit propres) </w:t>
            </w:r>
          </w:p>
        </w:tc>
        <w:tc>
          <w:tcPr>
            <w:tcW w:w="738" w:type="dxa"/>
            <w:tcBorders>
              <w:top w:val="single" w:sz="24" w:space="0" w:color="FFFFFF" w:themeColor="background1"/>
              <w:left w:val="single" w:sz="8" w:space="0" w:color="FFFFFF" w:themeColor="background1"/>
              <w:bottom w:val="nil"/>
              <w:right w:val="nil"/>
            </w:tcBorders>
            <w:shd w:val="clear" w:color="auto" w:fill="365F91" w:themeFill="accent1" w:themeFillShade="BF"/>
            <w:vAlign w:val="bottom"/>
          </w:tcPr>
          <w:p w:rsidR="0039284E" w:rsidRPr="0039284E" w:rsidRDefault="0039284E" w:rsidP="0039284E">
            <w:pPr>
              <w:snapToGrid w:val="0"/>
              <w:spacing w:after="0"/>
              <w:jc w:val="right"/>
              <w:rPr>
                <w:rFonts w:ascii="Arial" w:eastAsia="Times New Roman" w:hAnsi="Arial"/>
                <w:bCs/>
                <w:color w:val="FFFFFF" w:themeColor="background1"/>
                <w:sz w:val="14"/>
                <w:szCs w:val="14"/>
                <w:lang w:val="fr-FR"/>
              </w:rPr>
            </w:pPr>
          </w:p>
        </w:tc>
        <w:tc>
          <w:tcPr>
            <w:tcW w:w="760" w:type="dxa"/>
            <w:tcBorders>
              <w:top w:val="single" w:sz="24" w:space="0" w:color="FFFFFF" w:themeColor="background1"/>
              <w:left w:val="nil"/>
              <w:bottom w:val="nil"/>
              <w:right w:val="nil"/>
            </w:tcBorders>
            <w:shd w:val="clear" w:color="auto" w:fill="365F91" w:themeFill="accent1" w:themeFillShade="BF"/>
            <w:vAlign w:val="bottom"/>
          </w:tcPr>
          <w:p w:rsidR="0039284E" w:rsidRPr="0039284E" w:rsidRDefault="0039284E" w:rsidP="0039284E">
            <w:pPr>
              <w:snapToGrid w:val="0"/>
              <w:spacing w:after="0"/>
              <w:jc w:val="right"/>
              <w:rPr>
                <w:rFonts w:ascii="Arial" w:eastAsia="Times New Roman" w:hAnsi="Arial"/>
                <w:bCs/>
                <w:color w:val="FFFFFF" w:themeColor="background1"/>
                <w:sz w:val="14"/>
                <w:szCs w:val="14"/>
                <w:lang w:val="fr-FR"/>
              </w:rPr>
            </w:pPr>
          </w:p>
        </w:tc>
        <w:tc>
          <w:tcPr>
            <w:tcW w:w="738" w:type="dxa"/>
            <w:tcBorders>
              <w:top w:val="single" w:sz="24" w:space="0" w:color="FFFFFF" w:themeColor="background1"/>
              <w:left w:val="nil"/>
              <w:bottom w:val="nil"/>
              <w:right w:val="nil"/>
            </w:tcBorders>
            <w:shd w:val="clear" w:color="auto" w:fill="365F91" w:themeFill="accent1" w:themeFillShade="BF"/>
            <w:vAlign w:val="bottom"/>
          </w:tcPr>
          <w:p w:rsidR="0039284E" w:rsidRPr="0039284E" w:rsidRDefault="0039284E" w:rsidP="0039284E">
            <w:pPr>
              <w:snapToGrid w:val="0"/>
              <w:spacing w:after="0"/>
              <w:jc w:val="right"/>
              <w:rPr>
                <w:rFonts w:ascii="Arial" w:eastAsia="Times New Roman" w:hAnsi="Arial"/>
                <w:bCs/>
                <w:color w:val="FFFFFF" w:themeColor="background1"/>
                <w:sz w:val="14"/>
                <w:szCs w:val="14"/>
                <w:lang w:val="fr-FR"/>
              </w:rPr>
            </w:pPr>
          </w:p>
        </w:tc>
        <w:tc>
          <w:tcPr>
            <w:tcW w:w="621" w:type="dxa"/>
            <w:tcBorders>
              <w:top w:val="single" w:sz="24" w:space="0" w:color="FFFFFF" w:themeColor="background1"/>
              <w:left w:val="nil"/>
              <w:bottom w:val="nil"/>
              <w:right w:val="nil"/>
            </w:tcBorders>
            <w:shd w:val="clear" w:color="auto" w:fill="365F91" w:themeFill="accent1" w:themeFillShade="BF"/>
            <w:vAlign w:val="bottom"/>
          </w:tcPr>
          <w:p w:rsidR="0039284E" w:rsidRPr="0039284E" w:rsidRDefault="0039284E" w:rsidP="0039284E">
            <w:pPr>
              <w:snapToGrid w:val="0"/>
              <w:spacing w:after="0"/>
              <w:jc w:val="right"/>
              <w:rPr>
                <w:rFonts w:ascii="Arial" w:eastAsia="Times New Roman" w:hAnsi="Arial"/>
                <w:bCs/>
                <w:color w:val="FFFFFF" w:themeColor="background1"/>
                <w:sz w:val="14"/>
                <w:szCs w:val="14"/>
                <w:lang w:val="fr-FR"/>
              </w:rPr>
            </w:pPr>
          </w:p>
        </w:tc>
        <w:tc>
          <w:tcPr>
            <w:tcW w:w="738" w:type="dxa"/>
            <w:tcBorders>
              <w:top w:val="single" w:sz="24" w:space="0" w:color="FFFFFF" w:themeColor="background1"/>
              <w:left w:val="nil"/>
              <w:bottom w:val="nil"/>
              <w:right w:val="nil"/>
            </w:tcBorders>
            <w:shd w:val="clear" w:color="auto" w:fill="365F91" w:themeFill="accent1" w:themeFillShade="BF"/>
            <w:vAlign w:val="bottom"/>
          </w:tcPr>
          <w:p w:rsidR="0039284E" w:rsidRPr="0039284E" w:rsidRDefault="0039284E" w:rsidP="0039284E">
            <w:pPr>
              <w:snapToGrid w:val="0"/>
              <w:spacing w:after="0"/>
              <w:jc w:val="right"/>
              <w:rPr>
                <w:rFonts w:ascii="Arial" w:eastAsia="Times New Roman" w:hAnsi="Arial"/>
                <w:bCs/>
                <w:color w:val="FFFFFF" w:themeColor="background1"/>
                <w:sz w:val="14"/>
                <w:szCs w:val="14"/>
                <w:lang w:val="fr-FR"/>
              </w:rPr>
            </w:pPr>
          </w:p>
        </w:tc>
        <w:tc>
          <w:tcPr>
            <w:tcW w:w="738" w:type="dxa"/>
            <w:tcBorders>
              <w:top w:val="single" w:sz="24" w:space="0" w:color="FFFFFF" w:themeColor="background1"/>
              <w:left w:val="nil"/>
              <w:bottom w:val="nil"/>
              <w:right w:val="nil"/>
            </w:tcBorders>
            <w:shd w:val="clear" w:color="auto" w:fill="365F91" w:themeFill="accent1" w:themeFillShade="BF"/>
            <w:vAlign w:val="bottom"/>
          </w:tcPr>
          <w:p w:rsidR="0039284E" w:rsidRPr="0039284E" w:rsidRDefault="0039284E" w:rsidP="0039284E">
            <w:pPr>
              <w:snapToGrid w:val="0"/>
              <w:spacing w:after="0"/>
              <w:jc w:val="right"/>
              <w:rPr>
                <w:rFonts w:ascii="Arial" w:eastAsia="Times New Roman" w:hAnsi="Arial"/>
                <w:bCs/>
                <w:color w:val="FFFFFF" w:themeColor="background1"/>
                <w:sz w:val="14"/>
                <w:szCs w:val="14"/>
                <w:lang w:val="fr-FR"/>
              </w:rPr>
            </w:pPr>
          </w:p>
        </w:tc>
        <w:tc>
          <w:tcPr>
            <w:tcW w:w="738" w:type="dxa"/>
            <w:tcBorders>
              <w:top w:val="single" w:sz="24" w:space="0" w:color="FFFFFF" w:themeColor="background1"/>
              <w:left w:val="nil"/>
              <w:bottom w:val="nil"/>
              <w:right w:val="nil"/>
            </w:tcBorders>
            <w:shd w:val="clear" w:color="auto" w:fill="365F91" w:themeFill="accent1" w:themeFillShade="BF"/>
            <w:vAlign w:val="bottom"/>
          </w:tcPr>
          <w:p w:rsidR="0039284E" w:rsidRPr="0039284E" w:rsidRDefault="0039284E" w:rsidP="0039284E">
            <w:pPr>
              <w:snapToGrid w:val="0"/>
              <w:spacing w:after="0"/>
              <w:jc w:val="right"/>
              <w:rPr>
                <w:rFonts w:ascii="Arial" w:eastAsia="Times New Roman" w:hAnsi="Arial"/>
                <w:bCs/>
                <w:color w:val="FFFFFF" w:themeColor="background1"/>
                <w:sz w:val="14"/>
                <w:szCs w:val="14"/>
                <w:lang w:val="fr-FR"/>
              </w:rPr>
            </w:pPr>
          </w:p>
        </w:tc>
        <w:tc>
          <w:tcPr>
            <w:tcW w:w="597" w:type="dxa"/>
            <w:gridSpan w:val="3"/>
            <w:tcBorders>
              <w:top w:val="single" w:sz="24" w:space="0" w:color="FFFFFF" w:themeColor="background1"/>
              <w:left w:val="nil"/>
              <w:bottom w:val="nil"/>
              <w:right w:val="single" w:sz="8" w:space="0" w:color="FFFFFF" w:themeColor="background1"/>
            </w:tcBorders>
            <w:shd w:val="clear" w:color="auto" w:fill="365F91" w:themeFill="accent1" w:themeFillShade="BF"/>
            <w:vAlign w:val="bottom"/>
          </w:tcPr>
          <w:p w:rsidR="0039284E" w:rsidRPr="0039284E" w:rsidRDefault="0039284E" w:rsidP="0039284E">
            <w:pPr>
              <w:snapToGrid w:val="0"/>
              <w:spacing w:after="0"/>
              <w:jc w:val="right"/>
              <w:rPr>
                <w:rFonts w:ascii="Arial" w:eastAsia="Times New Roman" w:hAnsi="Arial"/>
                <w:bCs/>
                <w:color w:val="FFFFFF" w:themeColor="background1"/>
                <w:sz w:val="14"/>
                <w:szCs w:val="14"/>
                <w:lang w:val="fr-FR"/>
              </w:rPr>
            </w:pPr>
          </w:p>
        </w:tc>
        <w:tc>
          <w:tcPr>
            <w:tcW w:w="785" w:type="dxa"/>
            <w:tcBorders>
              <w:top w:val="single" w:sz="24" w:space="0" w:color="FFFFFF" w:themeColor="background1"/>
              <w:left w:val="single" w:sz="8" w:space="0" w:color="FFFFFF" w:themeColor="background1"/>
              <w:bottom w:val="nil"/>
              <w:right w:val="nil"/>
            </w:tcBorders>
            <w:shd w:val="clear" w:color="auto" w:fill="365F91" w:themeFill="accent1" w:themeFillShade="BF"/>
          </w:tcPr>
          <w:p w:rsidR="0039284E" w:rsidRPr="0039284E" w:rsidRDefault="0039284E" w:rsidP="0039284E">
            <w:pPr>
              <w:snapToGrid w:val="0"/>
              <w:spacing w:after="0"/>
              <w:jc w:val="right"/>
              <w:rPr>
                <w:rFonts w:ascii="Arial" w:eastAsia="Times New Roman" w:hAnsi="Arial"/>
                <w:bCs/>
                <w:color w:val="FFFFFF" w:themeColor="background1"/>
                <w:sz w:val="14"/>
                <w:szCs w:val="14"/>
                <w:lang w:val="fr-FR"/>
              </w:rPr>
            </w:pPr>
          </w:p>
        </w:tc>
        <w:tc>
          <w:tcPr>
            <w:tcW w:w="834" w:type="dxa"/>
            <w:tcBorders>
              <w:top w:val="single" w:sz="24" w:space="0" w:color="FFFFFF" w:themeColor="background1"/>
              <w:left w:val="nil"/>
              <w:bottom w:val="nil"/>
              <w:right w:val="nil"/>
            </w:tcBorders>
            <w:shd w:val="clear" w:color="auto" w:fill="365F91" w:themeFill="accent1" w:themeFillShade="BF"/>
          </w:tcPr>
          <w:p w:rsidR="0039284E" w:rsidRPr="0039284E" w:rsidRDefault="0039284E" w:rsidP="0039284E">
            <w:pPr>
              <w:snapToGrid w:val="0"/>
              <w:spacing w:after="0"/>
              <w:jc w:val="right"/>
              <w:rPr>
                <w:rFonts w:ascii="Arial" w:eastAsia="Times New Roman" w:hAnsi="Arial"/>
                <w:bCs/>
                <w:color w:val="FFFFFF" w:themeColor="background1"/>
                <w:sz w:val="14"/>
                <w:szCs w:val="14"/>
                <w:lang w:val="fr-FR"/>
              </w:rPr>
            </w:pPr>
          </w:p>
        </w:tc>
      </w:tr>
      <w:tr w:rsidR="00D24657" w:rsidRPr="0039284E" w:rsidTr="0039284E">
        <w:trPr>
          <w:trHeight w:val="284"/>
        </w:trPr>
        <w:tc>
          <w:tcPr>
            <w:tcW w:w="3202" w:type="dxa"/>
            <w:tcBorders>
              <w:top w:val="nil"/>
              <w:left w:val="nil"/>
              <w:bottom w:val="nil"/>
              <w:right w:val="single" w:sz="4" w:space="0" w:color="1F497D" w:themeColor="text2"/>
            </w:tcBorders>
            <w:vAlign w:val="center"/>
            <w:hideMark/>
          </w:tcPr>
          <w:p w:rsidR="0039284E" w:rsidRPr="0039284E" w:rsidRDefault="0039284E" w:rsidP="0039284E">
            <w:pPr>
              <w:snapToGrid w:val="0"/>
              <w:spacing w:after="0"/>
              <w:rPr>
                <w:rFonts w:ascii="Arial" w:eastAsia="Times New Roman" w:hAnsi="Arial"/>
                <w:bCs/>
                <w:sz w:val="14"/>
                <w:szCs w:val="14"/>
                <w:lang w:val="fr-FR"/>
              </w:rPr>
            </w:pPr>
            <w:r w:rsidRPr="0039284E">
              <w:rPr>
                <w:rFonts w:ascii="Arial" w:eastAsia="Times New Roman" w:hAnsi="Arial"/>
                <w:bCs/>
                <w:sz w:val="14"/>
                <w:szCs w:val="14"/>
                <w:lang w:val="fr-FR"/>
              </w:rPr>
              <w:t>Revenus nets d’intérêts</w:t>
            </w:r>
          </w:p>
        </w:tc>
        <w:tc>
          <w:tcPr>
            <w:tcW w:w="738" w:type="dxa"/>
            <w:tcBorders>
              <w:top w:val="nil"/>
              <w:left w:val="single" w:sz="4" w:space="0" w:color="1F497D" w:themeColor="text2"/>
              <w:bottom w:val="nil"/>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1 217</w:t>
            </w:r>
          </w:p>
        </w:tc>
        <w:tc>
          <w:tcPr>
            <w:tcW w:w="760"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1 153</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1 078</w:t>
            </w:r>
          </w:p>
        </w:tc>
        <w:tc>
          <w:tcPr>
            <w:tcW w:w="621"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1 084</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1 032</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990</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1 013</w:t>
            </w:r>
          </w:p>
        </w:tc>
        <w:tc>
          <w:tcPr>
            <w:tcW w:w="597" w:type="dxa"/>
            <w:gridSpan w:val="3"/>
            <w:tcBorders>
              <w:top w:val="nil"/>
              <w:left w:val="nil"/>
              <w:bottom w:val="nil"/>
              <w:right w:val="single" w:sz="4" w:space="0" w:color="1F497D" w:themeColor="text2"/>
            </w:tcBorders>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1 009</w:t>
            </w:r>
          </w:p>
        </w:tc>
        <w:tc>
          <w:tcPr>
            <w:tcW w:w="785" w:type="dxa"/>
            <w:tcBorders>
              <w:top w:val="nil"/>
              <w:left w:val="single" w:sz="4" w:space="0" w:color="1F497D" w:themeColor="text2"/>
              <w:bottom w:val="nil"/>
              <w:right w:val="nil"/>
            </w:tcBorders>
            <w:shd w:val="clear" w:color="auto" w:fill="FFFFFF" w:themeFill="background1"/>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4 532</w:t>
            </w:r>
          </w:p>
        </w:tc>
        <w:tc>
          <w:tcPr>
            <w:tcW w:w="834" w:type="dxa"/>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4 044</w:t>
            </w:r>
          </w:p>
        </w:tc>
      </w:tr>
      <w:tr w:rsidR="00D24657" w:rsidRPr="0039284E" w:rsidTr="0039284E">
        <w:trPr>
          <w:trHeight w:val="284"/>
        </w:trPr>
        <w:tc>
          <w:tcPr>
            <w:tcW w:w="3202" w:type="dxa"/>
            <w:tcBorders>
              <w:top w:val="nil"/>
              <w:left w:val="nil"/>
              <w:bottom w:val="nil"/>
              <w:right w:val="single" w:sz="4" w:space="0" w:color="1F497D" w:themeColor="text2"/>
            </w:tcBorders>
            <w:vAlign w:val="center"/>
            <w:hideMark/>
          </w:tcPr>
          <w:p w:rsidR="0039284E" w:rsidRPr="0039284E" w:rsidRDefault="0039284E" w:rsidP="0039284E">
            <w:pPr>
              <w:spacing w:after="0"/>
              <w:rPr>
                <w:rFonts w:ascii="Arial" w:eastAsia="Times New Roman" w:hAnsi="Arial" w:cs="Arial"/>
                <w:sz w:val="14"/>
                <w:szCs w:val="14"/>
                <w:lang w:val="fr-FR"/>
              </w:rPr>
            </w:pPr>
            <w:r w:rsidRPr="0039284E">
              <w:rPr>
                <w:rFonts w:ascii="Arial" w:eastAsia="Times New Roman" w:hAnsi="Arial" w:cs="Arial"/>
                <w:sz w:val="14"/>
                <w:szCs w:val="14"/>
                <w:lang w:val="fr-FR"/>
              </w:rPr>
              <w:t>Assurance non-vie (avant réassurance)</w:t>
            </w:r>
          </w:p>
        </w:tc>
        <w:tc>
          <w:tcPr>
            <w:tcW w:w="738" w:type="dxa"/>
            <w:tcBorders>
              <w:top w:val="nil"/>
              <w:left w:val="single" w:sz="4" w:space="0" w:color="1F497D" w:themeColor="text2"/>
              <w:bottom w:val="nil"/>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204</w:t>
            </w:r>
          </w:p>
        </w:tc>
        <w:tc>
          <w:tcPr>
            <w:tcW w:w="760"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200</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157</w:t>
            </w:r>
          </w:p>
        </w:tc>
        <w:tc>
          <w:tcPr>
            <w:tcW w:w="621"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61</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149</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115</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145</w:t>
            </w:r>
          </w:p>
        </w:tc>
        <w:tc>
          <w:tcPr>
            <w:tcW w:w="597" w:type="dxa"/>
            <w:gridSpan w:val="3"/>
            <w:tcBorders>
              <w:top w:val="nil"/>
              <w:left w:val="nil"/>
              <w:bottom w:val="nil"/>
              <w:right w:val="single" w:sz="4" w:space="0" w:color="1F497D" w:themeColor="text2"/>
            </w:tcBorders>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127</w:t>
            </w:r>
          </w:p>
        </w:tc>
        <w:tc>
          <w:tcPr>
            <w:tcW w:w="785" w:type="dxa"/>
            <w:tcBorders>
              <w:top w:val="nil"/>
              <w:left w:val="single" w:sz="4" w:space="0" w:color="1F497D" w:themeColor="text2"/>
              <w:bottom w:val="nil"/>
              <w:right w:val="nil"/>
            </w:tcBorders>
            <w:shd w:val="clear" w:color="auto" w:fill="FFFFFF" w:themeFill="background1"/>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622</w:t>
            </w:r>
          </w:p>
        </w:tc>
        <w:tc>
          <w:tcPr>
            <w:tcW w:w="834" w:type="dxa"/>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536</w:t>
            </w:r>
          </w:p>
        </w:tc>
      </w:tr>
      <w:tr w:rsidR="00D24657" w:rsidRPr="0039284E" w:rsidTr="0039284E">
        <w:trPr>
          <w:trHeight w:val="284"/>
        </w:trPr>
        <w:tc>
          <w:tcPr>
            <w:tcW w:w="3202" w:type="dxa"/>
            <w:tcBorders>
              <w:top w:val="nil"/>
              <w:left w:val="nil"/>
              <w:bottom w:val="nil"/>
              <w:right w:val="single" w:sz="4" w:space="0" w:color="1F497D" w:themeColor="text2"/>
            </w:tcBorders>
            <w:vAlign w:val="center"/>
            <w:hideMark/>
          </w:tcPr>
          <w:p w:rsidR="0039284E" w:rsidRPr="0039284E" w:rsidRDefault="0039284E" w:rsidP="0039284E">
            <w:pPr>
              <w:spacing w:after="0"/>
              <w:ind w:firstLineChars="400" w:firstLine="560"/>
              <w:rPr>
                <w:rFonts w:ascii="Arial" w:eastAsia="Times New Roman" w:hAnsi="Arial" w:cs="Arial"/>
                <w:i/>
                <w:iCs/>
                <w:sz w:val="14"/>
                <w:szCs w:val="14"/>
                <w:lang w:val="fr-FR"/>
              </w:rPr>
            </w:pPr>
            <w:r w:rsidRPr="0039284E">
              <w:rPr>
                <w:rFonts w:ascii="Arial" w:eastAsia="Times New Roman" w:hAnsi="Arial" w:cs="Arial"/>
                <w:i/>
                <w:iCs/>
                <w:sz w:val="14"/>
                <w:szCs w:val="14"/>
                <w:lang w:val="fr-FR"/>
              </w:rPr>
              <w:t>Primes acquises</w:t>
            </w:r>
          </w:p>
        </w:tc>
        <w:tc>
          <w:tcPr>
            <w:tcW w:w="738" w:type="dxa"/>
            <w:tcBorders>
              <w:top w:val="nil"/>
              <w:left w:val="single" w:sz="4" w:space="0" w:color="1F497D" w:themeColor="text2"/>
              <w:bottom w:val="nil"/>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438</w:t>
            </w:r>
          </w:p>
        </w:tc>
        <w:tc>
          <w:tcPr>
            <w:tcW w:w="760"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442</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307</w:t>
            </w:r>
          </w:p>
        </w:tc>
        <w:tc>
          <w:tcPr>
            <w:tcW w:w="621"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313</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305</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316</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321</w:t>
            </w:r>
          </w:p>
        </w:tc>
        <w:tc>
          <w:tcPr>
            <w:tcW w:w="597" w:type="dxa"/>
            <w:gridSpan w:val="3"/>
            <w:tcBorders>
              <w:top w:val="nil"/>
              <w:left w:val="nil"/>
              <w:bottom w:val="nil"/>
              <w:right w:val="single" w:sz="4" w:space="0" w:color="1F497D" w:themeColor="text2"/>
            </w:tcBorders>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317</w:t>
            </w:r>
          </w:p>
        </w:tc>
        <w:tc>
          <w:tcPr>
            <w:tcW w:w="785" w:type="dxa"/>
            <w:tcBorders>
              <w:top w:val="nil"/>
              <w:left w:val="single" w:sz="4" w:space="0" w:color="1F497D" w:themeColor="text2"/>
              <w:bottom w:val="nil"/>
              <w:right w:val="nil"/>
            </w:tcBorders>
            <w:shd w:val="clear" w:color="auto" w:fill="FFFFFF" w:themeFill="background1"/>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1 500</w:t>
            </w:r>
          </w:p>
        </w:tc>
        <w:tc>
          <w:tcPr>
            <w:tcW w:w="834" w:type="dxa"/>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1 259</w:t>
            </w:r>
          </w:p>
        </w:tc>
      </w:tr>
      <w:tr w:rsidR="00D24657" w:rsidRPr="0039284E" w:rsidTr="0039284E">
        <w:trPr>
          <w:trHeight w:val="284"/>
        </w:trPr>
        <w:tc>
          <w:tcPr>
            <w:tcW w:w="3202" w:type="dxa"/>
            <w:tcBorders>
              <w:top w:val="nil"/>
              <w:left w:val="nil"/>
              <w:bottom w:val="nil"/>
              <w:right w:val="single" w:sz="4" w:space="0" w:color="1F497D" w:themeColor="text2"/>
            </w:tcBorders>
            <w:vAlign w:val="center"/>
            <w:hideMark/>
          </w:tcPr>
          <w:p w:rsidR="0039284E" w:rsidRPr="0039284E" w:rsidRDefault="0039284E" w:rsidP="0039284E">
            <w:pPr>
              <w:spacing w:after="0"/>
              <w:ind w:firstLineChars="400" w:firstLine="560"/>
              <w:rPr>
                <w:rFonts w:ascii="Arial" w:eastAsia="Times New Roman" w:hAnsi="Arial" w:cs="Arial"/>
                <w:i/>
                <w:iCs/>
                <w:sz w:val="14"/>
                <w:szCs w:val="14"/>
                <w:lang w:val="fr-FR"/>
              </w:rPr>
            </w:pPr>
            <w:r w:rsidRPr="0039284E">
              <w:rPr>
                <w:rFonts w:ascii="Arial" w:eastAsia="Times New Roman" w:hAnsi="Arial" w:cs="Arial"/>
                <w:i/>
                <w:iCs/>
                <w:sz w:val="14"/>
                <w:szCs w:val="14"/>
                <w:lang w:val="fr-FR"/>
              </w:rPr>
              <w:t>Charges techniques</w:t>
            </w:r>
          </w:p>
        </w:tc>
        <w:tc>
          <w:tcPr>
            <w:tcW w:w="738" w:type="dxa"/>
            <w:tcBorders>
              <w:top w:val="nil"/>
              <w:left w:val="single" w:sz="4" w:space="0" w:color="1F497D" w:themeColor="text2"/>
              <w:bottom w:val="nil"/>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-234</w:t>
            </w:r>
          </w:p>
        </w:tc>
        <w:tc>
          <w:tcPr>
            <w:tcW w:w="760"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-243</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-150</w:t>
            </w:r>
          </w:p>
        </w:tc>
        <w:tc>
          <w:tcPr>
            <w:tcW w:w="621"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-252</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-156</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-201</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-176</w:t>
            </w:r>
          </w:p>
        </w:tc>
        <w:tc>
          <w:tcPr>
            <w:tcW w:w="597" w:type="dxa"/>
            <w:gridSpan w:val="3"/>
            <w:tcBorders>
              <w:top w:val="nil"/>
              <w:left w:val="nil"/>
              <w:bottom w:val="nil"/>
              <w:right w:val="single" w:sz="4" w:space="0" w:color="1F497D" w:themeColor="text2"/>
            </w:tcBorders>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-190</w:t>
            </w:r>
          </w:p>
        </w:tc>
        <w:tc>
          <w:tcPr>
            <w:tcW w:w="785" w:type="dxa"/>
            <w:tcBorders>
              <w:top w:val="nil"/>
              <w:left w:val="single" w:sz="4" w:space="0" w:color="1F497D" w:themeColor="text2"/>
              <w:bottom w:val="nil"/>
              <w:right w:val="nil"/>
            </w:tcBorders>
            <w:shd w:val="clear" w:color="auto" w:fill="FFFFFF" w:themeFill="background1"/>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-878</w:t>
            </w:r>
          </w:p>
        </w:tc>
        <w:tc>
          <w:tcPr>
            <w:tcW w:w="834" w:type="dxa"/>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-723</w:t>
            </w:r>
          </w:p>
        </w:tc>
      </w:tr>
      <w:tr w:rsidR="00D24657" w:rsidRPr="0039284E" w:rsidTr="0039284E">
        <w:trPr>
          <w:trHeight w:val="284"/>
        </w:trPr>
        <w:tc>
          <w:tcPr>
            <w:tcW w:w="3202" w:type="dxa"/>
            <w:tcBorders>
              <w:top w:val="nil"/>
              <w:left w:val="nil"/>
              <w:bottom w:val="nil"/>
              <w:right w:val="single" w:sz="4" w:space="0" w:color="1F497D" w:themeColor="text2"/>
            </w:tcBorders>
            <w:vAlign w:val="center"/>
            <w:hideMark/>
          </w:tcPr>
          <w:p w:rsidR="0039284E" w:rsidRPr="0039284E" w:rsidRDefault="0039284E" w:rsidP="0039284E">
            <w:pPr>
              <w:spacing w:after="0"/>
              <w:rPr>
                <w:rFonts w:ascii="Arial" w:eastAsia="Times New Roman" w:hAnsi="Arial" w:cs="Arial"/>
                <w:sz w:val="14"/>
                <w:szCs w:val="14"/>
                <w:lang w:val="fr-FR"/>
              </w:rPr>
            </w:pPr>
            <w:r w:rsidRPr="0039284E">
              <w:rPr>
                <w:rFonts w:ascii="Arial" w:eastAsia="Times New Roman" w:hAnsi="Arial" w:cs="Arial"/>
                <w:sz w:val="14"/>
                <w:szCs w:val="14"/>
                <w:lang w:val="fr-FR"/>
              </w:rPr>
              <w:t>Assurance vie (avant réassurance)</w:t>
            </w:r>
          </w:p>
        </w:tc>
        <w:tc>
          <w:tcPr>
            <w:tcW w:w="738" w:type="dxa"/>
            <w:tcBorders>
              <w:top w:val="nil"/>
              <w:left w:val="single" w:sz="4" w:space="0" w:color="1F497D" w:themeColor="text2"/>
              <w:bottom w:val="nil"/>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-72</w:t>
            </w:r>
          </w:p>
        </w:tc>
        <w:tc>
          <w:tcPr>
            <w:tcW w:w="760"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-67</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-79</w:t>
            </w:r>
          </w:p>
        </w:tc>
        <w:tc>
          <w:tcPr>
            <w:tcW w:w="621"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-22</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-59</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-62</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-63</w:t>
            </w:r>
          </w:p>
        </w:tc>
        <w:tc>
          <w:tcPr>
            <w:tcW w:w="597" w:type="dxa"/>
            <w:gridSpan w:val="3"/>
            <w:tcBorders>
              <w:top w:val="nil"/>
              <w:left w:val="nil"/>
              <w:bottom w:val="nil"/>
              <w:right w:val="single" w:sz="4" w:space="0" w:color="1F497D" w:themeColor="text2"/>
            </w:tcBorders>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-57</w:t>
            </w:r>
          </w:p>
        </w:tc>
        <w:tc>
          <w:tcPr>
            <w:tcW w:w="785" w:type="dxa"/>
            <w:tcBorders>
              <w:top w:val="nil"/>
              <w:left w:val="single" w:sz="4" w:space="0" w:color="1F497D" w:themeColor="text2"/>
              <w:bottom w:val="nil"/>
              <w:right w:val="nil"/>
            </w:tcBorders>
            <w:shd w:val="clear" w:color="auto" w:fill="FFFFFF" w:themeFill="background1"/>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-240</w:t>
            </w:r>
          </w:p>
        </w:tc>
        <w:tc>
          <w:tcPr>
            <w:tcW w:w="834" w:type="dxa"/>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-242</w:t>
            </w:r>
          </w:p>
        </w:tc>
      </w:tr>
      <w:tr w:rsidR="00D24657" w:rsidRPr="0039284E" w:rsidTr="0039284E">
        <w:trPr>
          <w:trHeight w:val="284"/>
        </w:trPr>
        <w:tc>
          <w:tcPr>
            <w:tcW w:w="3202" w:type="dxa"/>
            <w:tcBorders>
              <w:top w:val="nil"/>
              <w:left w:val="nil"/>
              <w:bottom w:val="nil"/>
              <w:right w:val="single" w:sz="4" w:space="0" w:color="1F497D" w:themeColor="text2"/>
            </w:tcBorders>
            <w:vAlign w:val="center"/>
            <w:hideMark/>
          </w:tcPr>
          <w:p w:rsidR="0039284E" w:rsidRPr="0039284E" w:rsidRDefault="0039284E" w:rsidP="0039284E">
            <w:pPr>
              <w:spacing w:after="0"/>
              <w:ind w:firstLineChars="400" w:firstLine="560"/>
              <w:rPr>
                <w:rFonts w:ascii="Arial" w:eastAsia="Times New Roman" w:hAnsi="Arial" w:cs="Arial"/>
                <w:i/>
                <w:iCs/>
                <w:sz w:val="14"/>
                <w:szCs w:val="14"/>
                <w:lang w:val="fr-FR"/>
              </w:rPr>
            </w:pPr>
            <w:r w:rsidRPr="0039284E">
              <w:rPr>
                <w:rFonts w:ascii="Arial" w:eastAsia="Times New Roman" w:hAnsi="Arial" w:cs="Arial"/>
                <w:i/>
                <w:iCs/>
                <w:sz w:val="14"/>
                <w:szCs w:val="14"/>
                <w:lang w:val="fr-FR"/>
              </w:rPr>
              <w:t>Primes acquises</w:t>
            </w:r>
          </w:p>
        </w:tc>
        <w:tc>
          <w:tcPr>
            <w:tcW w:w="738" w:type="dxa"/>
            <w:tcBorders>
              <w:top w:val="nil"/>
              <w:left w:val="single" w:sz="4" w:space="0" w:color="1F497D" w:themeColor="text2"/>
              <w:bottom w:val="nil"/>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446</w:t>
            </w:r>
          </w:p>
        </w:tc>
        <w:tc>
          <w:tcPr>
            <w:tcW w:w="760"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448</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271</w:t>
            </w:r>
          </w:p>
        </w:tc>
        <w:tc>
          <w:tcPr>
            <w:tcW w:w="621"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310</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271</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241</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238</w:t>
            </w:r>
          </w:p>
        </w:tc>
        <w:tc>
          <w:tcPr>
            <w:tcW w:w="597" w:type="dxa"/>
            <w:gridSpan w:val="3"/>
            <w:tcBorders>
              <w:top w:val="nil"/>
              <w:left w:val="nil"/>
              <w:bottom w:val="nil"/>
              <w:right w:val="single" w:sz="4" w:space="0" w:color="1F497D" w:themeColor="text2"/>
            </w:tcBorders>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381</w:t>
            </w:r>
          </w:p>
        </w:tc>
        <w:tc>
          <w:tcPr>
            <w:tcW w:w="785" w:type="dxa"/>
            <w:tcBorders>
              <w:top w:val="nil"/>
              <w:left w:val="single" w:sz="4" w:space="0" w:color="1F497D" w:themeColor="text2"/>
              <w:bottom w:val="nil"/>
              <w:right w:val="nil"/>
            </w:tcBorders>
            <w:shd w:val="clear" w:color="auto" w:fill="FFFFFF" w:themeFill="background1"/>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1 475</w:t>
            </w:r>
          </w:p>
        </w:tc>
        <w:tc>
          <w:tcPr>
            <w:tcW w:w="834" w:type="dxa"/>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1 132</w:t>
            </w:r>
          </w:p>
        </w:tc>
      </w:tr>
      <w:tr w:rsidR="00D24657" w:rsidRPr="0039284E" w:rsidTr="0039284E">
        <w:trPr>
          <w:trHeight w:val="284"/>
        </w:trPr>
        <w:tc>
          <w:tcPr>
            <w:tcW w:w="3202" w:type="dxa"/>
            <w:tcBorders>
              <w:top w:val="nil"/>
              <w:left w:val="nil"/>
              <w:bottom w:val="nil"/>
              <w:right w:val="single" w:sz="4" w:space="0" w:color="1F497D" w:themeColor="text2"/>
            </w:tcBorders>
            <w:vAlign w:val="center"/>
            <w:hideMark/>
          </w:tcPr>
          <w:p w:rsidR="0039284E" w:rsidRPr="0039284E" w:rsidRDefault="0039284E" w:rsidP="0039284E">
            <w:pPr>
              <w:spacing w:after="0"/>
              <w:ind w:firstLineChars="400" w:firstLine="560"/>
              <w:rPr>
                <w:rFonts w:ascii="Arial" w:eastAsia="Times New Roman" w:hAnsi="Arial" w:cs="Arial"/>
                <w:i/>
                <w:iCs/>
                <w:sz w:val="14"/>
                <w:szCs w:val="14"/>
                <w:lang w:val="fr-FR"/>
              </w:rPr>
            </w:pPr>
            <w:r w:rsidRPr="0039284E">
              <w:rPr>
                <w:rFonts w:ascii="Arial" w:eastAsia="Times New Roman" w:hAnsi="Arial" w:cs="Arial"/>
                <w:i/>
                <w:iCs/>
                <w:sz w:val="14"/>
                <w:szCs w:val="14"/>
                <w:lang w:val="fr-FR"/>
              </w:rPr>
              <w:t>Charges techniques</w:t>
            </w:r>
          </w:p>
        </w:tc>
        <w:tc>
          <w:tcPr>
            <w:tcW w:w="738" w:type="dxa"/>
            <w:tcBorders>
              <w:top w:val="nil"/>
              <w:left w:val="single" w:sz="4" w:space="0" w:color="1F497D" w:themeColor="text2"/>
              <w:bottom w:val="nil"/>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-518</w:t>
            </w:r>
          </w:p>
        </w:tc>
        <w:tc>
          <w:tcPr>
            <w:tcW w:w="760"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-514</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-350</w:t>
            </w:r>
          </w:p>
        </w:tc>
        <w:tc>
          <w:tcPr>
            <w:tcW w:w="621"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-332</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-331</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-303</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-302</w:t>
            </w:r>
          </w:p>
        </w:tc>
        <w:tc>
          <w:tcPr>
            <w:tcW w:w="597" w:type="dxa"/>
            <w:gridSpan w:val="3"/>
            <w:tcBorders>
              <w:top w:val="nil"/>
              <w:left w:val="nil"/>
              <w:bottom w:val="nil"/>
              <w:right w:val="single" w:sz="4" w:space="0" w:color="1F497D" w:themeColor="text2"/>
            </w:tcBorders>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-438</w:t>
            </w:r>
          </w:p>
        </w:tc>
        <w:tc>
          <w:tcPr>
            <w:tcW w:w="785" w:type="dxa"/>
            <w:tcBorders>
              <w:top w:val="nil"/>
              <w:left w:val="single" w:sz="4" w:space="0" w:color="1F497D" w:themeColor="text2"/>
              <w:bottom w:val="nil"/>
              <w:right w:val="nil"/>
            </w:tcBorders>
            <w:shd w:val="clear" w:color="auto" w:fill="FFFFFF" w:themeFill="background1"/>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-1 714</w:t>
            </w:r>
          </w:p>
        </w:tc>
        <w:tc>
          <w:tcPr>
            <w:tcW w:w="834" w:type="dxa"/>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-1 373</w:t>
            </w:r>
          </w:p>
        </w:tc>
      </w:tr>
      <w:tr w:rsidR="00D24657" w:rsidRPr="0039284E" w:rsidTr="0039284E">
        <w:trPr>
          <w:trHeight w:val="284"/>
        </w:trPr>
        <w:tc>
          <w:tcPr>
            <w:tcW w:w="3202" w:type="dxa"/>
            <w:tcBorders>
              <w:top w:val="nil"/>
              <w:left w:val="nil"/>
              <w:bottom w:val="nil"/>
              <w:right w:val="single" w:sz="4" w:space="0" w:color="1F497D" w:themeColor="text2"/>
            </w:tcBorders>
            <w:vAlign w:val="center"/>
            <w:hideMark/>
          </w:tcPr>
          <w:p w:rsidR="0039284E" w:rsidRPr="0039284E" w:rsidRDefault="0039284E" w:rsidP="0039284E">
            <w:pPr>
              <w:snapToGrid w:val="0"/>
              <w:spacing w:after="0"/>
              <w:rPr>
                <w:rFonts w:ascii="Arial" w:eastAsia="Times New Roman" w:hAnsi="Arial"/>
                <w:bCs/>
                <w:sz w:val="14"/>
                <w:szCs w:val="14"/>
                <w:lang w:val="fr-FR"/>
              </w:rPr>
            </w:pPr>
            <w:r w:rsidRPr="0039284E">
              <w:rPr>
                <w:rFonts w:ascii="Arial" w:eastAsia="Times New Roman" w:hAnsi="Arial"/>
                <w:bCs/>
                <w:sz w:val="14"/>
                <w:szCs w:val="14"/>
                <w:lang w:val="fr-FR"/>
              </w:rPr>
              <w:t>Résultat de la réassurance cédée</w:t>
            </w:r>
          </w:p>
        </w:tc>
        <w:tc>
          <w:tcPr>
            <w:tcW w:w="738" w:type="dxa"/>
            <w:tcBorders>
              <w:top w:val="nil"/>
              <w:left w:val="single" w:sz="4" w:space="0" w:color="1F497D" w:themeColor="text2"/>
              <w:bottom w:val="nil"/>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-14</w:t>
            </w:r>
          </w:p>
        </w:tc>
        <w:tc>
          <w:tcPr>
            <w:tcW w:w="760"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-12</w:t>
            </w:r>
          </w:p>
        </w:tc>
        <w:tc>
          <w:tcPr>
            <w:tcW w:w="621"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13</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-12</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13</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w:t>
            </w:r>
          </w:p>
        </w:tc>
        <w:tc>
          <w:tcPr>
            <w:tcW w:w="597" w:type="dxa"/>
            <w:gridSpan w:val="3"/>
            <w:tcBorders>
              <w:top w:val="nil"/>
              <w:left w:val="nil"/>
              <w:bottom w:val="nil"/>
              <w:right w:val="single" w:sz="4" w:space="0" w:color="1F497D" w:themeColor="text2"/>
            </w:tcBorders>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-6</w:t>
            </w:r>
          </w:p>
        </w:tc>
        <w:tc>
          <w:tcPr>
            <w:tcW w:w="785" w:type="dxa"/>
            <w:tcBorders>
              <w:top w:val="nil"/>
              <w:left w:val="single" w:sz="4" w:space="0" w:color="1F497D" w:themeColor="text2"/>
              <w:bottom w:val="nil"/>
              <w:right w:val="nil"/>
            </w:tcBorders>
            <w:shd w:val="clear" w:color="auto" w:fill="FFFFFF" w:themeFill="background1"/>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-13</w:t>
            </w:r>
          </w:p>
        </w:tc>
        <w:tc>
          <w:tcPr>
            <w:tcW w:w="834" w:type="dxa"/>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-5</w:t>
            </w:r>
          </w:p>
        </w:tc>
      </w:tr>
      <w:tr w:rsidR="00D24657" w:rsidRPr="0039284E" w:rsidTr="0039284E">
        <w:trPr>
          <w:trHeight w:val="284"/>
        </w:trPr>
        <w:tc>
          <w:tcPr>
            <w:tcW w:w="3202" w:type="dxa"/>
            <w:tcBorders>
              <w:top w:val="nil"/>
              <w:left w:val="nil"/>
              <w:bottom w:val="nil"/>
              <w:right w:val="single" w:sz="4" w:space="0" w:color="1F497D" w:themeColor="text2"/>
            </w:tcBorders>
            <w:vAlign w:val="center"/>
            <w:hideMark/>
          </w:tcPr>
          <w:p w:rsidR="0039284E" w:rsidRPr="0039284E" w:rsidRDefault="0039284E" w:rsidP="0039284E">
            <w:pPr>
              <w:snapToGrid w:val="0"/>
              <w:spacing w:after="0"/>
              <w:rPr>
                <w:rFonts w:ascii="Arial" w:eastAsia="Times New Roman" w:hAnsi="Arial"/>
                <w:bCs/>
                <w:sz w:val="14"/>
                <w:szCs w:val="14"/>
                <w:lang w:val="fr-FR"/>
              </w:rPr>
            </w:pPr>
            <w:r w:rsidRPr="0039284E">
              <w:rPr>
                <w:rFonts w:ascii="Arial" w:eastAsia="Times New Roman" w:hAnsi="Arial"/>
                <w:bCs/>
                <w:sz w:val="14"/>
                <w:szCs w:val="14"/>
                <w:lang w:val="fr-FR"/>
              </w:rPr>
              <w:t>Revenus de dividendes</w:t>
            </w:r>
          </w:p>
        </w:tc>
        <w:tc>
          <w:tcPr>
            <w:tcW w:w="738" w:type="dxa"/>
            <w:tcBorders>
              <w:top w:val="nil"/>
              <w:left w:val="single" w:sz="4" w:space="0" w:color="1F497D" w:themeColor="text2"/>
              <w:bottom w:val="nil"/>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5</w:t>
            </w:r>
          </w:p>
        </w:tc>
        <w:tc>
          <w:tcPr>
            <w:tcW w:w="760"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22</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10</w:t>
            </w:r>
          </w:p>
        </w:tc>
        <w:tc>
          <w:tcPr>
            <w:tcW w:w="621"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5</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4</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19</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11</w:t>
            </w:r>
          </w:p>
        </w:tc>
        <w:tc>
          <w:tcPr>
            <w:tcW w:w="597" w:type="dxa"/>
            <w:gridSpan w:val="3"/>
            <w:tcBorders>
              <w:top w:val="nil"/>
              <w:left w:val="nil"/>
              <w:bottom w:val="nil"/>
              <w:right w:val="single" w:sz="4" w:space="0" w:color="1F497D" w:themeColor="text2"/>
            </w:tcBorders>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7</w:t>
            </w:r>
          </w:p>
        </w:tc>
        <w:tc>
          <w:tcPr>
            <w:tcW w:w="785" w:type="dxa"/>
            <w:tcBorders>
              <w:top w:val="nil"/>
              <w:left w:val="single" w:sz="4" w:space="0" w:color="1F497D" w:themeColor="text2"/>
              <w:bottom w:val="nil"/>
              <w:right w:val="nil"/>
            </w:tcBorders>
            <w:shd w:val="clear" w:color="auto" w:fill="FFFFFF" w:themeFill="background1"/>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43</w:t>
            </w:r>
          </w:p>
        </w:tc>
        <w:tc>
          <w:tcPr>
            <w:tcW w:w="834" w:type="dxa"/>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41</w:t>
            </w:r>
          </w:p>
        </w:tc>
      </w:tr>
      <w:tr w:rsidR="00D24657" w:rsidRPr="0039284E" w:rsidTr="0039284E">
        <w:trPr>
          <w:trHeight w:val="284"/>
        </w:trPr>
        <w:tc>
          <w:tcPr>
            <w:tcW w:w="3202" w:type="dxa"/>
            <w:tcBorders>
              <w:top w:val="nil"/>
              <w:left w:val="nil"/>
              <w:bottom w:val="nil"/>
              <w:right w:val="single" w:sz="4" w:space="0" w:color="1F497D" w:themeColor="text2"/>
            </w:tcBorders>
            <w:vAlign w:val="center"/>
            <w:hideMark/>
          </w:tcPr>
          <w:p w:rsidR="0039284E" w:rsidRPr="0039284E" w:rsidRDefault="0039284E" w:rsidP="0039284E">
            <w:pPr>
              <w:snapToGrid w:val="0"/>
              <w:spacing w:after="0"/>
              <w:rPr>
                <w:rFonts w:ascii="Arial" w:eastAsia="Times New Roman" w:hAnsi="Arial"/>
                <w:bCs/>
                <w:sz w:val="14"/>
                <w:szCs w:val="14"/>
                <w:lang w:val="fr-FR"/>
              </w:rPr>
            </w:pPr>
            <w:r w:rsidRPr="0039284E">
              <w:rPr>
                <w:rFonts w:ascii="Arial" w:eastAsia="Times New Roman" w:hAnsi="Arial"/>
                <w:bCs/>
                <w:sz w:val="14"/>
                <w:szCs w:val="14"/>
                <w:lang w:val="fr-FR"/>
              </w:rPr>
              <w:t>Résultat net des instruments financiers à la juste valeur par le biais du compte de résultat</w:t>
            </w:r>
          </w:p>
        </w:tc>
        <w:tc>
          <w:tcPr>
            <w:tcW w:w="738" w:type="dxa"/>
            <w:tcBorders>
              <w:top w:val="nil"/>
              <w:left w:val="single" w:sz="4" w:space="0" w:color="1F497D" w:themeColor="text2"/>
              <w:bottom w:val="nil"/>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353</w:t>
            </w:r>
          </w:p>
        </w:tc>
        <w:tc>
          <w:tcPr>
            <w:tcW w:w="760"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58</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223</w:t>
            </w:r>
          </w:p>
        </w:tc>
        <w:tc>
          <w:tcPr>
            <w:tcW w:w="621"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156</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218</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256</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146</w:t>
            </w:r>
          </w:p>
        </w:tc>
        <w:tc>
          <w:tcPr>
            <w:tcW w:w="597" w:type="dxa"/>
            <w:gridSpan w:val="3"/>
            <w:tcBorders>
              <w:top w:val="nil"/>
              <w:left w:val="nil"/>
              <w:bottom w:val="nil"/>
              <w:right w:val="single" w:sz="4" w:space="0" w:color="1F497D" w:themeColor="text2"/>
            </w:tcBorders>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159</w:t>
            </w:r>
          </w:p>
        </w:tc>
        <w:tc>
          <w:tcPr>
            <w:tcW w:w="785" w:type="dxa"/>
            <w:tcBorders>
              <w:top w:val="nil"/>
              <w:left w:val="single" w:sz="4" w:space="0" w:color="1F497D" w:themeColor="text2"/>
              <w:bottom w:val="nil"/>
              <w:right w:val="nil"/>
            </w:tcBorders>
            <w:shd w:val="clear" w:color="auto" w:fill="FFFFFF" w:themeFill="background1"/>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789</w:t>
            </w:r>
          </w:p>
        </w:tc>
        <w:tc>
          <w:tcPr>
            <w:tcW w:w="834" w:type="dxa"/>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779</w:t>
            </w:r>
          </w:p>
        </w:tc>
      </w:tr>
      <w:tr w:rsidR="00D24657" w:rsidRPr="0039284E" w:rsidTr="0039284E">
        <w:trPr>
          <w:trHeight w:val="284"/>
        </w:trPr>
        <w:tc>
          <w:tcPr>
            <w:tcW w:w="3202" w:type="dxa"/>
            <w:tcBorders>
              <w:top w:val="nil"/>
              <w:left w:val="nil"/>
              <w:bottom w:val="nil"/>
              <w:right w:val="single" w:sz="4" w:space="0" w:color="1F497D" w:themeColor="text2"/>
            </w:tcBorders>
            <w:vAlign w:val="center"/>
            <w:hideMark/>
          </w:tcPr>
          <w:p w:rsidR="0039284E" w:rsidRPr="0039284E" w:rsidRDefault="0039284E" w:rsidP="0039284E">
            <w:pPr>
              <w:snapToGrid w:val="0"/>
              <w:spacing w:after="0"/>
              <w:rPr>
                <w:rFonts w:ascii="Arial" w:eastAsia="Times New Roman" w:hAnsi="Arial"/>
                <w:bCs/>
                <w:sz w:val="14"/>
                <w:szCs w:val="14"/>
                <w:lang w:val="fr-FR"/>
              </w:rPr>
            </w:pPr>
            <w:r w:rsidRPr="0039284E">
              <w:rPr>
                <w:rFonts w:ascii="Arial" w:eastAsia="Times New Roman" w:hAnsi="Arial"/>
                <w:bCs/>
                <w:sz w:val="14"/>
                <w:szCs w:val="14"/>
                <w:lang w:val="fr-FR"/>
              </w:rPr>
              <w:t>Résultat net réalisé sur des actifs disponibles à la vente</w:t>
            </w:r>
          </w:p>
        </w:tc>
        <w:tc>
          <w:tcPr>
            <w:tcW w:w="738" w:type="dxa"/>
            <w:tcBorders>
              <w:top w:val="nil"/>
              <w:left w:val="single" w:sz="4" w:space="0" w:color="1F497D" w:themeColor="text2"/>
              <w:bottom w:val="nil"/>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31</w:t>
            </w:r>
          </w:p>
        </w:tc>
        <w:tc>
          <w:tcPr>
            <w:tcW w:w="760"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9</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55</w:t>
            </w:r>
          </w:p>
        </w:tc>
        <w:tc>
          <w:tcPr>
            <w:tcW w:w="621"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85</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96</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46</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42</w:t>
            </w:r>
          </w:p>
        </w:tc>
        <w:tc>
          <w:tcPr>
            <w:tcW w:w="597" w:type="dxa"/>
            <w:gridSpan w:val="3"/>
            <w:tcBorders>
              <w:top w:val="nil"/>
              <w:left w:val="nil"/>
              <w:bottom w:val="nil"/>
              <w:right w:val="single" w:sz="4" w:space="0" w:color="1F497D" w:themeColor="text2"/>
            </w:tcBorders>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29</w:t>
            </w:r>
          </w:p>
        </w:tc>
        <w:tc>
          <w:tcPr>
            <w:tcW w:w="785" w:type="dxa"/>
            <w:tcBorders>
              <w:top w:val="nil"/>
              <w:left w:val="single" w:sz="4" w:space="0" w:color="1F497D" w:themeColor="text2"/>
              <w:bottom w:val="nil"/>
              <w:right w:val="nil"/>
            </w:tcBorders>
            <w:shd w:val="clear" w:color="auto" w:fill="FFFFFF" w:themeFill="background1"/>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180</w:t>
            </w:r>
          </w:p>
        </w:tc>
        <w:tc>
          <w:tcPr>
            <w:tcW w:w="834" w:type="dxa"/>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213</w:t>
            </w:r>
          </w:p>
        </w:tc>
      </w:tr>
      <w:tr w:rsidR="00D24657" w:rsidRPr="0039284E" w:rsidTr="0039284E">
        <w:trPr>
          <w:trHeight w:val="284"/>
        </w:trPr>
        <w:tc>
          <w:tcPr>
            <w:tcW w:w="3202" w:type="dxa"/>
            <w:tcBorders>
              <w:top w:val="nil"/>
              <w:left w:val="nil"/>
              <w:bottom w:val="nil"/>
              <w:right w:val="single" w:sz="4" w:space="0" w:color="1F497D" w:themeColor="text2"/>
            </w:tcBorders>
            <w:vAlign w:val="center"/>
            <w:hideMark/>
          </w:tcPr>
          <w:p w:rsidR="0039284E" w:rsidRPr="0039284E" w:rsidRDefault="0039284E" w:rsidP="0039284E">
            <w:pPr>
              <w:snapToGrid w:val="0"/>
              <w:spacing w:after="0"/>
              <w:rPr>
                <w:rFonts w:ascii="Arial" w:eastAsia="Times New Roman" w:hAnsi="Arial"/>
                <w:bCs/>
                <w:sz w:val="14"/>
                <w:szCs w:val="14"/>
                <w:lang w:val="fr-FR"/>
              </w:rPr>
            </w:pPr>
            <w:r w:rsidRPr="0039284E">
              <w:rPr>
                <w:rFonts w:ascii="Arial" w:eastAsia="Times New Roman" w:hAnsi="Arial"/>
                <w:bCs/>
                <w:sz w:val="14"/>
                <w:szCs w:val="14"/>
                <w:lang w:val="fr-FR"/>
              </w:rPr>
              <w:t>Revenus nets de commissions</w:t>
            </w:r>
          </w:p>
        </w:tc>
        <w:tc>
          <w:tcPr>
            <w:tcW w:w="738" w:type="dxa"/>
            <w:tcBorders>
              <w:top w:val="nil"/>
              <w:left w:val="single" w:sz="4" w:space="0" w:color="1F497D" w:themeColor="text2"/>
              <w:bottom w:val="nil"/>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312</w:t>
            </w:r>
          </w:p>
        </w:tc>
        <w:tc>
          <w:tcPr>
            <w:tcW w:w="760"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309</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345</w:t>
            </w:r>
          </w:p>
        </w:tc>
        <w:tc>
          <w:tcPr>
            <w:tcW w:w="621"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359</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385</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388</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345</w:t>
            </w:r>
          </w:p>
        </w:tc>
        <w:tc>
          <w:tcPr>
            <w:tcW w:w="597" w:type="dxa"/>
            <w:gridSpan w:val="3"/>
            <w:tcBorders>
              <w:top w:val="nil"/>
              <w:left w:val="nil"/>
              <w:bottom w:val="nil"/>
              <w:right w:val="single" w:sz="4" w:space="0" w:color="1F497D" w:themeColor="text2"/>
            </w:tcBorders>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369</w:t>
            </w:r>
          </w:p>
        </w:tc>
        <w:tc>
          <w:tcPr>
            <w:tcW w:w="785" w:type="dxa"/>
            <w:tcBorders>
              <w:top w:val="nil"/>
              <w:left w:val="single" w:sz="4" w:space="0" w:color="1F497D" w:themeColor="text2"/>
              <w:bottom w:val="nil"/>
              <w:right w:val="nil"/>
            </w:tcBorders>
            <w:shd w:val="clear" w:color="auto" w:fill="FFFFFF" w:themeFill="background1"/>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1 324</w:t>
            </w:r>
          </w:p>
        </w:tc>
        <w:tc>
          <w:tcPr>
            <w:tcW w:w="834" w:type="dxa"/>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1 487</w:t>
            </w:r>
          </w:p>
        </w:tc>
      </w:tr>
      <w:tr w:rsidR="00D24657" w:rsidRPr="0039284E" w:rsidTr="0039284E">
        <w:trPr>
          <w:trHeight w:val="284"/>
        </w:trPr>
        <w:tc>
          <w:tcPr>
            <w:tcW w:w="3202" w:type="dxa"/>
            <w:tcBorders>
              <w:top w:val="nil"/>
              <w:left w:val="nil"/>
              <w:bottom w:val="single" w:sz="4" w:space="0" w:color="1F497D" w:themeColor="text2"/>
              <w:right w:val="single" w:sz="4" w:space="0" w:color="1F497D" w:themeColor="text2"/>
            </w:tcBorders>
            <w:vAlign w:val="center"/>
            <w:hideMark/>
          </w:tcPr>
          <w:p w:rsidR="0039284E" w:rsidRPr="0039284E" w:rsidRDefault="0039284E" w:rsidP="0039284E">
            <w:pPr>
              <w:snapToGrid w:val="0"/>
              <w:spacing w:after="0"/>
              <w:rPr>
                <w:rFonts w:ascii="Arial" w:eastAsia="Times New Roman" w:hAnsi="Arial"/>
                <w:bCs/>
                <w:sz w:val="14"/>
                <w:szCs w:val="14"/>
                <w:lang w:val="fr-FR"/>
              </w:rPr>
            </w:pPr>
            <w:r w:rsidRPr="0039284E">
              <w:rPr>
                <w:rFonts w:ascii="Arial" w:eastAsia="Times New Roman" w:hAnsi="Arial"/>
                <w:bCs/>
                <w:sz w:val="14"/>
                <w:szCs w:val="14"/>
                <w:lang w:val="fr-FR"/>
              </w:rPr>
              <w:t>Autres revenus nets</w:t>
            </w:r>
          </w:p>
        </w:tc>
        <w:tc>
          <w:tcPr>
            <w:tcW w:w="738" w:type="dxa"/>
            <w:tcBorders>
              <w:top w:val="nil"/>
              <w:left w:val="single" w:sz="4" w:space="0" w:color="1F497D" w:themeColor="text2"/>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22</w:t>
            </w:r>
          </w:p>
        </w:tc>
        <w:tc>
          <w:tcPr>
            <w:tcW w:w="760" w:type="dxa"/>
            <w:tcBorders>
              <w:top w:val="nil"/>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60</w:t>
            </w:r>
          </w:p>
        </w:tc>
        <w:tc>
          <w:tcPr>
            <w:tcW w:w="738" w:type="dxa"/>
            <w:tcBorders>
              <w:top w:val="nil"/>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80</w:t>
            </w:r>
          </w:p>
        </w:tc>
        <w:tc>
          <w:tcPr>
            <w:tcW w:w="621" w:type="dxa"/>
            <w:tcBorders>
              <w:top w:val="nil"/>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89</w:t>
            </w:r>
          </w:p>
        </w:tc>
        <w:tc>
          <w:tcPr>
            <w:tcW w:w="738" w:type="dxa"/>
            <w:tcBorders>
              <w:top w:val="nil"/>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76</w:t>
            </w:r>
          </w:p>
        </w:tc>
        <w:tc>
          <w:tcPr>
            <w:tcW w:w="738" w:type="dxa"/>
            <w:tcBorders>
              <w:top w:val="nil"/>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69</w:t>
            </w:r>
          </w:p>
        </w:tc>
        <w:tc>
          <w:tcPr>
            <w:tcW w:w="738" w:type="dxa"/>
            <w:tcBorders>
              <w:top w:val="nil"/>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151</w:t>
            </w:r>
          </w:p>
        </w:tc>
        <w:tc>
          <w:tcPr>
            <w:tcW w:w="597" w:type="dxa"/>
            <w:gridSpan w:val="3"/>
            <w:tcBorders>
              <w:top w:val="nil"/>
              <w:left w:val="nil"/>
              <w:bottom w:val="single" w:sz="4" w:space="0" w:color="1F497D" w:themeColor="text2"/>
              <w:right w:val="single" w:sz="4" w:space="0" w:color="1F497D" w:themeColor="text2"/>
            </w:tcBorders>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47</w:t>
            </w:r>
          </w:p>
        </w:tc>
        <w:tc>
          <w:tcPr>
            <w:tcW w:w="785" w:type="dxa"/>
            <w:tcBorders>
              <w:top w:val="nil"/>
              <w:left w:val="single" w:sz="4" w:space="0" w:color="1F497D" w:themeColor="text2"/>
              <w:bottom w:val="single" w:sz="4" w:space="0" w:color="1F497D" w:themeColor="text2"/>
              <w:right w:val="nil"/>
            </w:tcBorders>
            <w:shd w:val="clear" w:color="auto" w:fill="FFFFFF" w:themeFill="background1"/>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252</w:t>
            </w:r>
          </w:p>
        </w:tc>
        <w:tc>
          <w:tcPr>
            <w:tcW w:w="834" w:type="dxa"/>
            <w:tcBorders>
              <w:top w:val="nil"/>
              <w:left w:val="nil"/>
              <w:bottom w:val="single" w:sz="4" w:space="0" w:color="1F497D" w:themeColor="text2"/>
              <w:right w:val="nil"/>
            </w:tcBorders>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343</w:t>
            </w:r>
          </w:p>
        </w:tc>
      </w:tr>
      <w:tr w:rsidR="00D24657" w:rsidRPr="0039284E" w:rsidTr="0039284E">
        <w:trPr>
          <w:trHeight w:val="284"/>
        </w:trPr>
        <w:tc>
          <w:tcPr>
            <w:tcW w:w="3202" w:type="dxa"/>
            <w:tcBorders>
              <w:top w:val="single" w:sz="4" w:space="0" w:color="1F497D" w:themeColor="text2"/>
              <w:left w:val="nil"/>
              <w:bottom w:val="single" w:sz="4" w:space="0" w:color="1F497D" w:themeColor="text2"/>
              <w:right w:val="single" w:sz="4" w:space="0" w:color="1F497D" w:themeColor="text2"/>
            </w:tcBorders>
            <w:vAlign w:val="center"/>
            <w:hideMark/>
          </w:tcPr>
          <w:p w:rsidR="0039284E" w:rsidRPr="0039284E" w:rsidRDefault="0039284E" w:rsidP="0039284E">
            <w:pPr>
              <w:snapToGrid w:val="0"/>
              <w:spacing w:after="0"/>
              <w:rPr>
                <w:rFonts w:ascii="Arial" w:eastAsia="Times New Roman" w:hAnsi="Arial"/>
                <w:bCs/>
                <w:sz w:val="14"/>
                <w:szCs w:val="14"/>
                <w:lang w:val="fr-FR"/>
              </w:rPr>
            </w:pPr>
            <w:r w:rsidRPr="0039284E">
              <w:rPr>
                <w:rFonts w:ascii="Arial" w:eastAsia="Times New Roman" w:hAnsi="Arial"/>
                <w:bCs/>
                <w:sz w:val="14"/>
                <w:szCs w:val="14"/>
                <w:lang w:val="fr-FR"/>
              </w:rPr>
              <w:t>Revenu total</w:t>
            </w:r>
          </w:p>
        </w:tc>
        <w:tc>
          <w:tcPr>
            <w:tcW w:w="738" w:type="dxa"/>
            <w:tcBorders>
              <w:top w:val="single" w:sz="4" w:space="0" w:color="1F497D" w:themeColor="text2"/>
              <w:left w:val="single" w:sz="4" w:space="0" w:color="1F497D" w:themeColor="text2"/>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2 057</w:t>
            </w:r>
          </w:p>
        </w:tc>
        <w:tc>
          <w:tcPr>
            <w:tcW w:w="760" w:type="dxa"/>
            <w:tcBorders>
              <w:top w:val="single" w:sz="4" w:space="0" w:color="1F497D" w:themeColor="text2"/>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1 743</w:t>
            </w:r>
          </w:p>
        </w:tc>
        <w:tc>
          <w:tcPr>
            <w:tcW w:w="738" w:type="dxa"/>
            <w:tcBorders>
              <w:top w:val="single" w:sz="4" w:space="0" w:color="1F497D" w:themeColor="text2"/>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1 857</w:t>
            </w:r>
          </w:p>
        </w:tc>
        <w:tc>
          <w:tcPr>
            <w:tcW w:w="621" w:type="dxa"/>
            <w:tcBorders>
              <w:top w:val="single" w:sz="4" w:space="0" w:color="1F497D" w:themeColor="text2"/>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1 831</w:t>
            </w:r>
          </w:p>
        </w:tc>
        <w:tc>
          <w:tcPr>
            <w:tcW w:w="738" w:type="dxa"/>
            <w:tcBorders>
              <w:top w:val="single" w:sz="4" w:space="0" w:color="1F497D" w:themeColor="text2"/>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1 890</w:t>
            </w:r>
          </w:p>
        </w:tc>
        <w:tc>
          <w:tcPr>
            <w:tcW w:w="738" w:type="dxa"/>
            <w:tcBorders>
              <w:top w:val="single" w:sz="4" w:space="0" w:color="1F497D" w:themeColor="text2"/>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1 832</w:t>
            </w:r>
          </w:p>
        </w:tc>
        <w:tc>
          <w:tcPr>
            <w:tcW w:w="738" w:type="dxa"/>
            <w:tcBorders>
              <w:top w:val="single" w:sz="4" w:space="0" w:color="1F497D" w:themeColor="text2"/>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1 791</w:t>
            </w:r>
          </w:p>
        </w:tc>
        <w:tc>
          <w:tcPr>
            <w:tcW w:w="597" w:type="dxa"/>
            <w:gridSpan w:val="3"/>
            <w:tcBorders>
              <w:top w:val="single" w:sz="4" w:space="0" w:color="1F497D" w:themeColor="text2"/>
              <w:left w:val="nil"/>
              <w:bottom w:val="single" w:sz="4" w:space="0" w:color="1F497D" w:themeColor="text2"/>
              <w:right w:val="single" w:sz="4" w:space="0" w:color="1F497D" w:themeColor="text2"/>
            </w:tcBorders>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1 684</w:t>
            </w:r>
          </w:p>
        </w:tc>
        <w:tc>
          <w:tcPr>
            <w:tcW w:w="785" w:type="dxa"/>
            <w:tcBorders>
              <w:top w:val="single" w:sz="4" w:space="0" w:color="1F497D" w:themeColor="text2"/>
              <w:left w:val="single" w:sz="4" w:space="0" w:color="1F497D" w:themeColor="text2"/>
              <w:bottom w:val="single" w:sz="4" w:space="0" w:color="1F497D" w:themeColor="text2"/>
              <w:right w:val="nil"/>
            </w:tcBorders>
            <w:shd w:val="clear" w:color="auto" w:fill="FFFFFF" w:themeFill="background1"/>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7 488</w:t>
            </w:r>
          </w:p>
        </w:tc>
        <w:tc>
          <w:tcPr>
            <w:tcW w:w="834" w:type="dxa"/>
            <w:tcBorders>
              <w:top w:val="single" w:sz="4" w:space="0" w:color="1F497D" w:themeColor="text2"/>
              <w:left w:val="nil"/>
              <w:bottom w:val="single" w:sz="4" w:space="0" w:color="1F497D" w:themeColor="text2"/>
              <w:right w:val="nil"/>
            </w:tcBorders>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7 197</w:t>
            </w:r>
          </w:p>
        </w:tc>
      </w:tr>
      <w:tr w:rsidR="00D24657" w:rsidRPr="0039284E" w:rsidTr="0039284E">
        <w:trPr>
          <w:trHeight w:val="284"/>
        </w:trPr>
        <w:tc>
          <w:tcPr>
            <w:tcW w:w="3202" w:type="dxa"/>
            <w:tcBorders>
              <w:top w:val="single" w:sz="4" w:space="0" w:color="1F497D" w:themeColor="text2"/>
              <w:left w:val="nil"/>
              <w:bottom w:val="nil"/>
              <w:right w:val="single" w:sz="4" w:space="0" w:color="1F497D" w:themeColor="text2"/>
            </w:tcBorders>
            <w:vAlign w:val="center"/>
            <w:hideMark/>
          </w:tcPr>
          <w:p w:rsidR="0039284E" w:rsidRPr="0039284E" w:rsidRDefault="0039284E" w:rsidP="0039284E">
            <w:pPr>
              <w:snapToGrid w:val="0"/>
              <w:spacing w:after="0"/>
              <w:rPr>
                <w:rFonts w:ascii="Arial" w:eastAsia="Times New Roman" w:hAnsi="Arial"/>
                <w:bCs/>
                <w:sz w:val="14"/>
                <w:szCs w:val="14"/>
                <w:lang w:val="fr-FR"/>
              </w:rPr>
            </w:pPr>
            <w:r w:rsidRPr="0039284E">
              <w:rPr>
                <w:rFonts w:ascii="Arial" w:eastAsia="Times New Roman" w:hAnsi="Arial"/>
                <w:bCs/>
                <w:sz w:val="14"/>
                <w:szCs w:val="14"/>
                <w:lang w:val="fr-FR"/>
              </w:rPr>
              <w:t>Charges d'exploitation</w:t>
            </w:r>
          </w:p>
        </w:tc>
        <w:tc>
          <w:tcPr>
            <w:tcW w:w="738" w:type="dxa"/>
            <w:tcBorders>
              <w:top w:val="single" w:sz="4" w:space="0" w:color="1F497D" w:themeColor="text2"/>
              <w:left w:val="single" w:sz="4" w:space="0" w:color="1F497D" w:themeColor="text2"/>
              <w:bottom w:val="nil"/>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-1 110</w:t>
            </w:r>
          </w:p>
        </w:tc>
        <w:tc>
          <w:tcPr>
            <w:tcW w:w="760" w:type="dxa"/>
            <w:tcBorders>
              <w:top w:val="single" w:sz="4" w:space="0" w:color="1F497D" w:themeColor="text2"/>
              <w:left w:val="nil"/>
              <w:bottom w:val="nil"/>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-1 016</w:t>
            </w:r>
          </w:p>
        </w:tc>
        <w:tc>
          <w:tcPr>
            <w:tcW w:w="738" w:type="dxa"/>
            <w:tcBorders>
              <w:top w:val="single" w:sz="4" w:space="0" w:color="1F497D" w:themeColor="text2"/>
              <w:left w:val="nil"/>
              <w:bottom w:val="nil"/>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-990</w:t>
            </w:r>
          </w:p>
        </w:tc>
        <w:tc>
          <w:tcPr>
            <w:tcW w:w="621" w:type="dxa"/>
            <w:tcBorders>
              <w:top w:val="single" w:sz="4" w:space="0" w:color="1F497D" w:themeColor="text2"/>
              <w:left w:val="nil"/>
              <w:bottom w:val="nil"/>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-1 068</w:t>
            </w:r>
          </w:p>
        </w:tc>
        <w:tc>
          <w:tcPr>
            <w:tcW w:w="738" w:type="dxa"/>
            <w:tcBorders>
              <w:top w:val="single" w:sz="4" w:space="0" w:color="1F497D" w:themeColor="text2"/>
              <w:left w:val="nil"/>
              <w:bottom w:val="nil"/>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-1 029</w:t>
            </w:r>
          </w:p>
        </w:tc>
        <w:tc>
          <w:tcPr>
            <w:tcW w:w="738" w:type="dxa"/>
            <w:tcBorders>
              <w:top w:val="single" w:sz="4" w:space="0" w:color="1F497D" w:themeColor="text2"/>
              <w:left w:val="nil"/>
              <w:bottom w:val="nil"/>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-921</w:t>
            </w:r>
          </w:p>
        </w:tc>
        <w:tc>
          <w:tcPr>
            <w:tcW w:w="738" w:type="dxa"/>
            <w:tcBorders>
              <w:top w:val="single" w:sz="4" w:space="0" w:color="1F497D" w:themeColor="text2"/>
              <w:left w:val="nil"/>
              <w:bottom w:val="nil"/>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-913</w:t>
            </w:r>
          </w:p>
        </w:tc>
        <w:tc>
          <w:tcPr>
            <w:tcW w:w="597" w:type="dxa"/>
            <w:gridSpan w:val="3"/>
            <w:tcBorders>
              <w:top w:val="single" w:sz="4" w:space="0" w:color="1F497D" w:themeColor="text2"/>
              <w:left w:val="nil"/>
              <w:bottom w:val="nil"/>
              <w:right w:val="single" w:sz="4" w:space="0" w:color="1F497D" w:themeColor="text2"/>
            </w:tcBorders>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-963</w:t>
            </w:r>
          </w:p>
        </w:tc>
        <w:tc>
          <w:tcPr>
            <w:tcW w:w="785" w:type="dxa"/>
            <w:tcBorders>
              <w:top w:val="single" w:sz="4" w:space="0" w:color="1F497D" w:themeColor="text2"/>
              <w:left w:val="single" w:sz="4" w:space="0" w:color="1F497D" w:themeColor="text2"/>
              <w:bottom w:val="nil"/>
              <w:right w:val="nil"/>
            </w:tcBorders>
            <w:shd w:val="clear" w:color="auto" w:fill="FFFFFF" w:themeFill="background1"/>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-4 184</w:t>
            </w:r>
          </w:p>
        </w:tc>
        <w:tc>
          <w:tcPr>
            <w:tcW w:w="834" w:type="dxa"/>
            <w:tcBorders>
              <w:top w:val="single" w:sz="4" w:space="0" w:color="1F497D" w:themeColor="text2"/>
              <w:left w:val="nil"/>
              <w:bottom w:val="nil"/>
              <w:right w:val="nil"/>
            </w:tcBorders>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-3 826</w:t>
            </w:r>
          </w:p>
        </w:tc>
      </w:tr>
      <w:tr w:rsidR="00D24657" w:rsidRPr="0039284E" w:rsidTr="0039284E">
        <w:trPr>
          <w:trHeight w:val="284"/>
        </w:trPr>
        <w:tc>
          <w:tcPr>
            <w:tcW w:w="3202" w:type="dxa"/>
            <w:tcBorders>
              <w:top w:val="nil"/>
              <w:left w:val="nil"/>
              <w:bottom w:val="nil"/>
              <w:right w:val="single" w:sz="4" w:space="0" w:color="1F497D" w:themeColor="text2"/>
            </w:tcBorders>
            <w:vAlign w:val="center"/>
            <w:hideMark/>
          </w:tcPr>
          <w:p w:rsidR="0039284E" w:rsidRPr="0039284E" w:rsidRDefault="0039284E" w:rsidP="0039284E">
            <w:pPr>
              <w:snapToGrid w:val="0"/>
              <w:spacing w:after="0"/>
              <w:rPr>
                <w:rFonts w:ascii="Arial" w:eastAsia="Times New Roman" w:hAnsi="Arial"/>
                <w:bCs/>
                <w:sz w:val="14"/>
                <w:szCs w:val="14"/>
                <w:lang w:val="fr-FR"/>
              </w:rPr>
            </w:pPr>
            <w:r w:rsidRPr="0039284E">
              <w:rPr>
                <w:rFonts w:ascii="Arial" w:eastAsia="Times New Roman" w:hAnsi="Arial"/>
                <w:bCs/>
                <w:sz w:val="14"/>
                <w:szCs w:val="14"/>
                <w:lang w:val="fr-FR"/>
              </w:rPr>
              <w:t>Réductions de valeur</w:t>
            </w:r>
          </w:p>
        </w:tc>
        <w:tc>
          <w:tcPr>
            <w:tcW w:w="738" w:type="dxa"/>
            <w:tcBorders>
              <w:top w:val="nil"/>
              <w:left w:val="single" w:sz="4" w:space="0" w:color="1F497D" w:themeColor="text2"/>
              <w:bottom w:val="nil"/>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-271</w:t>
            </w:r>
          </w:p>
        </w:tc>
        <w:tc>
          <w:tcPr>
            <w:tcW w:w="760"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-241</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-305</w:t>
            </w:r>
          </w:p>
        </w:tc>
        <w:tc>
          <w:tcPr>
            <w:tcW w:w="621"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-378</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-335</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-235</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-209</w:t>
            </w:r>
          </w:p>
        </w:tc>
        <w:tc>
          <w:tcPr>
            <w:tcW w:w="597" w:type="dxa"/>
            <w:gridSpan w:val="3"/>
            <w:tcBorders>
              <w:top w:val="nil"/>
              <w:left w:val="nil"/>
              <w:bottom w:val="nil"/>
              <w:right w:val="single" w:sz="4" w:space="0" w:color="1F497D" w:themeColor="text2"/>
            </w:tcBorders>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-950</w:t>
            </w:r>
          </w:p>
        </w:tc>
        <w:tc>
          <w:tcPr>
            <w:tcW w:w="785" w:type="dxa"/>
            <w:tcBorders>
              <w:top w:val="nil"/>
              <w:left w:val="single" w:sz="4" w:space="0" w:color="1F497D" w:themeColor="text2"/>
              <w:bottom w:val="nil"/>
              <w:right w:val="nil"/>
            </w:tcBorders>
            <w:shd w:val="clear" w:color="auto" w:fill="FFFFFF" w:themeFill="background1"/>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-1 195</w:t>
            </w:r>
          </w:p>
        </w:tc>
        <w:tc>
          <w:tcPr>
            <w:tcW w:w="834" w:type="dxa"/>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-1 729</w:t>
            </w:r>
          </w:p>
        </w:tc>
      </w:tr>
      <w:tr w:rsidR="00D24657" w:rsidRPr="0039284E" w:rsidTr="0039284E">
        <w:trPr>
          <w:trHeight w:val="227"/>
        </w:trPr>
        <w:tc>
          <w:tcPr>
            <w:tcW w:w="3202" w:type="dxa"/>
            <w:tcBorders>
              <w:top w:val="nil"/>
              <w:left w:val="nil"/>
              <w:bottom w:val="nil"/>
              <w:right w:val="single" w:sz="4" w:space="0" w:color="1F497D" w:themeColor="text2"/>
            </w:tcBorders>
            <w:vAlign w:val="center"/>
            <w:hideMark/>
          </w:tcPr>
          <w:p w:rsidR="0039284E" w:rsidRPr="0039284E" w:rsidRDefault="0039284E" w:rsidP="0039284E">
            <w:pPr>
              <w:snapToGrid w:val="0"/>
              <w:spacing w:after="0"/>
              <w:rPr>
                <w:rFonts w:ascii="Arial" w:eastAsia="Times New Roman" w:hAnsi="Arial"/>
                <w:bCs/>
                <w:sz w:val="14"/>
                <w:szCs w:val="14"/>
                <w:lang w:val="fr-FR"/>
              </w:rPr>
            </w:pPr>
            <w:r w:rsidRPr="0039284E">
              <w:rPr>
                <w:rFonts w:ascii="Arial" w:eastAsia="Times New Roman" w:hAnsi="Arial"/>
                <w:bCs/>
                <w:sz w:val="14"/>
                <w:szCs w:val="14"/>
                <w:lang w:val="fr-FR"/>
              </w:rPr>
              <w:t xml:space="preserve">     sur prêts et créances</w:t>
            </w:r>
          </w:p>
        </w:tc>
        <w:tc>
          <w:tcPr>
            <w:tcW w:w="738" w:type="dxa"/>
            <w:tcBorders>
              <w:top w:val="nil"/>
              <w:left w:val="single" w:sz="4" w:space="0" w:color="1F497D" w:themeColor="text2"/>
              <w:bottom w:val="nil"/>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-261</w:t>
            </w:r>
          </w:p>
        </w:tc>
        <w:tc>
          <w:tcPr>
            <w:tcW w:w="760"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-198</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-283</w:t>
            </w:r>
          </w:p>
        </w:tc>
        <w:tc>
          <w:tcPr>
            <w:tcW w:w="621"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-329</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-295</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-217</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-186</w:t>
            </w:r>
          </w:p>
        </w:tc>
        <w:tc>
          <w:tcPr>
            <w:tcW w:w="597" w:type="dxa"/>
            <w:gridSpan w:val="3"/>
            <w:tcBorders>
              <w:top w:val="nil"/>
              <w:left w:val="nil"/>
              <w:bottom w:val="nil"/>
              <w:right w:val="single" w:sz="4" w:space="0" w:color="1F497D" w:themeColor="text2"/>
            </w:tcBorders>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-940</w:t>
            </w:r>
          </w:p>
        </w:tc>
        <w:tc>
          <w:tcPr>
            <w:tcW w:w="785" w:type="dxa"/>
            <w:tcBorders>
              <w:top w:val="nil"/>
              <w:left w:val="single" w:sz="4" w:space="0" w:color="1F497D" w:themeColor="text2"/>
              <w:bottom w:val="nil"/>
              <w:right w:val="nil"/>
            </w:tcBorders>
            <w:shd w:val="clear" w:color="auto" w:fill="FFFFFF" w:themeFill="background1"/>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-1 072</w:t>
            </w:r>
          </w:p>
        </w:tc>
        <w:tc>
          <w:tcPr>
            <w:tcW w:w="834" w:type="dxa"/>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-1 638</w:t>
            </w:r>
          </w:p>
        </w:tc>
      </w:tr>
      <w:tr w:rsidR="00D24657" w:rsidRPr="0039284E" w:rsidTr="0039284E">
        <w:trPr>
          <w:trHeight w:val="227"/>
        </w:trPr>
        <w:tc>
          <w:tcPr>
            <w:tcW w:w="3202" w:type="dxa"/>
            <w:tcBorders>
              <w:top w:val="nil"/>
              <w:left w:val="nil"/>
              <w:bottom w:val="nil"/>
              <w:right w:val="single" w:sz="4" w:space="0" w:color="1F497D" w:themeColor="text2"/>
            </w:tcBorders>
            <w:vAlign w:val="center"/>
            <w:hideMark/>
          </w:tcPr>
          <w:p w:rsidR="0039284E" w:rsidRPr="0039284E" w:rsidRDefault="0039284E" w:rsidP="0039284E">
            <w:pPr>
              <w:snapToGrid w:val="0"/>
              <w:spacing w:after="0"/>
              <w:rPr>
                <w:rFonts w:ascii="Arial" w:eastAsia="Times New Roman" w:hAnsi="Arial"/>
                <w:bCs/>
                <w:sz w:val="14"/>
                <w:szCs w:val="14"/>
                <w:lang w:val="fr-FR"/>
              </w:rPr>
            </w:pPr>
            <w:r w:rsidRPr="0039284E">
              <w:rPr>
                <w:rFonts w:ascii="Arial" w:eastAsia="Times New Roman" w:hAnsi="Arial"/>
                <w:bCs/>
                <w:sz w:val="14"/>
                <w:szCs w:val="14"/>
                <w:lang w:val="fr-FR"/>
              </w:rPr>
              <w:t xml:space="preserve">     sur actifs disponibles à la vente</w:t>
            </w:r>
          </w:p>
        </w:tc>
        <w:tc>
          <w:tcPr>
            <w:tcW w:w="738" w:type="dxa"/>
            <w:tcBorders>
              <w:top w:val="nil"/>
              <w:left w:val="single" w:sz="4" w:space="0" w:color="1F497D" w:themeColor="text2"/>
              <w:bottom w:val="nil"/>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-5</w:t>
            </w:r>
          </w:p>
        </w:tc>
        <w:tc>
          <w:tcPr>
            <w:tcW w:w="760"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-24</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-4</w:t>
            </w:r>
          </w:p>
        </w:tc>
        <w:tc>
          <w:tcPr>
            <w:tcW w:w="621"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-4</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-13</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-2</w:t>
            </w:r>
          </w:p>
        </w:tc>
        <w:tc>
          <w:tcPr>
            <w:tcW w:w="597" w:type="dxa"/>
            <w:gridSpan w:val="3"/>
            <w:tcBorders>
              <w:top w:val="nil"/>
              <w:left w:val="nil"/>
              <w:bottom w:val="nil"/>
              <w:right w:val="single" w:sz="4" w:space="0" w:color="1F497D" w:themeColor="text2"/>
            </w:tcBorders>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w:t>
            </w:r>
          </w:p>
        </w:tc>
        <w:tc>
          <w:tcPr>
            <w:tcW w:w="785" w:type="dxa"/>
            <w:tcBorders>
              <w:top w:val="nil"/>
              <w:left w:val="single" w:sz="4" w:space="0" w:color="1F497D" w:themeColor="text2"/>
              <w:bottom w:val="nil"/>
              <w:right w:val="nil"/>
            </w:tcBorders>
            <w:shd w:val="clear" w:color="auto" w:fill="FFFFFF" w:themeFill="background1"/>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-37</w:t>
            </w:r>
          </w:p>
        </w:tc>
        <w:tc>
          <w:tcPr>
            <w:tcW w:w="834" w:type="dxa"/>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-20</w:t>
            </w:r>
          </w:p>
        </w:tc>
      </w:tr>
      <w:tr w:rsidR="00D24657" w:rsidRPr="0039284E" w:rsidTr="0039284E">
        <w:trPr>
          <w:trHeight w:val="227"/>
        </w:trPr>
        <w:tc>
          <w:tcPr>
            <w:tcW w:w="3202" w:type="dxa"/>
            <w:tcBorders>
              <w:top w:val="nil"/>
              <w:left w:val="nil"/>
              <w:bottom w:val="nil"/>
              <w:right w:val="single" w:sz="4" w:space="0" w:color="1F497D" w:themeColor="text2"/>
            </w:tcBorders>
            <w:vAlign w:val="center"/>
            <w:hideMark/>
          </w:tcPr>
          <w:p w:rsidR="0039284E" w:rsidRPr="0039284E" w:rsidRDefault="0039284E" w:rsidP="0039284E">
            <w:pPr>
              <w:snapToGrid w:val="0"/>
              <w:spacing w:after="0"/>
              <w:rPr>
                <w:rFonts w:ascii="Arial" w:eastAsia="Times New Roman" w:hAnsi="Arial"/>
                <w:bCs/>
                <w:sz w:val="14"/>
                <w:szCs w:val="14"/>
                <w:lang w:val="fr-FR"/>
              </w:rPr>
            </w:pPr>
            <w:r w:rsidRPr="0039284E">
              <w:rPr>
                <w:rFonts w:ascii="Arial" w:eastAsia="Times New Roman" w:hAnsi="Arial"/>
                <w:bCs/>
                <w:sz w:val="14"/>
                <w:szCs w:val="14"/>
                <w:lang w:val="fr-FR"/>
              </w:rPr>
              <w:t xml:space="preserve">     sur goodwill</w:t>
            </w:r>
          </w:p>
        </w:tc>
        <w:tc>
          <w:tcPr>
            <w:tcW w:w="738" w:type="dxa"/>
            <w:tcBorders>
              <w:top w:val="nil"/>
              <w:left w:val="single" w:sz="4" w:space="0" w:color="1F497D" w:themeColor="text2"/>
              <w:bottom w:val="nil"/>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0</w:t>
            </w:r>
          </w:p>
        </w:tc>
        <w:tc>
          <w:tcPr>
            <w:tcW w:w="760"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0</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0</w:t>
            </w:r>
          </w:p>
        </w:tc>
        <w:tc>
          <w:tcPr>
            <w:tcW w:w="621"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0</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-7</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0</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0</w:t>
            </w:r>
          </w:p>
        </w:tc>
        <w:tc>
          <w:tcPr>
            <w:tcW w:w="597" w:type="dxa"/>
            <w:gridSpan w:val="3"/>
            <w:tcBorders>
              <w:top w:val="nil"/>
              <w:left w:val="nil"/>
              <w:bottom w:val="nil"/>
              <w:right w:val="single" w:sz="4" w:space="0" w:color="1F497D" w:themeColor="text2"/>
            </w:tcBorders>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0</w:t>
            </w:r>
          </w:p>
        </w:tc>
        <w:tc>
          <w:tcPr>
            <w:tcW w:w="785" w:type="dxa"/>
            <w:tcBorders>
              <w:top w:val="nil"/>
              <w:left w:val="single" w:sz="4" w:space="0" w:color="1F497D" w:themeColor="text2"/>
              <w:bottom w:val="nil"/>
              <w:right w:val="nil"/>
            </w:tcBorders>
            <w:shd w:val="clear" w:color="auto" w:fill="FFFFFF" w:themeFill="background1"/>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0</w:t>
            </w:r>
          </w:p>
        </w:tc>
        <w:tc>
          <w:tcPr>
            <w:tcW w:w="834" w:type="dxa"/>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-7</w:t>
            </w:r>
          </w:p>
        </w:tc>
      </w:tr>
      <w:tr w:rsidR="00D24657" w:rsidRPr="0039284E" w:rsidTr="0039284E">
        <w:trPr>
          <w:trHeight w:val="227"/>
        </w:trPr>
        <w:tc>
          <w:tcPr>
            <w:tcW w:w="3202" w:type="dxa"/>
            <w:tcBorders>
              <w:top w:val="nil"/>
              <w:left w:val="nil"/>
              <w:bottom w:val="nil"/>
              <w:right w:val="single" w:sz="4" w:space="0" w:color="1F497D" w:themeColor="text2"/>
            </w:tcBorders>
            <w:vAlign w:val="center"/>
            <w:hideMark/>
          </w:tcPr>
          <w:p w:rsidR="0039284E" w:rsidRPr="0039284E" w:rsidRDefault="0039284E" w:rsidP="0039284E">
            <w:pPr>
              <w:snapToGrid w:val="0"/>
              <w:spacing w:after="0"/>
              <w:rPr>
                <w:rFonts w:ascii="Arial" w:eastAsia="Times New Roman" w:hAnsi="Arial"/>
                <w:bCs/>
                <w:sz w:val="14"/>
                <w:szCs w:val="14"/>
                <w:lang w:val="fr-FR"/>
              </w:rPr>
            </w:pPr>
            <w:r w:rsidRPr="0039284E">
              <w:rPr>
                <w:rFonts w:ascii="Arial" w:eastAsia="Times New Roman" w:hAnsi="Arial"/>
                <w:bCs/>
                <w:sz w:val="14"/>
                <w:szCs w:val="14"/>
                <w:lang w:val="fr-FR"/>
              </w:rPr>
              <w:t xml:space="preserve">     sur autres</w:t>
            </w:r>
          </w:p>
        </w:tc>
        <w:tc>
          <w:tcPr>
            <w:tcW w:w="738" w:type="dxa"/>
            <w:tcBorders>
              <w:top w:val="nil"/>
              <w:left w:val="single" w:sz="4" w:space="0" w:color="1F497D" w:themeColor="text2"/>
              <w:bottom w:val="nil"/>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-5</w:t>
            </w:r>
          </w:p>
        </w:tc>
        <w:tc>
          <w:tcPr>
            <w:tcW w:w="760"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-18</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-18</w:t>
            </w:r>
          </w:p>
        </w:tc>
        <w:tc>
          <w:tcPr>
            <w:tcW w:w="621"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-45</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-20</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-15</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-22</w:t>
            </w:r>
          </w:p>
        </w:tc>
        <w:tc>
          <w:tcPr>
            <w:tcW w:w="597" w:type="dxa"/>
            <w:gridSpan w:val="3"/>
            <w:tcBorders>
              <w:top w:val="nil"/>
              <w:left w:val="nil"/>
              <w:bottom w:val="nil"/>
              <w:right w:val="single" w:sz="4" w:space="0" w:color="1F497D" w:themeColor="text2"/>
            </w:tcBorders>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-7</w:t>
            </w:r>
          </w:p>
        </w:tc>
        <w:tc>
          <w:tcPr>
            <w:tcW w:w="785" w:type="dxa"/>
            <w:tcBorders>
              <w:top w:val="nil"/>
              <w:left w:val="single" w:sz="4" w:space="0" w:color="1F497D" w:themeColor="text2"/>
              <w:bottom w:val="nil"/>
              <w:right w:val="nil"/>
            </w:tcBorders>
            <w:shd w:val="clear" w:color="auto" w:fill="FFFFFF" w:themeFill="background1"/>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-86</w:t>
            </w:r>
          </w:p>
        </w:tc>
        <w:tc>
          <w:tcPr>
            <w:tcW w:w="834" w:type="dxa"/>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-64</w:t>
            </w:r>
          </w:p>
        </w:tc>
      </w:tr>
      <w:tr w:rsidR="00D24657" w:rsidRPr="0039284E" w:rsidTr="0039284E">
        <w:trPr>
          <w:trHeight w:val="284"/>
        </w:trPr>
        <w:tc>
          <w:tcPr>
            <w:tcW w:w="3202" w:type="dxa"/>
            <w:tcBorders>
              <w:top w:val="nil"/>
              <w:left w:val="nil"/>
              <w:bottom w:val="single" w:sz="8" w:space="0" w:color="365F91" w:themeColor="accent1" w:themeShade="BF"/>
              <w:right w:val="single" w:sz="4" w:space="0" w:color="1F497D" w:themeColor="text2"/>
            </w:tcBorders>
            <w:vAlign w:val="center"/>
            <w:hideMark/>
          </w:tcPr>
          <w:p w:rsidR="0039284E" w:rsidRPr="0039284E" w:rsidRDefault="0039284E" w:rsidP="0039284E">
            <w:pPr>
              <w:snapToGrid w:val="0"/>
              <w:spacing w:after="0"/>
              <w:rPr>
                <w:rFonts w:ascii="Arial" w:eastAsia="Times New Roman" w:hAnsi="Arial"/>
                <w:bCs/>
                <w:sz w:val="14"/>
                <w:szCs w:val="14"/>
                <w:lang w:val="fr-FR"/>
              </w:rPr>
            </w:pPr>
            <w:r w:rsidRPr="0039284E">
              <w:rPr>
                <w:rFonts w:ascii="Arial" w:eastAsia="Times New Roman" w:hAnsi="Arial"/>
                <w:bCs/>
                <w:sz w:val="14"/>
                <w:szCs w:val="14"/>
                <w:lang w:val="fr-FR"/>
              </w:rPr>
              <w:t>Quote-part dans le résultat des entreprises associées</w:t>
            </w:r>
          </w:p>
        </w:tc>
        <w:tc>
          <w:tcPr>
            <w:tcW w:w="738" w:type="dxa"/>
            <w:tcBorders>
              <w:top w:val="nil"/>
              <w:left w:val="single" w:sz="4" w:space="0" w:color="1F497D" w:themeColor="text2"/>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-9</w:t>
            </w:r>
          </w:p>
        </w:tc>
        <w:tc>
          <w:tcPr>
            <w:tcW w:w="760" w:type="dxa"/>
            <w:tcBorders>
              <w:top w:val="nil"/>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-9</w:t>
            </w:r>
          </w:p>
        </w:tc>
        <w:tc>
          <w:tcPr>
            <w:tcW w:w="738" w:type="dxa"/>
            <w:tcBorders>
              <w:top w:val="nil"/>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-13</w:t>
            </w:r>
          </w:p>
        </w:tc>
        <w:tc>
          <w:tcPr>
            <w:tcW w:w="621" w:type="dxa"/>
            <w:tcBorders>
              <w:top w:val="nil"/>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w:t>
            </w:r>
          </w:p>
        </w:tc>
        <w:tc>
          <w:tcPr>
            <w:tcW w:w="738" w:type="dxa"/>
            <w:tcBorders>
              <w:top w:val="nil"/>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0</w:t>
            </w:r>
          </w:p>
        </w:tc>
        <w:tc>
          <w:tcPr>
            <w:tcW w:w="738" w:type="dxa"/>
            <w:tcBorders>
              <w:top w:val="nil"/>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0</w:t>
            </w:r>
          </w:p>
        </w:tc>
        <w:tc>
          <w:tcPr>
            <w:tcW w:w="738" w:type="dxa"/>
            <w:tcBorders>
              <w:top w:val="nil"/>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0</w:t>
            </w:r>
          </w:p>
        </w:tc>
        <w:tc>
          <w:tcPr>
            <w:tcW w:w="597" w:type="dxa"/>
            <w:gridSpan w:val="3"/>
            <w:tcBorders>
              <w:top w:val="nil"/>
              <w:left w:val="nil"/>
              <w:bottom w:val="single" w:sz="4" w:space="0" w:color="1F497D" w:themeColor="text2"/>
              <w:right w:val="single" w:sz="4" w:space="0" w:color="1F497D" w:themeColor="text2"/>
            </w:tcBorders>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0</w:t>
            </w:r>
          </w:p>
        </w:tc>
        <w:tc>
          <w:tcPr>
            <w:tcW w:w="785" w:type="dxa"/>
            <w:tcBorders>
              <w:top w:val="nil"/>
              <w:left w:val="single" w:sz="4" w:space="0" w:color="1F497D" w:themeColor="text2"/>
              <w:bottom w:val="single" w:sz="4" w:space="0" w:color="365F91" w:themeColor="accent1" w:themeShade="BF"/>
              <w:right w:val="nil"/>
            </w:tcBorders>
            <w:shd w:val="clear" w:color="auto" w:fill="FFFFFF" w:themeFill="background1"/>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-31</w:t>
            </w:r>
          </w:p>
        </w:tc>
        <w:tc>
          <w:tcPr>
            <w:tcW w:w="834" w:type="dxa"/>
            <w:tcBorders>
              <w:top w:val="nil"/>
              <w:left w:val="nil"/>
              <w:bottom w:val="single" w:sz="4" w:space="0" w:color="365F91" w:themeColor="accent1" w:themeShade="BF"/>
              <w:right w:val="nil"/>
            </w:tcBorders>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w:t>
            </w:r>
          </w:p>
        </w:tc>
      </w:tr>
      <w:tr w:rsidR="00D24657" w:rsidRPr="0039284E" w:rsidTr="0039284E">
        <w:trPr>
          <w:trHeight w:val="284"/>
        </w:trPr>
        <w:tc>
          <w:tcPr>
            <w:tcW w:w="3202" w:type="dxa"/>
            <w:tcBorders>
              <w:top w:val="single" w:sz="8" w:space="0" w:color="365F91" w:themeColor="accent1" w:themeShade="BF"/>
              <w:left w:val="nil"/>
              <w:bottom w:val="single" w:sz="8" w:space="0" w:color="365F91" w:themeColor="accent1" w:themeShade="BF"/>
              <w:right w:val="single" w:sz="4" w:space="0" w:color="1F497D" w:themeColor="text2"/>
            </w:tcBorders>
            <w:vAlign w:val="center"/>
            <w:hideMark/>
          </w:tcPr>
          <w:p w:rsidR="0039284E" w:rsidRPr="0039284E" w:rsidRDefault="0039284E" w:rsidP="0039284E">
            <w:pPr>
              <w:snapToGrid w:val="0"/>
              <w:spacing w:after="0"/>
              <w:rPr>
                <w:rFonts w:ascii="Arial" w:eastAsia="Times New Roman" w:hAnsi="Arial"/>
                <w:bCs/>
                <w:sz w:val="14"/>
                <w:szCs w:val="14"/>
                <w:lang w:val="fr-FR"/>
              </w:rPr>
            </w:pPr>
            <w:r w:rsidRPr="0039284E">
              <w:rPr>
                <w:rFonts w:ascii="Arial" w:eastAsia="Times New Roman" w:hAnsi="Arial"/>
                <w:bCs/>
                <w:sz w:val="14"/>
                <w:szCs w:val="14"/>
                <w:lang w:val="fr-FR"/>
              </w:rPr>
              <w:t>Résultat avant impôts</w:t>
            </w:r>
          </w:p>
        </w:tc>
        <w:tc>
          <w:tcPr>
            <w:tcW w:w="738" w:type="dxa"/>
            <w:tcBorders>
              <w:top w:val="single" w:sz="4" w:space="0" w:color="1F497D" w:themeColor="text2"/>
              <w:left w:val="single" w:sz="4" w:space="0" w:color="1F497D" w:themeColor="text2"/>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667</w:t>
            </w:r>
          </w:p>
        </w:tc>
        <w:tc>
          <w:tcPr>
            <w:tcW w:w="760" w:type="dxa"/>
            <w:tcBorders>
              <w:top w:val="single" w:sz="4" w:space="0" w:color="1F497D" w:themeColor="text2"/>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477</w:t>
            </w:r>
          </w:p>
        </w:tc>
        <w:tc>
          <w:tcPr>
            <w:tcW w:w="738" w:type="dxa"/>
            <w:tcBorders>
              <w:top w:val="single" w:sz="4" w:space="0" w:color="1F497D" w:themeColor="text2"/>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549</w:t>
            </w:r>
          </w:p>
        </w:tc>
        <w:tc>
          <w:tcPr>
            <w:tcW w:w="621" w:type="dxa"/>
            <w:tcBorders>
              <w:top w:val="single" w:sz="4" w:space="0" w:color="1F497D" w:themeColor="text2"/>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385</w:t>
            </w:r>
          </w:p>
        </w:tc>
        <w:tc>
          <w:tcPr>
            <w:tcW w:w="738" w:type="dxa"/>
            <w:tcBorders>
              <w:top w:val="single" w:sz="4" w:space="0" w:color="1F497D" w:themeColor="text2"/>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526</w:t>
            </w:r>
          </w:p>
        </w:tc>
        <w:tc>
          <w:tcPr>
            <w:tcW w:w="738" w:type="dxa"/>
            <w:tcBorders>
              <w:top w:val="single" w:sz="4" w:space="0" w:color="1F497D" w:themeColor="text2"/>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677</w:t>
            </w:r>
          </w:p>
        </w:tc>
        <w:tc>
          <w:tcPr>
            <w:tcW w:w="738" w:type="dxa"/>
            <w:tcBorders>
              <w:top w:val="single" w:sz="4" w:space="0" w:color="1F497D" w:themeColor="text2"/>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669</w:t>
            </w:r>
          </w:p>
        </w:tc>
        <w:tc>
          <w:tcPr>
            <w:tcW w:w="597" w:type="dxa"/>
            <w:gridSpan w:val="3"/>
            <w:tcBorders>
              <w:top w:val="single" w:sz="4" w:space="0" w:color="1F497D" w:themeColor="text2"/>
              <w:left w:val="nil"/>
              <w:bottom w:val="single" w:sz="4" w:space="0" w:color="1F497D" w:themeColor="text2"/>
              <w:right w:val="single" w:sz="4" w:space="0" w:color="1F497D" w:themeColor="text2"/>
            </w:tcBorders>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-228</w:t>
            </w:r>
          </w:p>
        </w:tc>
        <w:tc>
          <w:tcPr>
            <w:tcW w:w="785" w:type="dxa"/>
            <w:tcBorders>
              <w:top w:val="single" w:sz="4" w:space="0" w:color="365F91" w:themeColor="accent1" w:themeShade="BF"/>
              <w:left w:val="single" w:sz="4" w:space="0" w:color="1F497D" w:themeColor="text2"/>
              <w:bottom w:val="single" w:sz="4" w:space="0" w:color="365F91" w:themeColor="accent1" w:themeShade="BF"/>
              <w:right w:val="nil"/>
            </w:tcBorders>
            <w:shd w:val="clear" w:color="auto" w:fill="FFFFFF" w:themeFill="background1"/>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2 078</w:t>
            </w:r>
          </w:p>
        </w:tc>
        <w:tc>
          <w:tcPr>
            <w:tcW w:w="834"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1 643</w:t>
            </w:r>
          </w:p>
        </w:tc>
      </w:tr>
      <w:tr w:rsidR="00D24657" w:rsidRPr="0039284E" w:rsidTr="0039284E">
        <w:trPr>
          <w:trHeight w:val="284"/>
        </w:trPr>
        <w:tc>
          <w:tcPr>
            <w:tcW w:w="3202" w:type="dxa"/>
            <w:tcBorders>
              <w:top w:val="single" w:sz="8" w:space="0" w:color="365F91" w:themeColor="accent1" w:themeShade="BF"/>
              <w:left w:val="nil"/>
              <w:bottom w:val="single" w:sz="8" w:space="0" w:color="365F91" w:themeColor="accent1" w:themeShade="BF"/>
              <w:right w:val="single" w:sz="4" w:space="0" w:color="1F497D" w:themeColor="text2"/>
            </w:tcBorders>
            <w:vAlign w:val="center"/>
            <w:hideMark/>
          </w:tcPr>
          <w:p w:rsidR="0039284E" w:rsidRPr="0039284E" w:rsidRDefault="0039284E" w:rsidP="0039284E">
            <w:pPr>
              <w:snapToGrid w:val="0"/>
              <w:spacing w:after="0"/>
              <w:rPr>
                <w:rFonts w:ascii="Arial" w:eastAsia="Times New Roman" w:hAnsi="Arial"/>
                <w:bCs/>
                <w:sz w:val="14"/>
                <w:szCs w:val="14"/>
                <w:lang w:val="fr-FR"/>
              </w:rPr>
            </w:pPr>
            <w:r w:rsidRPr="0039284E">
              <w:rPr>
                <w:rFonts w:ascii="Arial" w:eastAsia="Times New Roman" w:hAnsi="Arial"/>
                <w:bCs/>
                <w:sz w:val="14"/>
                <w:szCs w:val="14"/>
                <w:lang w:val="fr-FR"/>
              </w:rPr>
              <w:t>Impôts</w:t>
            </w:r>
          </w:p>
        </w:tc>
        <w:tc>
          <w:tcPr>
            <w:tcW w:w="738" w:type="dxa"/>
            <w:tcBorders>
              <w:top w:val="single" w:sz="4" w:space="0" w:color="1F497D" w:themeColor="text2"/>
              <w:left w:val="single" w:sz="4" w:space="0" w:color="1F497D" w:themeColor="text2"/>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-159</w:t>
            </w:r>
          </w:p>
        </w:tc>
        <w:tc>
          <w:tcPr>
            <w:tcW w:w="760" w:type="dxa"/>
            <w:tcBorders>
              <w:top w:val="single" w:sz="4" w:space="0" w:color="1F497D" w:themeColor="text2"/>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-129</w:t>
            </w:r>
          </w:p>
        </w:tc>
        <w:tc>
          <w:tcPr>
            <w:tcW w:w="738" w:type="dxa"/>
            <w:tcBorders>
              <w:top w:val="single" w:sz="4" w:space="0" w:color="1F497D" w:themeColor="text2"/>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-167</w:t>
            </w:r>
          </w:p>
        </w:tc>
        <w:tc>
          <w:tcPr>
            <w:tcW w:w="621" w:type="dxa"/>
            <w:tcBorders>
              <w:top w:val="single" w:sz="4" w:space="0" w:color="1F497D" w:themeColor="text2"/>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-98</w:t>
            </w:r>
          </w:p>
        </w:tc>
        <w:tc>
          <w:tcPr>
            <w:tcW w:w="738" w:type="dxa"/>
            <w:tcBorders>
              <w:top w:val="single" w:sz="4" w:space="0" w:color="1F497D" w:themeColor="text2"/>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-163</w:t>
            </w:r>
          </w:p>
        </w:tc>
        <w:tc>
          <w:tcPr>
            <w:tcW w:w="738" w:type="dxa"/>
            <w:tcBorders>
              <w:top w:val="single" w:sz="4" w:space="0" w:color="1F497D" w:themeColor="text2"/>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-189</w:t>
            </w:r>
          </w:p>
        </w:tc>
        <w:tc>
          <w:tcPr>
            <w:tcW w:w="738" w:type="dxa"/>
            <w:tcBorders>
              <w:top w:val="single" w:sz="4" w:space="0" w:color="1F497D" w:themeColor="text2"/>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-208</w:t>
            </w:r>
          </w:p>
        </w:tc>
        <w:tc>
          <w:tcPr>
            <w:tcW w:w="597" w:type="dxa"/>
            <w:gridSpan w:val="3"/>
            <w:tcBorders>
              <w:top w:val="single" w:sz="4" w:space="0" w:color="1F497D" w:themeColor="text2"/>
              <w:left w:val="nil"/>
              <w:bottom w:val="single" w:sz="4" w:space="0" w:color="1F497D" w:themeColor="text2"/>
              <w:right w:val="single" w:sz="4" w:space="0" w:color="1F497D" w:themeColor="text2"/>
            </w:tcBorders>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-108</w:t>
            </w:r>
          </w:p>
        </w:tc>
        <w:tc>
          <w:tcPr>
            <w:tcW w:w="785" w:type="dxa"/>
            <w:tcBorders>
              <w:top w:val="single" w:sz="4" w:space="0" w:color="365F91" w:themeColor="accent1" w:themeShade="BF"/>
              <w:left w:val="single" w:sz="4" w:space="0" w:color="1F497D" w:themeColor="text2"/>
              <w:bottom w:val="single" w:sz="4" w:space="0" w:color="365F91" w:themeColor="accent1" w:themeShade="BF"/>
              <w:right w:val="nil"/>
            </w:tcBorders>
            <w:shd w:val="clear" w:color="auto" w:fill="FFFFFF" w:themeFill="background1"/>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-553</w:t>
            </w:r>
          </w:p>
        </w:tc>
        <w:tc>
          <w:tcPr>
            <w:tcW w:w="834"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-668</w:t>
            </w:r>
          </w:p>
        </w:tc>
      </w:tr>
      <w:tr w:rsidR="00D24657" w:rsidRPr="0039284E" w:rsidTr="0039284E">
        <w:trPr>
          <w:trHeight w:val="284"/>
        </w:trPr>
        <w:tc>
          <w:tcPr>
            <w:tcW w:w="3202" w:type="dxa"/>
            <w:tcBorders>
              <w:top w:val="single" w:sz="8" w:space="0" w:color="365F91" w:themeColor="accent1" w:themeShade="BF"/>
              <w:left w:val="nil"/>
              <w:bottom w:val="single" w:sz="8" w:space="0" w:color="365F91" w:themeColor="accent1" w:themeShade="BF"/>
              <w:right w:val="single" w:sz="4" w:space="0" w:color="1F497D" w:themeColor="text2"/>
            </w:tcBorders>
            <w:vAlign w:val="center"/>
            <w:hideMark/>
          </w:tcPr>
          <w:p w:rsidR="0039284E" w:rsidRPr="0039284E" w:rsidRDefault="0039284E" w:rsidP="0039284E">
            <w:pPr>
              <w:snapToGrid w:val="0"/>
              <w:spacing w:after="0"/>
              <w:rPr>
                <w:rFonts w:ascii="Arial" w:eastAsia="Times New Roman" w:hAnsi="Arial"/>
                <w:bCs/>
                <w:sz w:val="14"/>
                <w:szCs w:val="14"/>
                <w:lang w:val="fr-FR"/>
              </w:rPr>
            </w:pPr>
            <w:r w:rsidRPr="0039284E">
              <w:rPr>
                <w:rFonts w:ascii="Arial" w:eastAsia="Times New Roman" w:hAnsi="Arial"/>
                <w:bCs/>
                <w:sz w:val="14"/>
                <w:szCs w:val="14"/>
                <w:lang w:val="fr-FR"/>
              </w:rPr>
              <w:t>Résultat après impôts</w:t>
            </w:r>
          </w:p>
        </w:tc>
        <w:tc>
          <w:tcPr>
            <w:tcW w:w="738" w:type="dxa"/>
            <w:tcBorders>
              <w:top w:val="single" w:sz="4" w:space="0" w:color="1F497D" w:themeColor="text2"/>
              <w:left w:val="single" w:sz="4" w:space="0" w:color="1F497D" w:themeColor="text2"/>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508</w:t>
            </w:r>
          </w:p>
        </w:tc>
        <w:tc>
          <w:tcPr>
            <w:tcW w:w="760" w:type="dxa"/>
            <w:tcBorders>
              <w:top w:val="single" w:sz="4" w:space="0" w:color="1F497D" w:themeColor="text2"/>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348</w:t>
            </w:r>
          </w:p>
        </w:tc>
        <w:tc>
          <w:tcPr>
            <w:tcW w:w="738" w:type="dxa"/>
            <w:tcBorders>
              <w:top w:val="single" w:sz="4" w:space="0" w:color="1F497D" w:themeColor="text2"/>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382</w:t>
            </w:r>
          </w:p>
        </w:tc>
        <w:tc>
          <w:tcPr>
            <w:tcW w:w="621" w:type="dxa"/>
            <w:tcBorders>
              <w:top w:val="single" w:sz="4" w:space="0" w:color="1F497D" w:themeColor="text2"/>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287</w:t>
            </w:r>
          </w:p>
        </w:tc>
        <w:tc>
          <w:tcPr>
            <w:tcW w:w="738" w:type="dxa"/>
            <w:tcBorders>
              <w:top w:val="single" w:sz="4" w:space="0" w:color="1F497D" w:themeColor="text2"/>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363</w:t>
            </w:r>
          </w:p>
        </w:tc>
        <w:tc>
          <w:tcPr>
            <w:tcW w:w="738" w:type="dxa"/>
            <w:tcBorders>
              <w:top w:val="single" w:sz="4" w:space="0" w:color="1F497D" w:themeColor="text2"/>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487</w:t>
            </w:r>
          </w:p>
        </w:tc>
        <w:tc>
          <w:tcPr>
            <w:tcW w:w="738" w:type="dxa"/>
            <w:tcBorders>
              <w:top w:val="single" w:sz="4" w:space="0" w:color="1F497D" w:themeColor="text2"/>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460</w:t>
            </w:r>
          </w:p>
        </w:tc>
        <w:tc>
          <w:tcPr>
            <w:tcW w:w="597" w:type="dxa"/>
            <w:gridSpan w:val="3"/>
            <w:tcBorders>
              <w:top w:val="single" w:sz="4" w:space="0" w:color="1F497D" w:themeColor="text2"/>
              <w:left w:val="nil"/>
              <w:bottom w:val="single" w:sz="4" w:space="0" w:color="1F497D" w:themeColor="text2"/>
              <w:right w:val="single" w:sz="4" w:space="0" w:color="1F497D" w:themeColor="text2"/>
            </w:tcBorders>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-336</w:t>
            </w:r>
          </w:p>
        </w:tc>
        <w:tc>
          <w:tcPr>
            <w:tcW w:w="785" w:type="dxa"/>
            <w:tcBorders>
              <w:top w:val="single" w:sz="4" w:space="0" w:color="365F91" w:themeColor="accent1" w:themeShade="BF"/>
              <w:left w:val="single" w:sz="4" w:space="0" w:color="1F497D" w:themeColor="text2"/>
              <w:bottom w:val="single" w:sz="4" w:space="0" w:color="365F91" w:themeColor="accent1" w:themeShade="BF"/>
              <w:right w:val="nil"/>
            </w:tcBorders>
            <w:shd w:val="clear" w:color="auto" w:fill="FFFFFF" w:themeFill="background1"/>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1 525</w:t>
            </w:r>
          </w:p>
        </w:tc>
        <w:tc>
          <w:tcPr>
            <w:tcW w:w="834"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974</w:t>
            </w:r>
          </w:p>
        </w:tc>
      </w:tr>
      <w:tr w:rsidR="00D24657" w:rsidRPr="0039284E" w:rsidTr="0039284E">
        <w:trPr>
          <w:trHeight w:val="284"/>
        </w:trPr>
        <w:tc>
          <w:tcPr>
            <w:tcW w:w="3202" w:type="dxa"/>
            <w:tcBorders>
              <w:top w:val="single" w:sz="8" w:space="0" w:color="365F91" w:themeColor="accent1" w:themeShade="BF"/>
              <w:left w:val="nil"/>
              <w:bottom w:val="nil"/>
              <w:right w:val="single" w:sz="4" w:space="0" w:color="1F497D" w:themeColor="text2"/>
            </w:tcBorders>
            <w:vAlign w:val="center"/>
            <w:hideMark/>
          </w:tcPr>
          <w:p w:rsidR="0039284E" w:rsidRPr="0039284E" w:rsidRDefault="0039284E" w:rsidP="0039284E">
            <w:pPr>
              <w:snapToGrid w:val="0"/>
              <w:spacing w:after="0"/>
              <w:rPr>
                <w:rFonts w:ascii="Arial" w:eastAsia="Times New Roman" w:hAnsi="Arial"/>
                <w:bCs/>
                <w:sz w:val="14"/>
                <w:szCs w:val="14"/>
                <w:lang w:val="fr-FR"/>
              </w:rPr>
            </w:pPr>
            <w:r w:rsidRPr="0039284E">
              <w:rPr>
                <w:rFonts w:ascii="Arial" w:eastAsia="Times New Roman" w:hAnsi="Arial"/>
                <w:bCs/>
                <w:sz w:val="14"/>
                <w:szCs w:val="14"/>
                <w:lang w:val="fr-FR"/>
              </w:rPr>
              <w:t xml:space="preserve">     attribuable à des participations minoritaires</w:t>
            </w:r>
          </w:p>
        </w:tc>
        <w:tc>
          <w:tcPr>
            <w:tcW w:w="738" w:type="dxa"/>
            <w:tcBorders>
              <w:top w:val="single" w:sz="4" w:space="0" w:color="1F497D" w:themeColor="text2"/>
              <w:left w:val="single" w:sz="4" w:space="0" w:color="1F497D" w:themeColor="text2"/>
              <w:bottom w:val="nil"/>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7</w:t>
            </w:r>
          </w:p>
        </w:tc>
        <w:tc>
          <w:tcPr>
            <w:tcW w:w="760" w:type="dxa"/>
            <w:tcBorders>
              <w:top w:val="single" w:sz="4" w:space="0" w:color="1F497D" w:themeColor="text2"/>
              <w:left w:val="nil"/>
              <w:bottom w:val="nil"/>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5</w:t>
            </w:r>
          </w:p>
        </w:tc>
        <w:tc>
          <w:tcPr>
            <w:tcW w:w="738" w:type="dxa"/>
            <w:tcBorders>
              <w:top w:val="single" w:sz="4" w:space="0" w:color="1F497D" w:themeColor="text2"/>
              <w:left w:val="nil"/>
              <w:bottom w:val="nil"/>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9</w:t>
            </w:r>
          </w:p>
        </w:tc>
        <w:tc>
          <w:tcPr>
            <w:tcW w:w="621" w:type="dxa"/>
            <w:tcBorders>
              <w:top w:val="single" w:sz="4" w:space="0" w:color="1F497D" w:themeColor="text2"/>
              <w:left w:val="nil"/>
              <w:bottom w:val="nil"/>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9</w:t>
            </w:r>
          </w:p>
        </w:tc>
        <w:tc>
          <w:tcPr>
            <w:tcW w:w="738" w:type="dxa"/>
            <w:tcBorders>
              <w:top w:val="single" w:sz="4" w:space="0" w:color="1F497D" w:themeColor="text2"/>
              <w:left w:val="nil"/>
              <w:bottom w:val="nil"/>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4</w:t>
            </w:r>
          </w:p>
        </w:tc>
        <w:tc>
          <w:tcPr>
            <w:tcW w:w="738" w:type="dxa"/>
            <w:tcBorders>
              <w:top w:val="single" w:sz="4" w:space="0" w:color="1F497D" w:themeColor="text2"/>
              <w:left w:val="nil"/>
              <w:bottom w:val="nil"/>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w:t>
            </w:r>
          </w:p>
        </w:tc>
        <w:tc>
          <w:tcPr>
            <w:tcW w:w="738" w:type="dxa"/>
            <w:tcBorders>
              <w:top w:val="single" w:sz="4" w:space="0" w:color="1F497D" w:themeColor="text2"/>
              <w:left w:val="nil"/>
              <w:bottom w:val="nil"/>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4</w:t>
            </w:r>
          </w:p>
        </w:tc>
        <w:tc>
          <w:tcPr>
            <w:tcW w:w="597" w:type="dxa"/>
            <w:gridSpan w:val="3"/>
            <w:tcBorders>
              <w:top w:val="single" w:sz="4" w:space="0" w:color="1F497D" w:themeColor="text2"/>
              <w:left w:val="nil"/>
              <w:bottom w:val="nil"/>
              <w:right w:val="single" w:sz="4" w:space="0" w:color="1F497D" w:themeColor="text2"/>
            </w:tcBorders>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4</w:t>
            </w:r>
          </w:p>
        </w:tc>
        <w:tc>
          <w:tcPr>
            <w:tcW w:w="785" w:type="dxa"/>
            <w:tcBorders>
              <w:top w:val="single" w:sz="4" w:space="0" w:color="365F91" w:themeColor="accent1" w:themeShade="BF"/>
              <w:left w:val="single" w:sz="4" w:space="0" w:color="1F497D" w:themeColor="text2"/>
              <w:bottom w:val="nil"/>
              <w:right w:val="nil"/>
            </w:tcBorders>
            <w:shd w:val="clear" w:color="auto" w:fill="FFFFFF" w:themeFill="background1"/>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29</w:t>
            </w:r>
          </w:p>
        </w:tc>
        <w:tc>
          <w:tcPr>
            <w:tcW w:w="834" w:type="dxa"/>
            <w:tcBorders>
              <w:top w:val="single" w:sz="4" w:space="0" w:color="365F91" w:themeColor="accent1" w:themeShade="BF"/>
              <w:left w:val="nil"/>
              <w:bottom w:val="nil"/>
              <w:right w:val="nil"/>
            </w:tcBorders>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14</w:t>
            </w:r>
          </w:p>
        </w:tc>
      </w:tr>
      <w:tr w:rsidR="00D24657" w:rsidRPr="0039284E" w:rsidTr="0039284E">
        <w:trPr>
          <w:trHeight w:val="284"/>
        </w:trPr>
        <w:tc>
          <w:tcPr>
            <w:tcW w:w="3202" w:type="dxa"/>
            <w:tcBorders>
              <w:top w:val="nil"/>
              <w:left w:val="nil"/>
              <w:bottom w:val="single" w:sz="8" w:space="0" w:color="365F91" w:themeColor="accent1" w:themeShade="BF"/>
              <w:right w:val="single" w:sz="4" w:space="0" w:color="1F497D" w:themeColor="text2"/>
            </w:tcBorders>
            <w:vAlign w:val="center"/>
            <w:hideMark/>
          </w:tcPr>
          <w:p w:rsidR="0039284E" w:rsidRPr="0039284E" w:rsidRDefault="0039284E" w:rsidP="0039284E">
            <w:pPr>
              <w:snapToGrid w:val="0"/>
              <w:spacing w:after="0"/>
              <w:rPr>
                <w:rFonts w:ascii="Arial" w:eastAsia="Times New Roman" w:hAnsi="Arial"/>
                <w:bCs/>
                <w:sz w:val="14"/>
                <w:szCs w:val="14"/>
                <w:lang w:val="fr-FR"/>
              </w:rPr>
            </w:pPr>
            <w:r w:rsidRPr="0039284E">
              <w:rPr>
                <w:rFonts w:ascii="Arial" w:eastAsia="Times New Roman" w:hAnsi="Arial"/>
                <w:b/>
                <w:bCs/>
                <w:sz w:val="14"/>
                <w:szCs w:val="14"/>
                <w:lang w:val="fr-FR"/>
              </w:rPr>
              <w:t xml:space="preserve">     </w:t>
            </w:r>
            <w:r w:rsidRPr="0039284E">
              <w:rPr>
                <w:rFonts w:ascii="Arial" w:eastAsia="Times New Roman" w:hAnsi="Arial"/>
                <w:bCs/>
                <w:sz w:val="14"/>
                <w:szCs w:val="14"/>
                <w:lang w:val="fr-FR"/>
              </w:rPr>
              <w:t>attribuable aux actionnaires de la société mère</w:t>
            </w:r>
          </w:p>
        </w:tc>
        <w:tc>
          <w:tcPr>
            <w:tcW w:w="738" w:type="dxa"/>
            <w:tcBorders>
              <w:top w:val="nil"/>
              <w:left w:val="single" w:sz="4" w:space="0" w:color="1F497D" w:themeColor="text2"/>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
                <w:bCs/>
                <w:sz w:val="14"/>
                <w:szCs w:val="14"/>
                <w:lang w:val="fr-FR"/>
              </w:rPr>
            </w:pPr>
            <w:r w:rsidRPr="0039284E">
              <w:rPr>
                <w:rFonts w:ascii="Arial" w:eastAsia="Times New Roman" w:hAnsi="Arial"/>
                <w:b/>
                <w:bCs/>
                <w:sz w:val="14"/>
                <w:szCs w:val="14"/>
                <w:lang w:val="fr-FR"/>
              </w:rPr>
              <w:t>501</w:t>
            </w:r>
          </w:p>
        </w:tc>
        <w:tc>
          <w:tcPr>
            <w:tcW w:w="760" w:type="dxa"/>
            <w:tcBorders>
              <w:top w:val="nil"/>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
                <w:bCs/>
                <w:sz w:val="14"/>
                <w:szCs w:val="14"/>
                <w:lang w:val="fr-FR"/>
              </w:rPr>
            </w:pPr>
            <w:r w:rsidRPr="0039284E">
              <w:rPr>
                <w:rFonts w:ascii="Arial" w:eastAsia="Times New Roman" w:hAnsi="Arial"/>
                <w:b/>
                <w:bCs/>
                <w:sz w:val="14"/>
                <w:szCs w:val="14"/>
                <w:lang w:val="fr-FR"/>
              </w:rPr>
              <w:t>343</w:t>
            </w:r>
          </w:p>
        </w:tc>
        <w:tc>
          <w:tcPr>
            <w:tcW w:w="738" w:type="dxa"/>
            <w:tcBorders>
              <w:top w:val="nil"/>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
                <w:bCs/>
                <w:sz w:val="14"/>
                <w:szCs w:val="14"/>
                <w:lang w:val="fr-FR"/>
              </w:rPr>
            </w:pPr>
            <w:r w:rsidRPr="0039284E">
              <w:rPr>
                <w:rFonts w:ascii="Arial" w:eastAsia="Times New Roman" w:hAnsi="Arial"/>
                <w:b/>
                <w:bCs/>
                <w:sz w:val="14"/>
                <w:szCs w:val="14"/>
                <w:lang w:val="fr-FR"/>
              </w:rPr>
              <w:t>373</w:t>
            </w:r>
          </w:p>
        </w:tc>
        <w:tc>
          <w:tcPr>
            <w:tcW w:w="621" w:type="dxa"/>
            <w:tcBorders>
              <w:top w:val="nil"/>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
                <w:bCs/>
                <w:sz w:val="14"/>
                <w:szCs w:val="14"/>
                <w:lang w:val="fr-FR"/>
              </w:rPr>
            </w:pPr>
            <w:r w:rsidRPr="0039284E">
              <w:rPr>
                <w:rFonts w:ascii="Arial" w:eastAsia="Times New Roman" w:hAnsi="Arial"/>
                <w:b/>
                <w:bCs/>
                <w:sz w:val="14"/>
                <w:szCs w:val="14"/>
                <w:lang w:val="fr-FR"/>
              </w:rPr>
              <w:t>279</w:t>
            </w:r>
          </w:p>
        </w:tc>
        <w:tc>
          <w:tcPr>
            <w:tcW w:w="738" w:type="dxa"/>
            <w:tcBorders>
              <w:top w:val="nil"/>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
                <w:bCs/>
                <w:sz w:val="14"/>
                <w:szCs w:val="14"/>
                <w:lang w:val="fr-FR"/>
              </w:rPr>
            </w:pPr>
            <w:r w:rsidRPr="0039284E">
              <w:rPr>
                <w:rFonts w:ascii="Arial" w:eastAsia="Times New Roman" w:hAnsi="Arial"/>
                <w:b/>
                <w:bCs/>
                <w:sz w:val="14"/>
                <w:szCs w:val="14"/>
                <w:lang w:val="fr-FR"/>
              </w:rPr>
              <w:t>359</w:t>
            </w:r>
          </w:p>
        </w:tc>
        <w:tc>
          <w:tcPr>
            <w:tcW w:w="738" w:type="dxa"/>
            <w:tcBorders>
              <w:top w:val="nil"/>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
                <w:bCs/>
                <w:sz w:val="14"/>
                <w:szCs w:val="14"/>
                <w:lang w:val="fr-FR"/>
              </w:rPr>
            </w:pPr>
            <w:r w:rsidRPr="0039284E">
              <w:rPr>
                <w:rFonts w:ascii="Arial" w:eastAsia="Times New Roman" w:hAnsi="Arial"/>
                <w:b/>
                <w:bCs/>
                <w:sz w:val="14"/>
                <w:szCs w:val="14"/>
                <w:lang w:val="fr-FR"/>
              </w:rPr>
              <w:t>485</w:t>
            </w:r>
          </w:p>
        </w:tc>
        <w:tc>
          <w:tcPr>
            <w:tcW w:w="738" w:type="dxa"/>
            <w:tcBorders>
              <w:top w:val="nil"/>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
                <w:bCs/>
                <w:sz w:val="14"/>
                <w:szCs w:val="14"/>
                <w:lang w:val="fr-FR"/>
              </w:rPr>
            </w:pPr>
            <w:r w:rsidRPr="0039284E">
              <w:rPr>
                <w:rFonts w:ascii="Arial" w:eastAsia="Times New Roman" w:hAnsi="Arial"/>
                <w:b/>
                <w:bCs/>
                <w:sz w:val="14"/>
                <w:szCs w:val="14"/>
                <w:lang w:val="fr-FR"/>
              </w:rPr>
              <w:t>457</w:t>
            </w:r>
          </w:p>
        </w:tc>
        <w:tc>
          <w:tcPr>
            <w:tcW w:w="597" w:type="dxa"/>
            <w:gridSpan w:val="3"/>
            <w:tcBorders>
              <w:top w:val="nil"/>
              <w:left w:val="nil"/>
              <w:bottom w:val="single" w:sz="4" w:space="0" w:color="1F497D" w:themeColor="text2"/>
              <w:right w:val="single" w:sz="4" w:space="0" w:color="1F497D" w:themeColor="text2"/>
            </w:tcBorders>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
                <w:bCs/>
                <w:sz w:val="14"/>
                <w:szCs w:val="14"/>
                <w:lang w:val="fr-FR"/>
              </w:rPr>
            </w:pPr>
            <w:r w:rsidRPr="0039284E">
              <w:rPr>
                <w:rFonts w:ascii="Arial" w:eastAsia="Times New Roman" w:hAnsi="Arial"/>
                <w:b/>
                <w:bCs/>
                <w:sz w:val="14"/>
                <w:szCs w:val="14"/>
                <w:lang w:val="fr-FR"/>
              </w:rPr>
              <w:t>-340</w:t>
            </w:r>
          </w:p>
        </w:tc>
        <w:tc>
          <w:tcPr>
            <w:tcW w:w="785" w:type="dxa"/>
            <w:tcBorders>
              <w:top w:val="nil"/>
              <w:left w:val="single" w:sz="4" w:space="0" w:color="1F497D" w:themeColor="text2"/>
              <w:bottom w:val="single" w:sz="4" w:space="0" w:color="365F91" w:themeColor="accent1" w:themeShade="BF"/>
              <w:right w:val="nil"/>
            </w:tcBorders>
            <w:shd w:val="clear" w:color="auto" w:fill="FFFFFF" w:themeFill="background1"/>
            <w:vAlign w:val="center"/>
            <w:hideMark/>
          </w:tcPr>
          <w:p w:rsidR="0039284E" w:rsidRPr="0039284E" w:rsidRDefault="0039284E" w:rsidP="0039284E">
            <w:pPr>
              <w:snapToGrid w:val="0"/>
              <w:spacing w:after="0"/>
              <w:jc w:val="right"/>
              <w:rPr>
                <w:rFonts w:ascii="Arial" w:eastAsia="Times New Roman" w:hAnsi="Arial"/>
                <w:b/>
                <w:bCs/>
                <w:sz w:val="14"/>
                <w:szCs w:val="14"/>
                <w:lang w:val="fr-FR"/>
              </w:rPr>
            </w:pPr>
            <w:r w:rsidRPr="0039284E">
              <w:rPr>
                <w:rFonts w:ascii="Arial" w:eastAsia="Times New Roman" w:hAnsi="Arial"/>
                <w:b/>
                <w:bCs/>
                <w:sz w:val="14"/>
                <w:szCs w:val="14"/>
                <w:lang w:val="fr-FR"/>
              </w:rPr>
              <w:t>1 496</w:t>
            </w:r>
          </w:p>
        </w:tc>
        <w:tc>
          <w:tcPr>
            <w:tcW w:w="834" w:type="dxa"/>
            <w:tcBorders>
              <w:top w:val="nil"/>
              <w:left w:val="nil"/>
              <w:bottom w:val="single" w:sz="4" w:space="0" w:color="365F91" w:themeColor="accent1" w:themeShade="BF"/>
              <w:right w:val="nil"/>
            </w:tcBorders>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
                <w:bCs/>
                <w:sz w:val="14"/>
                <w:szCs w:val="14"/>
                <w:lang w:val="fr-FR"/>
              </w:rPr>
            </w:pPr>
            <w:r w:rsidRPr="0039284E">
              <w:rPr>
                <w:rFonts w:ascii="Arial" w:eastAsia="Times New Roman" w:hAnsi="Arial"/>
                <w:b/>
                <w:bCs/>
                <w:sz w:val="14"/>
                <w:szCs w:val="14"/>
                <w:lang w:val="fr-FR"/>
              </w:rPr>
              <w:t>960</w:t>
            </w:r>
          </w:p>
        </w:tc>
      </w:tr>
      <w:tr w:rsidR="00D24657" w:rsidRPr="0039284E" w:rsidTr="0039284E">
        <w:trPr>
          <w:trHeight w:val="227"/>
        </w:trPr>
        <w:tc>
          <w:tcPr>
            <w:tcW w:w="3202" w:type="dxa"/>
            <w:tcBorders>
              <w:top w:val="single" w:sz="8" w:space="0" w:color="365F91" w:themeColor="accent1" w:themeShade="BF"/>
              <w:left w:val="nil"/>
              <w:bottom w:val="nil"/>
              <w:right w:val="single" w:sz="4" w:space="0" w:color="1F497D" w:themeColor="text2"/>
            </w:tcBorders>
            <w:vAlign w:val="center"/>
            <w:hideMark/>
          </w:tcPr>
          <w:p w:rsidR="0039284E" w:rsidRPr="0039284E" w:rsidRDefault="0039284E" w:rsidP="0039284E">
            <w:pPr>
              <w:snapToGrid w:val="0"/>
              <w:spacing w:after="0"/>
              <w:rPr>
                <w:rFonts w:ascii="Arial" w:eastAsia="Times New Roman" w:hAnsi="Arial"/>
                <w:bCs/>
                <w:sz w:val="14"/>
                <w:szCs w:val="14"/>
                <w:lang w:val="fr-FR"/>
              </w:rPr>
            </w:pPr>
            <w:r w:rsidRPr="0039284E">
              <w:rPr>
                <w:rFonts w:ascii="Arial" w:eastAsia="Times New Roman" w:hAnsi="Arial"/>
                <w:bCs/>
                <w:sz w:val="14"/>
                <w:szCs w:val="14"/>
                <w:lang w:val="fr-FR"/>
              </w:rPr>
              <w:t xml:space="preserve">          Belgique</w:t>
            </w:r>
          </w:p>
        </w:tc>
        <w:tc>
          <w:tcPr>
            <w:tcW w:w="738" w:type="dxa"/>
            <w:tcBorders>
              <w:top w:val="single" w:sz="4" w:space="0" w:color="1F497D" w:themeColor="text2"/>
              <w:left w:val="single" w:sz="4" w:space="0" w:color="1F497D" w:themeColor="text2"/>
              <w:bottom w:val="nil"/>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486</w:t>
            </w:r>
          </w:p>
        </w:tc>
        <w:tc>
          <w:tcPr>
            <w:tcW w:w="760" w:type="dxa"/>
            <w:tcBorders>
              <w:top w:val="single" w:sz="4" w:space="0" w:color="1F497D" w:themeColor="text2"/>
              <w:left w:val="nil"/>
              <w:bottom w:val="nil"/>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244</w:t>
            </w:r>
          </w:p>
        </w:tc>
        <w:tc>
          <w:tcPr>
            <w:tcW w:w="738" w:type="dxa"/>
            <w:tcBorders>
              <w:top w:val="single" w:sz="4" w:space="0" w:color="1F497D" w:themeColor="text2"/>
              <w:left w:val="nil"/>
              <w:bottom w:val="nil"/>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335</w:t>
            </w:r>
          </w:p>
        </w:tc>
        <w:tc>
          <w:tcPr>
            <w:tcW w:w="621" w:type="dxa"/>
            <w:tcBorders>
              <w:top w:val="single" w:sz="4" w:space="0" w:color="1F497D" w:themeColor="text2"/>
              <w:left w:val="nil"/>
              <w:bottom w:val="nil"/>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295</w:t>
            </w:r>
          </w:p>
        </w:tc>
        <w:tc>
          <w:tcPr>
            <w:tcW w:w="738" w:type="dxa"/>
            <w:tcBorders>
              <w:top w:val="single" w:sz="4" w:space="0" w:color="1F497D" w:themeColor="text2"/>
              <w:left w:val="nil"/>
              <w:bottom w:val="nil"/>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385</w:t>
            </w:r>
          </w:p>
        </w:tc>
        <w:tc>
          <w:tcPr>
            <w:tcW w:w="738" w:type="dxa"/>
            <w:tcBorders>
              <w:top w:val="single" w:sz="4" w:space="0" w:color="1F497D" w:themeColor="text2"/>
              <w:left w:val="nil"/>
              <w:bottom w:val="nil"/>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418</w:t>
            </w:r>
          </w:p>
        </w:tc>
        <w:tc>
          <w:tcPr>
            <w:tcW w:w="738" w:type="dxa"/>
            <w:tcBorders>
              <w:top w:val="single" w:sz="4" w:space="0" w:color="1F497D" w:themeColor="text2"/>
              <w:left w:val="nil"/>
              <w:bottom w:val="nil"/>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391</w:t>
            </w:r>
          </w:p>
        </w:tc>
        <w:tc>
          <w:tcPr>
            <w:tcW w:w="597" w:type="dxa"/>
            <w:gridSpan w:val="3"/>
            <w:tcBorders>
              <w:top w:val="single" w:sz="4" w:space="0" w:color="1F497D" w:themeColor="text2"/>
              <w:left w:val="nil"/>
              <w:bottom w:val="nil"/>
              <w:right w:val="single" w:sz="4" w:space="0" w:color="1F497D" w:themeColor="text2"/>
            </w:tcBorders>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376</w:t>
            </w:r>
          </w:p>
        </w:tc>
        <w:tc>
          <w:tcPr>
            <w:tcW w:w="785" w:type="dxa"/>
            <w:tcBorders>
              <w:top w:val="single" w:sz="4" w:space="0" w:color="365F91" w:themeColor="accent1" w:themeShade="BF"/>
              <w:left w:val="single" w:sz="4" w:space="0" w:color="1F497D" w:themeColor="text2"/>
              <w:bottom w:val="nil"/>
              <w:right w:val="nil"/>
            </w:tcBorders>
            <w:shd w:val="clear" w:color="auto" w:fill="FFFFFF" w:themeFill="background1"/>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1 360</w:t>
            </w:r>
          </w:p>
        </w:tc>
        <w:tc>
          <w:tcPr>
            <w:tcW w:w="834" w:type="dxa"/>
            <w:tcBorders>
              <w:top w:val="single" w:sz="4" w:space="0" w:color="365F91" w:themeColor="accent1" w:themeShade="BF"/>
              <w:left w:val="nil"/>
              <w:bottom w:val="nil"/>
              <w:right w:val="nil"/>
            </w:tcBorders>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1 570</w:t>
            </w:r>
          </w:p>
        </w:tc>
      </w:tr>
      <w:tr w:rsidR="00D24657" w:rsidRPr="0039284E" w:rsidTr="0039284E">
        <w:trPr>
          <w:trHeight w:val="227"/>
        </w:trPr>
        <w:tc>
          <w:tcPr>
            <w:tcW w:w="3202" w:type="dxa"/>
            <w:tcBorders>
              <w:top w:val="nil"/>
              <w:left w:val="nil"/>
              <w:bottom w:val="nil"/>
              <w:right w:val="single" w:sz="4" w:space="0" w:color="1F497D" w:themeColor="text2"/>
            </w:tcBorders>
            <w:vAlign w:val="center"/>
            <w:hideMark/>
          </w:tcPr>
          <w:p w:rsidR="0039284E" w:rsidRPr="0039284E" w:rsidRDefault="0039284E" w:rsidP="0039284E">
            <w:pPr>
              <w:snapToGrid w:val="0"/>
              <w:spacing w:after="0"/>
              <w:rPr>
                <w:rFonts w:ascii="Arial" w:eastAsia="Times New Roman" w:hAnsi="Arial"/>
                <w:bCs/>
                <w:sz w:val="14"/>
                <w:szCs w:val="14"/>
                <w:lang w:val="fr-FR"/>
              </w:rPr>
            </w:pPr>
            <w:r w:rsidRPr="0039284E">
              <w:rPr>
                <w:rFonts w:ascii="Arial" w:eastAsia="Times New Roman" w:hAnsi="Arial"/>
                <w:bCs/>
                <w:sz w:val="14"/>
                <w:szCs w:val="14"/>
                <w:lang w:val="fr-FR"/>
              </w:rPr>
              <w:t xml:space="preserve">          République tchèque</w:t>
            </w:r>
          </w:p>
        </w:tc>
        <w:tc>
          <w:tcPr>
            <w:tcW w:w="738" w:type="dxa"/>
            <w:tcBorders>
              <w:top w:val="nil"/>
              <w:left w:val="single" w:sz="4" w:space="0" w:color="1F497D" w:themeColor="text2"/>
              <w:bottom w:val="nil"/>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158</w:t>
            </w:r>
          </w:p>
        </w:tc>
        <w:tc>
          <w:tcPr>
            <w:tcW w:w="760"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159</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149</w:t>
            </w:r>
          </w:p>
        </w:tc>
        <w:tc>
          <w:tcPr>
            <w:tcW w:w="621"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114</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132</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146</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157</w:t>
            </w:r>
          </w:p>
        </w:tc>
        <w:tc>
          <w:tcPr>
            <w:tcW w:w="597" w:type="dxa"/>
            <w:gridSpan w:val="3"/>
            <w:tcBorders>
              <w:top w:val="nil"/>
              <w:left w:val="nil"/>
              <w:bottom w:val="nil"/>
              <w:right w:val="single" w:sz="4" w:space="0" w:color="1F497D" w:themeColor="text2"/>
            </w:tcBorders>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119</w:t>
            </w:r>
          </w:p>
        </w:tc>
        <w:tc>
          <w:tcPr>
            <w:tcW w:w="785" w:type="dxa"/>
            <w:tcBorders>
              <w:top w:val="nil"/>
              <w:left w:val="single" w:sz="4" w:space="0" w:color="1F497D" w:themeColor="text2"/>
              <w:bottom w:val="nil"/>
              <w:right w:val="nil"/>
            </w:tcBorders>
            <w:shd w:val="clear" w:color="auto" w:fill="FFFFFF" w:themeFill="background1"/>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581</w:t>
            </w:r>
          </w:p>
        </w:tc>
        <w:tc>
          <w:tcPr>
            <w:tcW w:w="834" w:type="dxa"/>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554</w:t>
            </w:r>
          </w:p>
        </w:tc>
      </w:tr>
      <w:tr w:rsidR="00D24657" w:rsidRPr="0039284E" w:rsidTr="0039284E">
        <w:trPr>
          <w:trHeight w:val="227"/>
        </w:trPr>
        <w:tc>
          <w:tcPr>
            <w:tcW w:w="3202" w:type="dxa"/>
            <w:tcBorders>
              <w:top w:val="nil"/>
              <w:left w:val="nil"/>
              <w:bottom w:val="nil"/>
              <w:right w:val="single" w:sz="4" w:space="0" w:color="1F497D" w:themeColor="text2"/>
            </w:tcBorders>
            <w:vAlign w:val="center"/>
            <w:hideMark/>
          </w:tcPr>
          <w:p w:rsidR="0039284E" w:rsidRPr="0039284E" w:rsidRDefault="0039284E" w:rsidP="0039284E">
            <w:pPr>
              <w:snapToGrid w:val="0"/>
              <w:spacing w:after="0"/>
              <w:rPr>
                <w:rFonts w:ascii="Arial" w:eastAsia="Times New Roman" w:hAnsi="Arial"/>
                <w:bCs/>
                <w:sz w:val="14"/>
                <w:szCs w:val="14"/>
                <w:lang w:val="fr-FR"/>
              </w:rPr>
            </w:pPr>
            <w:r w:rsidRPr="0039284E">
              <w:rPr>
                <w:rFonts w:ascii="Arial" w:eastAsia="Times New Roman" w:hAnsi="Arial"/>
                <w:bCs/>
                <w:sz w:val="14"/>
                <w:szCs w:val="14"/>
                <w:lang w:val="fr-FR"/>
              </w:rPr>
              <w:t xml:space="preserve">          Marchés internationaux</w:t>
            </w:r>
          </w:p>
        </w:tc>
        <w:tc>
          <w:tcPr>
            <w:tcW w:w="738" w:type="dxa"/>
            <w:tcBorders>
              <w:top w:val="nil"/>
              <w:left w:val="single" w:sz="4" w:space="0" w:color="1F497D" w:themeColor="text2"/>
              <w:bottom w:val="nil"/>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-163</w:t>
            </w:r>
          </w:p>
        </w:tc>
        <w:tc>
          <w:tcPr>
            <w:tcW w:w="760"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-41</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-38</w:t>
            </w:r>
          </w:p>
        </w:tc>
        <w:tc>
          <w:tcPr>
            <w:tcW w:w="621"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-18</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-87</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-23</w:t>
            </w:r>
          </w:p>
        </w:tc>
        <w:tc>
          <w:tcPr>
            <w:tcW w:w="738" w:type="dxa"/>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-12</w:t>
            </w:r>
          </w:p>
        </w:tc>
        <w:tc>
          <w:tcPr>
            <w:tcW w:w="597" w:type="dxa"/>
            <w:gridSpan w:val="3"/>
            <w:tcBorders>
              <w:top w:val="nil"/>
              <w:left w:val="nil"/>
              <w:bottom w:val="nil"/>
              <w:right w:val="single" w:sz="4" w:space="0" w:color="1F497D" w:themeColor="text2"/>
            </w:tcBorders>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-731</w:t>
            </w:r>
          </w:p>
        </w:tc>
        <w:tc>
          <w:tcPr>
            <w:tcW w:w="785" w:type="dxa"/>
            <w:tcBorders>
              <w:top w:val="nil"/>
              <w:left w:val="single" w:sz="4" w:space="0" w:color="1F497D" w:themeColor="text2"/>
              <w:bottom w:val="nil"/>
              <w:right w:val="nil"/>
            </w:tcBorders>
            <w:shd w:val="clear" w:color="auto" w:fill="FFFFFF" w:themeFill="background1"/>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-260</w:t>
            </w:r>
          </w:p>
        </w:tc>
        <w:tc>
          <w:tcPr>
            <w:tcW w:w="834" w:type="dxa"/>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-853</w:t>
            </w:r>
          </w:p>
        </w:tc>
      </w:tr>
      <w:tr w:rsidR="00D24657" w:rsidRPr="0039284E" w:rsidTr="0039284E">
        <w:trPr>
          <w:trHeight w:val="227"/>
        </w:trPr>
        <w:tc>
          <w:tcPr>
            <w:tcW w:w="3202" w:type="dxa"/>
            <w:tcBorders>
              <w:top w:val="nil"/>
              <w:left w:val="nil"/>
              <w:bottom w:val="single" w:sz="8" w:space="0" w:color="365F91" w:themeColor="accent1" w:themeShade="BF"/>
              <w:right w:val="single" w:sz="4" w:space="0" w:color="1F497D" w:themeColor="text2"/>
            </w:tcBorders>
            <w:vAlign w:val="center"/>
            <w:hideMark/>
          </w:tcPr>
          <w:p w:rsidR="0039284E" w:rsidRPr="0039284E" w:rsidRDefault="0039284E" w:rsidP="0039284E">
            <w:pPr>
              <w:snapToGrid w:val="0"/>
              <w:spacing w:after="0"/>
              <w:rPr>
                <w:rFonts w:ascii="Arial" w:eastAsia="Times New Roman" w:hAnsi="Arial"/>
                <w:bCs/>
                <w:sz w:val="14"/>
                <w:szCs w:val="14"/>
                <w:lang w:val="fr-FR"/>
              </w:rPr>
            </w:pPr>
            <w:r w:rsidRPr="0039284E">
              <w:rPr>
                <w:rFonts w:ascii="Arial" w:eastAsia="Times New Roman" w:hAnsi="Arial"/>
                <w:bCs/>
                <w:sz w:val="14"/>
                <w:szCs w:val="14"/>
                <w:lang w:val="fr-FR"/>
              </w:rPr>
              <w:t xml:space="preserve">          Centre de groupe</w:t>
            </w:r>
          </w:p>
        </w:tc>
        <w:tc>
          <w:tcPr>
            <w:tcW w:w="738" w:type="dxa"/>
            <w:tcBorders>
              <w:top w:val="nil"/>
              <w:left w:val="single" w:sz="4" w:space="0" w:color="1F497D" w:themeColor="text2"/>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19</w:t>
            </w:r>
          </w:p>
        </w:tc>
        <w:tc>
          <w:tcPr>
            <w:tcW w:w="760" w:type="dxa"/>
            <w:tcBorders>
              <w:top w:val="nil"/>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-19</w:t>
            </w:r>
          </w:p>
        </w:tc>
        <w:tc>
          <w:tcPr>
            <w:tcW w:w="738" w:type="dxa"/>
            <w:tcBorders>
              <w:top w:val="nil"/>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-72</w:t>
            </w:r>
          </w:p>
        </w:tc>
        <w:tc>
          <w:tcPr>
            <w:tcW w:w="621" w:type="dxa"/>
            <w:tcBorders>
              <w:top w:val="nil"/>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-113</w:t>
            </w:r>
          </w:p>
        </w:tc>
        <w:tc>
          <w:tcPr>
            <w:tcW w:w="738" w:type="dxa"/>
            <w:tcBorders>
              <w:top w:val="nil"/>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-71</w:t>
            </w:r>
          </w:p>
        </w:tc>
        <w:tc>
          <w:tcPr>
            <w:tcW w:w="738" w:type="dxa"/>
            <w:tcBorders>
              <w:top w:val="nil"/>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-56</w:t>
            </w:r>
          </w:p>
        </w:tc>
        <w:tc>
          <w:tcPr>
            <w:tcW w:w="738" w:type="dxa"/>
            <w:tcBorders>
              <w:top w:val="nil"/>
              <w:left w:val="nil"/>
              <w:bottom w:val="single" w:sz="4"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-79</w:t>
            </w:r>
          </w:p>
        </w:tc>
        <w:tc>
          <w:tcPr>
            <w:tcW w:w="597" w:type="dxa"/>
            <w:gridSpan w:val="3"/>
            <w:tcBorders>
              <w:top w:val="nil"/>
              <w:left w:val="nil"/>
              <w:bottom w:val="single" w:sz="4" w:space="0" w:color="1F497D" w:themeColor="text2"/>
              <w:right w:val="single" w:sz="4" w:space="0" w:color="1F497D" w:themeColor="text2"/>
            </w:tcBorders>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-104</w:t>
            </w:r>
          </w:p>
        </w:tc>
        <w:tc>
          <w:tcPr>
            <w:tcW w:w="785" w:type="dxa"/>
            <w:tcBorders>
              <w:top w:val="nil"/>
              <w:left w:val="single" w:sz="4" w:space="0" w:color="1F497D" w:themeColor="text2"/>
              <w:bottom w:val="single" w:sz="4" w:space="0" w:color="365F91" w:themeColor="accent1" w:themeShade="BF"/>
              <w:right w:val="nil"/>
            </w:tcBorders>
            <w:shd w:val="clear" w:color="auto" w:fill="FFFFFF" w:themeFill="background1"/>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-185</w:t>
            </w:r>
          </w:p>
        </w:tc>
        <w:tc>
          <w:tcPr>
            <w:tcW w:w="834" w:type="dxa"/>
            <w:tcBorders>
              <w:top w:val="nil"/>
              <w:left w:val="nil"/>
              <w:bottom w:val="single" w:sz="4" w:space="0" w:color="365F91" w:themeColor="accent1" w:themeShade="BF"/>
              <w:right w:val="nil"/>
            </w:tcBorders>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Cs/>
                <w:sz w:val="14"/>
                <w:szCs w:val="14"/>
                <w:lang w:val="fr-FR"/>
              </w:rPr>
            </w:pPr>
            <w:r w:rsidRPr="0039284E">
              <w:rPr>
                <w:rFonts w:ascii="Arial" w:eastAsia="Times New Roman" w:hAnsi="Arial"/>
                <w:bCs/>
                <w:sz w:val="14"/>
                <w:szCs w:val="14"/>
                <w:lang w:val="fr-FR"/>
              </w:rPr>
              <w:t>-311</w:t>
            </w:r>
          </w:p>
        </w:tc>
      </w:tr>
      <w:tr w:rsidR="00D24657" w:rsidRPr="0039284E" w:rsidTr="0039284E">
        <w:trPr>
          <w:trHeight w:val="284"/>
        </w:trPr>
        <w:tc>
          <w:tcPr>
            <w:tcW w:w="3202" w:type="dxa"/>
            <w:tcBorders>
              <w:top w:val="single" w:sz="8" w:space="0" w:color="365F91" w:themeColor="accent1" w:themeShade="BF"/>
              <w:left w:val="nil"/>
              <w:bottom w:val="nil"/>
              <w:right w:val="single" w:sz="4" w:space="0" w:color="1F497D" w:themeColor="text2"/>
            </w:tcBorders>
            <w:vAlign w:val="center"/>
            <w:hideMark/>
          </w:tcPr>
          <w:p w:rsidR="0039284E" w:rsidRPr="0039284E" w:rsidRDefault="0039284E" w:rsidP="0039284E">
            <w:pPr>
              <w:snapToGrid w:val="0"/>
              <w:spacing w:before="120" w:after="0"/>
              <w:rPr>
                <w:rFonts w:ascii="Arial" w:eastAsia="Times New Roman" w:hAnsi="Arial"/>
                <w:bCs/>
                <w:sz w:val="14"/>
                <w:szCs w:val="14"/>
                <w:lang w:val="fr-FR"/>
              </w:rPr>
            </w:pPr>
            <w:r w:rsidRPr="0039284E">
              <w:rPr>
                <w:rFonts w:ascii="Arial" w:eastAsia="Times New Roman" w:hAnsi="Arial"/>
                <w:bCs/>
                <w:sz w:val="14"/>
                <w:szCs w:val="14"/>
                <w:lang w:val="fr-FR"/>
              </w:rPr>
              <w:t>Bénéfice de base par action (EUR)</w:t>
            </w:r>
          </w:p>
        </w:tc>
        <w:tc>
          <w:tcPr>
            <w:tcW w:w="738" w:type="dxa"/>
            <w:tcBorders>
              <w:top w:val="single" w:sz="4" w:space="0" w:color="1F497D" w:themeColor="text2"/>
              <w:left w:val="single" w:sz="4" w:space="0" w:color="1F497D" w:themeColor="text2"/>
              <w:bottom w:val="nil"/>
              <w:right w:val="nil"/>
            </w:tcBorders>
            <w:vAlign w:val="center"/>
            <w:hideMark/>
          </w:tcPr>
          <w:p w:rsidR="0039284E" w:rsidRPr="0039284E" w:rsidRDefault="0039284E" w:rsidP="0039284E">
            <w:pPr>
              <w:snapToGrid w:val="0"/>
              <w:spacing w:before="120" w:after="0"/>
              <w:jc w:val="right"/>
              <w:rPr>
                <w:rFonts w:ascii="Arial" w:eastAsia="Times New Roman" w:hAnsi="Arial"/>
                <w:bCs/>
                <w:sz w:val="14"/>
                <w:szCs w:val="14"/>
                <w:lang w:val="fr-FR"/>
              </w:rPr>
            </w:pPr>
            <w:r w:rsidRPr="0039284E">
              <w:rPr>
                <w:rFonts w:ascii="Arial" w:eastAsia="Times New Roman" w:hAnsi="Arial"/>
                <w:bCs/>
                <w:sz w:val="14"/>
                <w:szCs w:val="14"/>
                <w:lang w:val="fr-FR"/>
              </w:rPr>
              <w:t>1.19</w:t>
            </w:r>
          </w:p>
        </w:tc>
        <w:tc>
          <w:tcPr>
            <w:tcW w:w="760" w:type="dxa"/>
            <w:tcBorders>
              <w:top w:val="single" w:sz="4" w:space="0" w:color="1F497D" w:themeColor="text2"/>
              <w:left w:val="nil"/>
              <w:bottom w:val="nil"/>
              <w:right w:val="nil"/>
            </w:tcBorders>
            <w:vAlign w:val="center"/>
            <w:hideMark/>
          </w:tcPr>
          <w:p w:rsidR="0039284E" w:rsidRPr="0039284E" w:rsidRDefault="0039284E" w:rsidP="0039284E">
            <w:pPr>
              <w:snapToGrid w:val="0"/>
              <w:spacing w:before="120" w:after="0"/>
              <w:jc w:val="right"/>
              <w:rPr>
                <w:rFonts w:ascii="Arial" w:eastAsia="Times New Roman" w:hAnsi="Arial"/>
                <w:bCs/>
                <w:sz w:val="14"/>
                <w:szCs w:val="14"/>
                <w:lang w:val="fr-FR"/>
              </w:rPr>
            </w:pPr>
            <w:r w:rsidRPr="0039284E">
              <w:rPr>
                <w:rFonts w:ascii="Arial" w:eastAsia="Times New Roman" w:hAnsi="Arial"/>
                <w:bCs/>
                <w:sz w:val="14"/>
                <w:szCs w:val="14"/>
                <w:lang w:val="fr-FR"/>
              </w:rPr>
              <w:t>0.49</w:t>
            </w:r>
          </w:p>
        </w:tc>
        <w:tc>
          <w:tcPr>
            <w:tcW w:w="738" w:type="dxa"/>
            <w:tcBorders>
              <w:top w:val="single" w:sz="4" w:space="0" w:color="1F497D" w:themeColor="text2"/>
              <w:left w:val="nil"/>
              <w:bottom w:val="nil"/>
              <w:right w:val="nil"/>
            </w:tcBorders>
            <w:vAlign w:val="center"/>
            <w:hideMark/>
          </w:tcPr>
          <w:p w:rsidR="0039284E" w:rsidRPr="0039284E" w:rsidRDefault="0039284E" w:rsidP="0039284E">
            <w:pPr>
              <w:snapToGrid w:val="0"/>
              <w:spacing w:before="120" w:after="0"/>
              <w:jc w:val="right"/>
              <w:rPr>
                <w:rFonts w:ascii="Arial" w:eastAsia="Times New Roman" w:hAnsi="Arial"/>
                <w:bCs/>
                <w:sz w:val="14"/>
                <w:szCs w:val="14"/>
                <w:lang w:val="fr-FR"/>
              </w:rPr>
            </w:pPr>
            <w:r w:rsidRPr="0039284E">
              <w:rPr>
                <w:rFonts w:ascii="Arial" w:eastAsia="Times New Roman" w:hAnsi="Arial"/>
                <w:bCs/>
                <w:sz w:val="14"/>
                <w:szCs w:val="14"/>
                <w:lang w:val="fr-FR"/>
              </w:rPr>
              <w:t>0.69</w:t>
            </w:r>
          </w:p>
        </w:tc>
        <w:tc>
          <w:tcPr>
            <w:tcW w:w="621" w:type="dxa"/>
            <w:tcBorders>
              <w:top w:val="single" w:sz="4" w:space="0" w:color="1F497D" w:themeColor="text2"/>
              <w:left w:val="nil"/>
              <w:bottom w:val="nil"/>
              <w:right w:val="nil"/>
            </w:tcBorders>
            <w:vAlign w:val="center"/>
            <w:hideMark/>
          </w:tcPr>
          <w:p w:rsidR="0039284E" w:rsidRPr="0039284E" w:rsidRDefault="0039284E" w:rsidP="0039284E">
            <w:pPr>
              <w:snapToGrid w:val="0"/>
              <w:spacing w:before="120" w:after="0"/>
              <w:jc w:val="right"/>
              <w:rPr>
                <w:rFonts w:ascii="Arial" w:eastAsia="Times New Roman" w:hAnsi="Arial"/>
                <w:bCs/>
                <w:sz w:val="14"/>
                <w:szCs w:val="14"/>
                <w:lang w:val="fr-FR"/>
              </w:rPr>
            </w:pPr>
            <w:r w:rsidRPr="0039284E">
              <w:rPr>
                <w:rFonts w:ascii="Arial" w:eastAsia="Times New Roman" w:hAnsi="Arial"/>
                <w:bCs/>
                <w:sz w:val="14"/>
                <w:szCs w:val="14"/>
                <w:lang w:val="fr-FR"/>
              </w:rPr>
              <w:t>-0.92</w:t>
            </w:r>
          </w:p>
        </w:tc>
        <w:tc>
          <w:tcPr>
            <w:tcW w:w="738" w:type="dxa"/>
            <w:tcBorders>
              <w:top w:val="single" w:sz="4" w:space="0" w:color="1F497D" w:themeColor="text2"/>
              <w:left w:val="nil"/>
              <w:bottom w:val="nil"/>
              <w:right w:val="nil"/>
            </w:tcBorders>
            <w:vAlign w:val="center"/>
            <w:hideMark/>
          </w:tcPr>
          <w:p w:rsidR="0039284E" w:rsidRPr="0039284E" w:rsidRDefault="0039284E" w:rsidP="0039284E">
            <w:pPr>
              <w:snapToGrid w:val="0"/>
              <w:spacing w:before="120" w:after="0"/>
              <w:jc w:val="right"/>
              <w:rPr>
                <w:rFonts w:ascii="Arial" w:eastAsia="Times New Roman" w:hAnsi="Arial"/>
                <w:bCs/>
                <w:sz w:val="14"/>
                <w:szCs w:val="14"/>
                <w:lang w:val="fr-FR"/>
              </w:rPr>
            </w:pPr>
            <w:r w:rsidRPr="0039284E">
              <w:rPr>
                <w:rFonts w:ascii="Arial" w:eastAsia="Times New Roman" w:hAnsi="Arial"/>
                <w:bCs/>
                <w:sz w:val="14"/>
                <w:szCs w:val="14"/>
                <w:lang w:val="fr-FR"/>
              </w:rPr>
              <w:t>0.86</w:t>
            </w:r>
          </w:p>
        </w:tc>
        <w:tc>
          <w:tcPr>
            <w:tcW w:w="738" w:type="dxa"/>
            <w:tcBorders>
              <w:top w:val="single" w:sz="4" w:space="0" w:color="1F497D" w:themeColor="text2"/>
              <w:left w:val="nil"/>
              <w:bottom w:val="nil"/>
              <w:right w:val="nil"/>
            </w:tcBorders>
            <w:vAlign w:val="center"/>
            <w:hideMark/>
          </w:tcPr>
          <w:p w:rsidR="0039284E" w:rsidRPr="0039284E" w:rsidRDefault="0039284E" w:rsidP="0039284E">
            <w:pPr>
              <w:snapToGrid w:val="0"/>
              <w:spacing w:before="120" w:after="0"/>
              <w:jc w:val="right"/>
              <w:rPr>
                <w:rFonts w:ascii="Arial" w:eastAsia="Times New Roman" w:hAnsi="Arial"/>
                <w:bCs/>
                <w:sz w:val="14"/>
                <w:szCs w:val="14"/>
                <w:lang w:val="fr-FR"/>
              </w:rPr>
            </w:pPr>
            <w:r w:rsidRPr="0039284E">
              <w:rPr>
                <w:rFonts w:ascii="Arial" w:eastAsia="Times New Roman" w:hAnsi="Arial"/>
                <w:bCs/>
                <w:sz w:val="14"/>
                <w:szCs w:val="14"/>
                <w:lang w:val="fr-FR"/>
              </w:rPr>
              <w:t>1.16</w:t>
            </w:r>
          </w:p>
        </w:tc>
        <w:tc>
          <w:tcPr>
            <w:tcW w:w="738" w:type="dxa"/>
            <w:tcBorders>
              <w:top w:val="single" w:sz="4" w:space="0" w:color="1F497D" w:themeColor="text2"/>
              <w:left w:val="nil"/>
              <w:bottom w:val="nil"/>
              <w:right w:val="nil"/>
            </w:tcBorders>
            <w:vAlign w:val="center"/>
            <w:hideMark/>
          </w:tcPr>
          <w:p w:rsidR="0039284E" w:rsidRPr="0039284E" w:rsidRDefault="0039284E" w:rsidP="0039284E">
            <w:pPr>
              <w:snapToGrid w:val="0"/>
              <w:spacing w:before="120" w:after="0"/>
              <w:jc w:val="right"/>
              <w:rPr>
                <w:rFonts w:ascii="Arial" w:eastAsia="Times New Roman" w:hAnsi="Arial"/>
                <w:bCs/>
                <w:sz w:val="14"/>
                <w:szCs w:val="14"/>
                <w:lang w:val="fr-FR"/>
              </w:rPr>
            </w:pPr>
            <w:r w:rsidRPr="0039284E">
              <w:rPr>
                <w:rFonts w:ascii="Arial" w:eastAsia="Times New Roman" w:hAnsi="Arial"/>
                <w:bCs/>
                <w:sz w:val="14"/>
                <w:szCs w:val="14"/>
                <w:lang w:val="fr-FR"/>
              </w:rPr>
              <w:t>-0.30</w:t>
            </w:r>
          </w:p>
        </w:tc>
        <w:tc>
          <w:tcPr>
            <w:tcW w:w="597" w:type="dxa"/>
            <w:gridSpan w:val="3"/>
            <w:tcBorders>
              <w:top w:val="single" w:sz="4" w:space="0" w:color="1F497D" w:themeColor="text2"/>
              <w:left w:val="nil"/>
              <w:bottom w:val="nil"/>
              <w:right w:val="single" w:sz="4" w:space="0" w:color="1F497D" w:themeColor="text2"/>
            </w:tcBorders>
            <w:shd w:val="clear" w:color="auto" w:fill="DBE5F1" w:themeFill="accent1" w:themeFillTint="33"/>
            <w:vAlign w:val="center"/>
            <w:hideMark/>
          </w:tcPr>
          <w:p w:rsidR="0039284E" w:rsidRPr="0039284E" w:rsidRDefault="0039284E" w:rsidP="0039284E">
            <w:pPr>
              <w:snapToGrid w:val="0"/>
              <w:spacing w:before="120" w:after="0"/>
              <w:jc w:val="right"/>
              <w:rPr>
                <w:rFonts w:ascii="Arial" w:eastAsia="Times New Roman" w:hAnsi="Arial"/>
                <w:bCs/>
                <w:sz w:val="14"/>
                <w:szCs w:val="14"/>
                <w:lang w:val="fr-FR"/>
              </w:rPr>
            </w:pPr>
            <w:r w:rsidRPr="0039284E">
              <w:rPr>
                <w:rFonts w:ascii="Arial" w:eastAsia="Times New Roman" w:hAnsi="Arial"/>
                <w:bCs/>
                <w:sz w:val="14"/>
                <w:szCs w:val="14"/>
                <w:lang w:val="fr-FR"/>
              </w:rPr>
              <w:t>-0.82</w:t>
            </w:r>
          </w:p>
        </w:tc>
        <w:tc>
          <w:tcPr>
            <w:tcW w:w="785" w:type="dxa"/>
            <w:tcBorders>
              <w:top w:val="single" w:sz="4" w:space="0" w:color="365F91" w:themeColor="accent1" w:themeShade="BF"/>
              <w:left w:val="single" w:sz="4" w:space="0" w:color="1F497D" w:themeColor="text2"/>
              <w:bottom w:val="nil"/>
              <w:right w:val="nil"/>
            </w:tcBorders>
            <w:shd w:val="clear" w:color="auto" w:fill="FFFFFF" w:themeFill="background1"/>
            <w:vAlign w:val="center"/>
            <w:hideMark/>
          </w:tcPr>
          <w:p w:rsidR="0039284E" w:rsidRPr="0039284E" w:rsidRDefault="0039284E" w:rsidP="0039284E">
            <w:pPr>
              <w:snapToGrid w:val="0"/>
              <w:spacing w:before="120" w:after="0"/>
              <w:jc w:val="right"/>
              <w:rPr>
                <w:rFonts w:ascii="Arial" w:eastAsia="Times New Roman" w:hAnsi="Arial"/>
                <w:bCs/>
                <w:sz w:val="14"/>
                <w:szCs w:val="14"/>
                <w:lang w:val="fr-FR"/>
              </w:rPr>
            </w:pPr>
            <w:r w:rsidRPr="0039284E">
              <w:rPr>
                <w:rFonts w:ascii="Arial" w:eastAsia="Times New Roman" w:hAnsi="Arial"/>
                <w:bCs/>
                <w:sz w:val="14"/>
                <w:szCs w:val="14"/>
                <w:lang w:val="fr-FR"/>
              </w:rPr>
              <w:t>1.44</w:t>
            </w:r>
          </w:p>
        </w:tc>
        <w:tc>
          <w:tcPr>
            <w:tcW w:w="834" w:type="dxa"/>
            <w:tcBorders>
              <w:top w:val="single" w:sz="4" w:space="0" w:color="365F91" w:themeColor="accent1" w:themeShade="BF"/>
              <w:left w:val="nil"/>
              <w:bottom w:val="nil"/>
              <w:right w:val="nil"/>
            </w:tcBorders>
            <w:shd w:val="clear" w:color="auto" w:fill="DBE5F1" w:themeFill="accent1" w:themeFillTint="33"/>
            <w:vAlign w:val="center"/>
            <w:hideMark/>
          </w:tcPr>
          <w:p w:rsidR="0039284E" w:rsidRPr="0039284E" w:rsidRDefault="0039284E" w:rsidP="0039284E">
            <w:pPr>
              <w:snapToGrid w:val="0"/>
              <w:spacing w:before="120" w:after="0"/>
              <w:jc w:val="right"/>
              <w:rPr>
                <w:rFonts w:ascii="Arial" w:eastAsia="Times New Roman" w:hAnsi="Arial"/>
                <w:bCs/>
                <w:sz w:val="14"/>
                <w:szCs w:val="14"/>
                <w:lang w:val="fr-FR"/>
              </w:rPr>
            </w:pPr>
            <w:r w:rsidRPr="0039284E">
              <w:rPr>
                <w:rFonts w:ascii="Arial" w:eastAsia="Times New Roman" w:hAnsi="Arial"/>
                <w:bCs/>
                <w:sz w:val="14"/>
                <w:szCs w:val="14"/>
                <w:lang w:val="fr-FR"/>
              </w:rPr>
              <w:t>0.90</w:t>
            </w:r>
          </w:p>
        </w:tc>
      </w:tr>
      <w:tr w:rsidR="00D24657" w:rsidRPr="0039284E" w:rsidTr="0039284E">
        <w:trPr>
          <w:trHeight w:val="359"/>
        </w:trPr>
        <w:tc>
          <w:tcPr>
            <w:tcW w:w="3202" w:type="dxa"/>
            <w:tcBorders>
              <w:top w:val="nil"/>
              <w:left w:val="nil"/>
              <w:bottom w:val="nil"/>
              <w:right w:val="single" w:sz="4" w:space="0" w:color="1F497D" w:themeColor="text2"/>
            </w:tcBorders>
            <w:hideMark/>
          </w:tcPr>
          <w:p w:rsidR="0039284E" w:rsidRPr="0039284E" w:rsidRDefault="0039284E" w:rsidP="0039284E">
            <w:pPr>
              <w:snapToGrid w:val="0"/>
              <w:spacing w:before="120" w:after="0"/>
              <w:rPr>
                <w:rFonts w:ascii="Arial" w:eastAsia="Times New Roman" w:hAnsi="Arial"/>
                <w:bCs/>
                <w:sz w:val="14"/>
                <w:szCs w:val="14"/>
                <w:lang w:val="fr-FR"/>
              </w:rPr>
            </w:pPr>
            <w:r w:rsidRPr="0039284E">
              <w:rPr>
                <w:rFonts w:ascii="Arial" w:eastAsia="Times New Roman" w:hAnsi="Arial"/>
                <w:bCs/>
                <w:sz w:val="14"/>
                <w:szCs w:val="14"/>
                <w:lang w:val="fr-FR"/>
              </w:rPr>
              <w:t>Bénéfice dilué par action (EUR)</w:t>
            </w:r>
          </w:p>
        </w:tc>
        <w:tc>
          <w:tcPr>
            <w:tcW w:w="738" w:type="dxa"/>
            <w:tcBorders>
              <w:top w:val="nil"/>
              <w:left w:val="single" w:sz="4" w:space="0" w:color="1F497D" w:themeColor="text2"/>
              <w:bottom w:val="nil"/>
              <w:right w:val="nil"/>
            </w:tcBorders>
            <w:hideMark/>
          </w:tcPr>
          <w:p w:rsidR="0039284E" w:rsidRPr="0039284E" w:rsidRDefault="0039284E" w:rsidP="0039284E">
            <w:pPr>
              <w:snapToGrid w:val="0"/>
              <w:spacing w:before="120" w:after="0"/>
              <w:jc w:val="right"/>
              <w:rPr>
                <w:rFonts w:ascii="Arial" w:eastAsia="Times New Roman" w:hAnsi="Arial"/>
                <w:bCs/>
                <w:sz w:val="14"/>
                <w:szCs w:val="14"/>
                <w:lang w:val="fr-FR"/>
              </w:rPr>
            </w:pPr>
            <w:r w:rsidRPr="0039284E">
              <w:rPr>
                <w:rFonts w:ascii="Arial" w:eastAsia="Times New Roman" w:hAnsi="Arial"/>
                <w:bCs/>
                <w:sz w:val="14"/>
                <w:szCs w:val="14"/>
                <w:lang w:val="fr-FR"/>
              </w:rPr>
              <w:t>1.19</w:t>
            </w:r>
          </w:p>
        </w:tc>
        <w:tc>
          <w:tcPr>
            <w:tcW w:w="760" w:type="dxa"/>
            <w:hideMark/>
          </w:tcPr>
          <w:p w:rsidR="0039284E" w:rsidRPr="0039284E" w:rsidRDefault="0039284E" w:rsidP="0039284E">
            <w:pPr>
              <w:snapToGrid w:val="0"/>
              <w:spacing w:before="120" w:after="0"/>
              <w:jc w:val="right"/>
              <w:rPr>
                <w:rFonts w:ascii="Arial" w:eastAsia="Times New Roman" w:hAnsi="Arial"/>
                <w:bCs/>
                <w:sz w:val="14"/>
                <w:szCs w:val="14"/>
                <w:lang w:val="fr-FR"/>
              </w:rPr>
            </w:pPr>
            <w:r w:rsidRPr="0039284E">
              <w:rPr>
                <w:rFonts w:ascii="Arial" w:eastAsia="Times New Roman" w:hAnsi="Arial"/>
                <w:bCs/>
                <w:sz w:val="14"/>
                <w:szCs w:val="14"/>
                <w:lang w:val="fr-FR"/>
              </w:rPr>
              <w:t>0.49</w:t>
            </w:r>
          </w:p>
        </w:tc>
        <w:tc>
          <w:tcPr>
            <w:tcW w:w="738" w:type="dxa"/>
            <w:hideMark/>
          </w:tcPr>
          <w:p w:rsidR="0039284E" w:rsidRPr="0039284E" w:rsidRDefault="0039284E" w:rsidP="0039284E">
            <w:pPr>
              <w:snapToGrid w:val="0"/>
              <w:spacing w:before="120" w:after="0"/>
              <w:jc w:val="right"/>
              <w:rPr>
                <w:rFonts w:ascii="Arial" w:eastAsia="Times New Roman" w:hAnsi="Arial"/>
                <w:bCs/>
                <w:sz w:val="14"/>
                <w:szCs w:val="14"/>
                <w:lang w:val="fr-FR"/>
              </w:rPr>
            </w:pPr>
            <w:r w:rsidRPr="0039284E">
              <w:rPr>
                <w:rFonts w:ascii="Arial" w:eastAsia="Times New Roman" w:hAnsi="Arial"/>
                <w:bCs/>
                <w:sz w:val="14"/>
                <w:szCs w:val="14"/>
                <w:lang w:val="fr-FR"/>
              </w:rPr>
              <w:t>0.69</w:t>
            </w:r>
          </w:p>
        </w:tc>
        <w:tc>
          <w:tcPr>
            <w:tcW w:w="621" w:type="dxa"/>
            <w:hideMark/>
          </w:tcPr>
          <w:p w:rsidR="0039284E" w:rsidRPr="0039284E" w:rsidRDefault="0039284E" w:rsidP="0039284E">
            <w:pPr>
              <w:snapToGrid w:val="0"/>
              <w:spacing w:before="120" w:after="0"/>
              <w:jc w:val="right"/>
              <w:rPr>
                <w:rFonts w:ascii="Arial" w:eastAsia="Times New Roman" w:hAnsi="Arial"/>
                <w:bCs/>
                <w:sz w:val="14"/>
                <w:szCs w:val="14"/>
                <w:lang w:val="fr-FR"/>
              </w:rPr>
            </w:pPr>
            <w:r w:rsidRPr="0039284E">
              <w:rPr>
                <w:rFonts w:ascii="Arial" w:eastAsia="Times New Roman" w:hAnsi="Arial"/>
                <w:bCs/>
                <w:sz w:val="14"/>
                <w:szCs w:val="14"/>
                <w:lang w:val="fr-FR"/>
              </w:rPr>
              <w:t>-0.92</w:t>
            </w:r>
          </w:p>
        </w:tc>
        <w:tc>
          <w:tcPr>
            <w:tcW w:w="738" w:type="dxa"/>
            <w:hideMark/>
          </w:tcPr>
          <w:p w:rsidR="0039284E" w:rsidRPr="0039284E" w:rsidRDefault="0039284E" w:rsidP="0039284E">
            <w:pPr>
              <w:snapToGrid w:val="0"/>
              <w:spacing w:before="120" w:after="0"/>
              <w:jc w:val="right"/>
              <w:rPr>
                <w:rFonts w:ascii="Arial" w:eastAsia="Times New Roman" w:hAnsi="Arial"/>
                <w:bCs/>
                <w:sz w:val="14"/>
                <w:szCs w:val="14"/>
                <w:lang w:val="fr-FR"/>
              </w:rPr>
            </w:pPr>
            <w:r w:rsidRPr="0039284E">
              <w:rPr>
                <w:rFonts w:ascii="Arial" w:eastAsia="Times New Roman" w:hAnsi="Arial"/>
                <w:bCs/>
                <w:sz w:val="14"/>
                <w:szCs w:val="14"/>
                <w:lang w:val="fr-FR"/>
              </w:rPr>
              <w:t>0.86</w:t>
            </w:r>
          </w:p>
        </w:tc>
        <w:tc>
          <w:tcPr>
            <w:tcW w:w="738" w:type="dxa"/>
            <w:hideMark/>
          </w:tcPr>
          <w:p w:rsidR="0039284E" w:rsidRPr="0039284E" w:rsidRDefault="0039284E" w:rsidP="0039284E">
            <w:pPr>
              <w:snapToGrid w:val="0"/>
              <w:spacing w:before="120" w:after="0"/>
              <w:jc w:val="right"/>
              <w:rPr>
                <w:rFonts w:ascii="Arial" w:eastAsia="Times New Roman" w:hAnsi="Arial"/>
                <w:bCs/>
                <w:sz w:val="14"/>
                <w:szCs w:val="14"/>
                <w:lang w:val="fr-FR"/>
              </w:rPr>
            </w:pPr>
            <w:r w:rsidRPr="0039284E">
              <w:rPr>
                <w:rFonts w:ascii="Arial" w:eastAsia="Times New Roman" w:hAnsi="Arial"/>
                <w:bCs/>
                <w:sz w:val="14"/>
                <w:szCs w:val="14"/>
                <w:lang w:val="fr-FR"/>
              </w:rPr>
              <w:t>1.16</w:t>
            </w:r>
          </w:p>
        </w:tc>
        <w:tc>
          <w:tcPr>
            <w:tcW w:w="738" w:type="dxa"/>
            <w:hideMark/>
          </w:tcPr>
          <w:p w:rsidR="0039284E" w:rsidRPr="0039284E" w:rsidRDefault="0039284E" w:rsidP="0039284E">
            <w:pPr>
              <w:snapToGrid w:val="0"/>
              <w:spacing w:before="120" w:after="0"/>
              <w:jc w:val="right"/>
              <w:rPr>
                <w:rFonts w:ascii="Arial" w:eastAsia="Times New Roman" w:hAnsi="Arial"/>
                <w:bCs/>
                <w:sz w:val="14"/>
                <w:szCs w:val="14"/>
                <w:lang w:val="fr-FR"/>
              </w:rPr>
            </w:pPr>
            <w:r w:rsidRPr="0039284E">
              <w:rPr>
                <w:rFonts w:ascii="Arial" w:eastAsia="Times New Roman" w:hAnsi="Arial"/>
                <w:bCs/>
                <w:sz w:val="14"/>
                <w:szCs w:val="14"/>
                <w:lang w:val="fr-FR"/>
              </w:rPr>
              <w:t>-0.30</w:t>
            </w:r>
          </w:p>
        </w:tc>
        <w:tc>
          <w:tcPr>
            <w:tcW w:w="597" w:type="dxa"/>
            <w:gridSpan w:val="3"/>
            <w:tcBorders>
              <w:top w:val="nil"/>
              <w:left w:val="nil"/>
              <w:bottom w:val="nil"/>
              <w:right w:val="single" w:sz="4" w:space="0" w:color="1F497D" w:themeColor="text2"/>
            </w:tcBorders>
            <w:shd w:val="clear" w:color="auto" w:fill="DBE5F1" w:themeFill="accent1" w:themeFillTint="33"/>
            <w:hideMark/>
          </w:tcPr>
          <w:p w:rsidR="0039284E" w:rsidRPr="0039284E" w:rsidRDefault="0039284E" w:rsidP="0039284E">
            <w:pPr>
              <w:snapToGrid w:val="0"/>
              <w:spacing w:before="120" w:after="0"/>
              <w:jc w:val="right"/>
              <w:rPr>
                <w:rFonts w:ascii="Arial" w:eastAsia="Times New Roman" w:hAnsi="Arial"/>
                <w:bCs/>
                <w:sz w:val="14"/>
                <w:szCs w:val="14"/>
                <w:lang w:val="fr-FR"/>
              </w:rPr>
            </w:pPr>
            <w:r w:rsidRPr="0039284E">
              <w:rPr>
                <w:rFonts w:ascii="Arial" w:eastAsia="Times New Roman" w:hAnsi="Arial"/>
                <w:bCs/>
                <w:sz w:val="14"/>
                <w:szCs w:val="14"/>
                <w:lang w:val="fr-FR"/>
              </w:rPr>
              <w:t>-0.82</w:t>
            </w:r>
          </w:p>
        </w:tc>
        <w:tc>
          <w:tcPr>
            <w:tcW w:w="785" w:type="dxa"/>
            <w:tcBorders>
              <w:top w:val="nil"/>
              <w:left w:val="single" w:sz="4" w:space="0" w:color="1F497D" w:themeColor="text2"/>
              <w:bottom w:val="nil"/>
              <w:right w:val="nil"/>
            </w:tcBorders>
            <w:shd w:val="clear" w:color="auto" w:fill="FFFFFF" w:themeFill="background1"/>
            <w:hideMark/>
          </w:tcPr>
          <w:p w:rsidR="0039284E" w:rsidRPr="0039284E" w:rsidRDefault="0039284E" w:rsidP="0039284E">
            <w:pPr>
              <w:snapToGrid w:val="0"/>
              <w:spacing w:before="120" w:after="0"/>
              <w:jc w:val="right"/>
              <w:rPr>
                <w:rFonts w:ascii="Arial" w:eastAsia="Times New Roman" w:hAnsi="Arial"/>
                <w:bCs/>
                <w:sz w:val="14"/>
                <w:szCs w:val="14"/>
                <w:lang w:val="fr-FR"/>
              </w:rPr>
            </w:pPr>
            <w:r w:rsidRPr="0039284E">
              <w:rPr>
                <w:rFonts w:ascii="Arial" w:eastAsia="Times New Roman" w:hAnsi="Arial"/>
                <w:bCs/>
                <w:sz w:val="14"/>
                <w:szCs w:val="14"/>
                <w:lang w:val="fr-FR"/>
              </w:rPr>
              <w:t>1.44</w:t>
            </w:r>
          </w:p>
        </w:tc>
        <w:tc>
          <w:tcPr>
            <w:tcW w:w="834" w:type="dxa"/>
            <w:shd w:val="clear" w:color="auto" w:fill="DBE5F1" w:themeFill="accent1" w:themeFillTint="33"/>
            <w:hideMark/>
          </w:tcPr>
          <w:p w:rsidR="0039284E" w:rsidRPr="0039284E" w:rsidRDefault="0039284E" w:rsidP="0039284E">
            <w:pPr>
              <w:snapToGrid w:val="0"/>
              <w:spacing w:before="120" w:after="0"/>
              <w:jc w:val="right"/>
              <w:rPr>
                <w:rFonts w:ascii="Arial" w:eastAsia="Times New Roman" w:hAnsi="Arial"/>
                <w:bCs/>
                <w:sz w:val="14"/>
                <w:szCs w:val="14"/>
                <w:lang w:val="fr-FR"/>
              </w:rPr>
            </w:pPr>
            <w:r w:rsidRPr="0039284E">
              <w:rPr>
                <w:rFonts w:ascii="Arial" w:eastAsia="Times New Roman" w:hAnsi="Arial"/>
                <w:bCs/>
                <w:sz w:val="14"/>
                <w:szCs w:val="14"/>
                <w:lang w:val="fr-FR"/>
              </w:rPr>
              <w:t>0.90</w:t>
            </w:r>
          </w:p>
        </w:tc>
      </w:tr>
      <w:tr w:rsidR="00D24657" w:rsidRPr="00820EEE" w:rsidTr="0039284E">
        <w:trPr>
          <w:trHeight w:val="229"/>
        </w:trPr>
        <w:tc>
          <w:tcPr>
            <w:tcW w:w="3202" w:type="dxa"/>
            <w:tcBorders>
              <w:top w:val="nil"/>
              <w:left w:val="nil"/>
              <w:bottom w:val="nil"/>
              <w:right w:val="single" w:sz="8" w:space="0" w:color="FFFFFF" w:themeColor="background1"/>
            </w:tcBorders>
            <w:shd w:val="clear" w:color="auto" w:fill="365F91" w:themeFill="accent1" w:themeFillShade="BF"/>
            <w:vAlign w:val="center"/>
            <w:hideMark/>
          </w:tcPr>
          <w:p w:rsidR="0039284E" w:rsidRPr="0039284E" w:rsidRDefault="0039284E" w:rsidP="0039284E">
            <w:pPr>
              <w:snapToGrid w:val="0"/>
              <w:spacing w:after="0"/>
              <w:rPr>
                <w:rFonts w:ascii="Arial" w:eastAsia="Times New Roman" w:hAnsi="Arial"/>
                <w:bCs/>
                <w:color w:val="FFFFFF" w:themeColor="background1"/>
                <w:sz w:val="14"/>
                <w:szCs w:val="14"/>
                <w:lang w:val="fr-FR"/>
              </w:rPr>
            </w:pPr>
            <w:r w:rsidRPr="0039284E">
              <w:rPr>
                <w:rFonts w:ascii="Arial" w:eastAsia="Times New Roman" w:hAnsi="Arial"/>
                <w:bCs/>
                <w:color w:val="FFFFFF" w:themeColor="background1"/>
                <w:sz w:val="14"/>
                <w:szCs w:val="14"/>
                <w:lang w:val="fr-FR"/>
              </w:rPr>
              <w:t xml:space="preserve">Incidences des activités </w:t>
            </w:r>
            <w:proofErr w:type="spellStart"/>
            <w:r w:rsidRPr="0039284E">
              <w:rPr>
                <w:rFonts w:ascii="Arial" w:eastAsia="Times New Roman" w:hAnsi="Arial"/>
                <w:bCs/>
                <w:color w:val="FFFFFF" w:themeColor="background1"/>
                <w:sz w:val="14"/>
                <w:szCs w:val="14"/>
                <w:lang w:val="fr-FR"/>
              </w:rPr>
              <w:t>legacy</w:t>
            </w:r>
            <w:proofErr w:type="spellEnd"/>
            <w:r w:rsidRPr="0039284E">
              <w:rPr>
                <w:rFonts w:ascii="Arial" w:eastAsia="Times New Roman" w:hAnsi="Arial"/>
                <w:bCs/>
                <w:color w:val="FFFFFF" w:themeColor="background1"/>
                <w:sz w:val="14"/>
                <w:szCs w:val="14"/>
                <w:lang w:val="fr-FR"/>
              </w:rPr>
              <w:t xml:space="preserve"> et des risques de crédit propres (après impôts)</w:t>
            </w:r>
          </w:p>
        </w:tc>
        <w:tc>
          <w:tcPr>
            <w:tcW w:w="738" w:type="dxa"/>
            <w:tcBorders>
              <w:top w:val="nil"/>
              <w:left w:val="single" w:sz="8" w:space="0" w:color="FFFFFF" w:themeColor="background1"/>
              <w:bottom w:val="nil"/>
              <w:right w:val="nil"/>
            </w:tcBorders>
            <w:shd w:val="clear" w:color="auto" w:fill="365F91" w:themeFill="accent1" w:themeFillShade="BF"/>
            <w:vAlign w:val="bottom"/>
          </w:tcPr>
          <w:p w:rsidR="0039284E" w:rsidRPr="0039284E" w:rsidRDefault="0039284E" w:rsidP="0039284E">
            <w:pPr>
              <w:snapToGrid w:val="0"/>
              <w:spacing w:after="0"/>
              <w:ind w:hanging="234"/>
              <w:jc w:val="right"/>
              <w:rPr>
                <w:rFonts w:ascii="Arial" w:eastAsia="Times New Roman" w:hAnsi="Arial"/>
                <w:bCs/>
                <w:color w:val="FFFFFF" w:themeColor="background1"/>
                <w:sz w:val="14"/>
                <w:szCs w:val="14"/>
                <w:lang w:val="fr-FR"/>
              </w:rPr>
            </w:pPr>
          </w:p>
        </w:tc>
        <w:tc>
          <w:tcPr>
            <w:tcW w:w="760" w:type="dxa"/>
            <w:shd w:val="clear" w:color="auto" w:fill="365F91" w:themeFill="accent1" w:themeFillShade="BF"/>
            <w:vAlign w:val="bottom"/>
          </w:tcPr>
          <w:p w:rsidR="0039284E" w:rsidRPr="0039284E" w:rsidRDefault="0039284E" w:rsidP="0039284E">
            <w:pPr>
              <w:snapToGrid w:val="0"/>
              <w:spacing w:after="0"/>
              <w:ind w:hanging="234"/>
              <w:jc w:val="right"/>
              <w:rPr>
                <w:rFonts w:ascii="Arial" w:eastAsia="Times New Roman" w:hAnsi="Arial"/>
                <w:bCs/>
                <w:sz w:val="14"/>
                <w:szCs w:val="14"/>
                <w:lang w:val="fr-FR"/>
              </w:rPr>
            </w:pPr>
          </w:p>
        </w:tc>
        <w:tc>
          <w:tcPr>
            <w:tcW w:w="738" w:type="dxa"/>
            <w:shd w:val="clear" w:color="auto" w:fill="365F91" w:themeFill="accent1" w:themeFillShade="BF"/>
            <w:vAlign w:val="bottom"/>
          </w:tcPr>
          <w:p w:rsidR="0039284E" w:rsidRPr="0039284E" w:rsidRDefault="0039284E" w:rsidP="0039284E">
            <w:pPr>
              <w:snapToGrid w:val="0"/>
              <w:spacing w:after="0"/>
              <w:ind w:hanging="234"/>
              <w:jc w:val="right"/>
              <w:rPr>
                <w:rFonts w:ascii="Arial" w:eastAsia="Times New Roman" w:hAnsi="Arial"/>
                <w:bCs/>
                <w:sz w:val="14"/>
                <w:szCs w:val="14"/>
                <w:lang w:val="fr-FR"/>
              </w:rPr>
            </w:pPr>
          </w:p>
        </w:tc>
        <w:tc>
          <w:tcPr>
            <w:tcW w:w="621" w:type="dxa"/>
            <w:shd w:val="clear" w:color="auto" w:fill="365F91" w:themeFill="accent1" w:themeFillShade="BF"/>
            <w:vAlign w:val="bottom"/>
          </w:tcPr>
          <w:p w:rsidR="0039284E" w:rsidRPr="0039284E" w:rsidRDefault="0039284E" w:rsidP="0039284E">
            <w:pPr>
              <w:snapToGrid w:val="0"/>
              <w:spacing w:after="0"/>
              <w:ind w:hanging="234"/>
              <w:jc w:val="right"/>
              <w:rPr>
                <w:rFonts w:ascii="Arial" w:eastAsia="Times New Roman" w:hAnsi="Arial"/>
                <w:bCs/>
                <w:sz w:val="14"/>
                <w:szCs w:val="14"/>
                <w:lang w:val="fr-FR"/>
              </w:rPr>
            </w:pPr>
          </w:p>
        </w:tc>
        <w:tc>
          <w:tcPr>
            <w:tcW w:w="738" w:type="dxa"/>
            <w:shd w:val="clear" w:color="auto" w:fill="365F91" w:themeFill="accent1" w:themeFillShade="BF"/>
            <w:vAlign w:val="bottom"/>
          </w:tcPr>
          <w:p w:rsidR="0039284E" w:rsidRPr="0039284E" w:rsidRDefault="0039284E" w:rsidP="0039284E">
            <w:pPr>
              <w:snapToGrid w:val="0"/>
              <w:spacing w:after="0"/>
              <w:ind w:hanging="234"/>
              <w:jc w:val="right"/>
              <w:rPr>
                <w:rFonts w:ascii="Arial" w:eastAsia="Times New Roman" w:hAnsi="Arial"/>
                <w:bCs/>
                <w:sz w:val="14"/>
                <w:szCs w:val="14"/>
                <w:lang w:val="fr-FR"/>
              </w:rPr>
            </w:pPr>
          </w:p>
        </w:tc>
        <w:tc>
          <w:tcPr>
            <w:tcW w:w="738" w:type="dxa"/>
            <w:shd w:val="clear" w:color="auto" w:fill="365F91" w:themeFill="accent1" w:themeFillShade="BF"/>
            <w:vAlign w:val="bottom"/>
          </w:tcPr>
          <w:p w:rsidR="0039284E" w:rsidRPr="0039284E" w:rsidRDefault="0039284E" w:rsidP="0039284E">
            <w:pPr>
              <w:snapToGrid w:val="0"/>
              <w:spacing w:after="0"/>
              <w:ind w:hanging="234"/>
              <w:jc w:val="right"/>
              <w:rPr>
                <w:rFonts w:ascii="Arial" w:eastAsia="Times New Roman" w:hAnsi="Arial"/>
                <w:bCs/>
                <w:sz w:val="14"/>
                <w:szCs w:val="14"/>
                <w:lang w:val="fr-FR"/>
              </w:rPr>
            </w:pPr>
          </w:p>
        </w:tc>
        <w:tc>
          <w:tcPr>
            <w:tcW w:w="752" w:type="dxa"/>
            <w:gridSpan w:val="2"/>
            <w:shd w:val="clear" w:color="auto" w:fill="365F91" w:themeFill="accent1" w:themeFillShade="BF"/>
            <w:vAlign w:val="bottom"/>
          </w:tcPr>
          <w:p w:rsidR="0039284E" w:rsidRPr="0039284E" w:rsidRDefault="0039284E" w:rsidP="0039284E">
            <w:pPr>
              <w:snapToGrid w:val="0"/>
              <w:spacing w:after="0"/>
              <w:ind w:hanging="234"/>
              <w:jc w:val="right"/>
              <w:rPr>
                <w:rFonts w:ascii="Arial" w:eastAsia="Times New Roman" w:hAnsi="Arial"/>
                <w:bCs/>
                <w:sz w:val="14"/>
                <w:szCs w:val="14"/>
                <w:lang w:val="fr-FR"/>
              </w:rPr>
            </w:pPr>
          </w:p>
        </w:tc>
        <w:tc>
          <w:tcPr>
            <w:tcW w:w="556" w:type="dxa"/>
            <w:tcBorders>
              <w:top w:val="nil"/>
              <w:left w:val="nil"/>
              <w:bottom w:val="nil"/>
              <w:right w:val="single" w:sz="8" w:space="0" w:color="FFFFFF" w:themeColor="background1"/>
            </w:tcBorders>
            <w:shd w:val="clear" w:color="auto" w:fill="365F91" w:themeFill="accent1" w:themeFillShade="BF"/>
            <w:vAlign w:val="bottom"/>
          </w:tcPr>
          <w:p w:rsidR="0039284E" w:rsidRPr="0039284E" w:rsidRDefault="0039284E" w:rsidP="0039284E">
            <w:pPr>
              <w:snapToGrid w:val="0"/>
              <w:spacing w:after="0"/>
              <w:ind w:hanging="234"/>
              <w:jc w:val="right"/>
              <w:rPr>
                <w:rFonts w:ascii="Arial" w:eastAsia="Times New Roman" w:hAnsi="Arial"/>
                <w:bCs/>
                <w:sz w:val="14"/>
                <w:szCs w:val="14"/>
                <w:lang w:val="fr-FR"/>
              </w:rPr>
            </w:pPr>
          </w:p>
        </w:tc>
        <w:tc>
          <w:tcPr>
            <w:tcW w:w="812" w:type="dxa"/>
            <w:gridSpan w:val="2"/>
            <w:tcBorders>
              <w:top w:val="nil"/>
              <w:left w:val="single" w:sz="8" w:space="0" w:color="FFFFFF" w:themeColor="background1"/>
              <w:bottom w:val="nil"/>
              <w:right w:val="nil"/>
            </w:tcBorders>
            <w:shd w:val="clear" w:color="auto" w:fill="365F91" w:themeFill="accent1" w:themeFillShade="BF"/>
            <w:vAlign w:val="bottom"/>
          </w:tcPr>
          <w:p w:rsidR="0039284E" w:rsidRPr="0039284E" w:rsidRDefault="0039284E" w:rsidP="0039284E">
            <w:pPr>
              <w:snapToGrid w:val="0"/>
              <w:spacing w:after="0"/>
              <w:ind w:hanging="234"/>
              <w:jc w:val="right"/>
              <w:rPr>
                <w:rFonts w:ascii="Arial" w:eastAsia="Times New Roman" w:hAnsi="Arial"/>
                <w:bCs/>
                <w:sz w:val="14"/>
                <w:szCs w:val="14"/>
                <w:lang w:val="fr-FR"/>
              </w:rPr>
            </w:pPr>
          </w:p>
        </w:tc>
        <w:tc>
          <w:tcPr>
            <w:tcW w:w="834" w:type="dxa"/>
            <w:shd w:val="clear" w:color="auto" w:fill="365F91" w:themeFill="accent1" w:themeFillShade="BF"/>
            <w:tcMar>
              <w:top w:w="0" w:type="dxa"/>
              <w:left w:w="108" w:type="dxa"/>
              <w:bottom w:w="0" w:type="dxa"/>
              <w:right w:w="142" w:type="dxa"/>
            </w:tcMar>
            <w:vAlign w:val="bottom"/>
          </w:tcPr>
          <w:p w:rsidR="0039284E" w:rsidRPr="0039284E" w:rsidRDefault="0039284E" w:rsidP="0039284E">
            <w:pPr>
              <w:snapToGrid w:val="0"/>
              <w:spacing w:after="0"/>
              <w:ind w:hanging="234"/>
              <w:jc w:val="right"/>
              <w:rPr>
                <w:rFonts w:ascii="Arial" w:eastAsia="Times New Roman" w:hAnsi="Arial"/>
                <w:bCs/>
                <w:sz w:val="14"/>
                <w:szCs w:val="14"/>
                <w:lang w:val="fr-FR"/>
              </w:rPr>
            </w:pPr>
          </w:p>
        </w:tc>
      </w:tr>
      <w:tr w:rsidR="00D24657" w:rsidRPr="0039284E" w:rsidTr="0039284E">
        <w:trPr>
          <w:trHeight w:val="227"/>
        </w:trPr>
        <w:tc>
          <w:tcPr>
            <w:tcW w:w="3202" w:type="dxa"/>
            <w:tcBorders>
              <w:top w:val="nil"/>
              <w:left w:val="nil"/>
              <w:bottom w:val="nil"/>
              <w:right w:val="single" w:sz="8" w:space="0" w:color="1F497D" w:themeColor="text2"/>
            </w:tcBorders>
            <w:vAlign w:val="center"/>
            <w:hideMark/>
          </w:tcPr>
          <w:p w:rsidR="0039284E" w:rsidRPr="0039284E" w:rsidRDefault="0039284E" w:rsidP="0039284E">
            <w:pPr>
              <w:snapToGrid w:val="0"/>
              <w:spacing w:after="0"/>
              <w:rPr>
                <w:rFonts w:ascii="Arial" w:eastAsia="Times New Roman" w:hAnsi="Arial"/>
                <w:bCs/>
                <w:sz w:val="14"/>
                <w:szCs w:val="14"/>
                <w:lang w:val="fr-FR"/>
              </w:rPr>
            </w:pPr>
            <w:proofErr w:type="spellStart"/>
            <w:r w:rsidRPr="0039284E">
              <w:rPr>
                <w:rFonts w:ascii="Arial" w:eastAsia="Times New Roman" w:hAnsi="Arial"/>
                <w:bCs/>
                <w:sz w:val="14"/>
                <w:szCs w:val="14"/>
                <w:lang w:val="fr-FR"/>
              </w:rPr>
              <w:t>Legacy</w:t>
            </w:r>
            <w:proofErr w:type="spellEnd"/>
            <w:r w:rsidRPr="0039284E">
              <w:rPr>
                <w:rFonts w:ascii="Arial" w:eastAsia="Times New Roman" w:hAnsi="Arial"/>
                <w:bCs/>
                <w:sz w:val="14"/>
                <w:szCs w:val="14"/>
                <w:lang w:val="fr-FR"/>
              </w:rPr>
              <w:t xml:space="preserve"> – bénéfices/pertes liés aux CDO</w:t>
            </w:r>
          </w:p>
        </w:tc>
        <w:tc>
          <w:tcPr>
            <w:tcW w:w="738" w:type="dxa"/>
            <w:tcBorders>
              <w:top w:val="nil"/>
              <w:left w:val="single" w:sz="8" w:space="0" w:color="1F497D" w:themeColor="text2"/>
              <w:bottom w:val="nil"/>
              <w:right w:val="nil"/>
            </w:tcBorders>
            <w:vAlign w:val="center"/>
            <w:hideMark/>
          </w:tcPr>
          <w:p w:rsidR="0039284E" w:rsidRPr="0039284E" w:rsidRDefault="0039284E" w:rsidP="0039284E">
            <w:pPr>
              <w:spacing w:after="0"/>
              <w:jc w:val="right"/>
              <w:rPr>
                <w:rFonts w:ascii="Arial" w:eastAsia="Times New Roman" w:hAnsi="Arial" w:cs="Arial"/>
                <w:sz w:val="14"/>
                <w:szCs w:val="14"/>
                <w:lang w:val="fr-FR"/>
              </w:rPr>
            </w:pPr>
            <w:r w:rsidRPr="0039284E">
              <w:rPr>
                <w:rFonts w:ascii="Arial" w:eastAsia="Times New Roman" w:hAnsi="Arial" w:cs="Arial"/>
                <w:sz w:val="14"/>
                <w:szCs w:val="14"/>
                <w:lang w:val="fr-FR"/>
              </w:rPr>
              <w:t>138</w:t>
            </w:r>
          </w:p>
        </w:tc>
        <w:tc>
          <w:tcPr>
            <w:tcW w:w="760" w:type="dxa"/>
            <w:vAlign w:val="center"/>
            <w:hideMark/>
          </w:tcPr>
          <w:p w:rsidR="0039284E" w:rsidRPr="0039284E" w:rsidRDefault="0039284E" w:rsidP="0039284E">
            <w:pPr>
              <w:snapToGrid w:val="0"/>
              <w:spacing w:after="0"/>
              <w:ind w:hanging="234"/>
              <w:jc w:val="right"/>
              <w:rPr>
                <w:rFonts w:ascii="Arial" w:eastAsia="Times New Roman" w:hAnsi="Arial"/>
                <w:bCs/>
                <w:sz w:val="14"/>
                <w:szCs w:val="14"/>
                <w:lang w:val="fr-FR"/>
              </w:rPr>
            </w:pPr>
            <w:r w:rsidRPr="0039284E">
              <w:rPr>
                <w:rFonts w:ascii="Arial" w:eastAsia="Times New Roman" w:hAnsi="Arial"/>
                <w:bCs/>
                <w:sz w:val="14"/>
                <w:szCs w:val="14"/>
                <w:lang w:val="fr-FR"/>
              </w:rPr>
              <w:t>-39</w:t>
            </w:r>
          </w:p>
        </w:tc>
        <w:tc>
          <w:tcPr>
            <w:tcW w:w="738" w:type="dxa"/>
            <w:vAlign w:val="center"/>
            <w:hideMark/>
          </w:tcPr>
          <w:p w:rsidR="0039284E" w:rsidRPr="0039284E" w:rsidRDefault="0039284E" w:rsidP="0039284E">
            <w:pPr>
              <w:snapToGrid w:val="0"/>
              <w:spacing w:after="0"/>
              <w:ind w:hanging="234"/>
              <w:jc w:val="right"/>
              <w:rPr>
                <w:rFonts w:ascii="Arial" w:eastAsia="Times New Roman" w:hAnsi="Arial"/>
                <w:bCs/>
                <w:sz w:val="14"/>
                <w:szCs w:val="14"/>
                <w:lang w:val="fr-FR"/>
              </w:rPr>
            </w:pPr>
            <w:r w:rsidRPr="0039284E">
              <w:rPr>
                <w:rFonts w:ascii="Arial" w:eastAsia="Times New Roman" w:hAnsi="Arial"/>
                <w:bCs/>
                <w:sz w:val="14"/>
                <w:szCs w:val="14"/>
                <w:lang w:val="fr-FR"/>
              </w:rPr>
              <w:t>280</w:t>
            </w:r>
          </w:p>
        </w:tc>
        <w:tc>
          <w:tcPr>
            <w:tcW w:w="621" w:type="dxa"/>
            <w:vAlign w:val="center"/>
            <w:hideMark/>
          </w:tcPr>
          <w:p w:rsidR="0039284E" w:rsidRPr="0039284E" w:rsidRDefault="0039284E" w:rsidP="0039284E">
            <w:pPr>
              <w:snapToGrid w:val="0"/>
              <w:spacing w:after="0"/>
              <w:ind w:hanging="234"/>
              <w:jc w:val="right"/>
              <w:rPr>
                <w:rFonts w:ascii="Arial" w:eastAsia="Times New Roman" w:hAnsi="Arial"/>
                <w:bCs/>
                <w:sz w:val="14"/>
                <w:szCs w:val="14"/>
                <w:lang w:val="fr-FR"/>
              </w:rPr>
            </w:pPr>
            <w:r w:rsidRPr="0039284E">
              <w:rPr>
                <w:rFonts w:ascii="Arial" w:eastAsia="Times New Roman" w:hAnsi="Arial"/>
                <w:bCs/>
                <w:sz w:val="14"/>
                <w:szCs w:val="14"/>
                <w:lang w:val="fr-FR"/>
              </w:rPr>
              <w:t>46</w:t>
            </w:r>
          </w:p>
        </w:tc>
        <w:tc>
          <w:tcPr>
            <w:tcW w:w="738" w:type="dxa"/>
            <w:vAlign w:val="center"/>
            <w:hideMark/>
          </w:tcPr>
          <w:p w:rsidR="0039284E" w:rsidRPr="0039284E" w:rsidRDefault="0039284E" w:rsidP="0039284E">
            <w:pPr>
              <w:spacing w:after="0"/>
              <w:jc w:val="right"/>
              <w:rPr>
                <w:rFonts w:ascii="Arial" w:eastAsia="Times New Roman" w:hAnsi="Arial" w:cs="Arial"/>
                <w:sz w:val="14"/>
                <w:szCs w:val="14"/>
                <w:lang w:val="fr-FR"/>
              </w:rPr>
            </w:pPr>
            <w:r w:rsidRPr="0039284E">
              <w:rPr>
                <w:rFonts w:ascii="Arial" w:eastAsia="Times New Roman" w:hAnsi="Arial" w:cs="Arial"/>
                <w:sz w:val="14"/>
                <w:szCs w:val="14"/>
                <w:lang w:val="fr-FR"/>
              </w:rPr>
              <w:t>165</w:t>
            </w:r>
          </w:p>
        </w:tc>
        <w:tc>
          <w:tcPr>
            <w:tcW w:w="738" w:type="dxa"/>
            <w:vAlign w:val="center"/>
            <w:hideMark/>
          </w:tcPr>
          <w:p w:rsidR="0039284E" w:rsidRPr="0039284E" w:rsidRDefault="0039284E" w:rsidP="0039284E">
            <w:pPr>
              <w:snapToGrid w:val="0"/>
              <w:spacing w:after="0"/>
              <w:ind w:hanging="234"/>
              <w:jc w:val="right"/>
              <w:rPr>
                <w:rFonts w:ascii="Arial" w:eastAsia="Times New Roman" w:hAnsi="Arial"/>
                <w:bCs/>
                <w:sz w:val="14"/>
                <w:szCs w:val="14"/>
                <w:lang w:val="fr-FR"/>
              </w:rPr>
            </w:pPr>
            <w:r w:rsidRPr="0039284E">
              <w:rPr>
                <w:rFonts w:ascii="Arial" w:eastAsia="Times New Roman" w:hAnsi="Arial"/>
                <w:bCs/>
                <w:sz w:val="14"/>
                <w:szCs w:val="14"/>
                <w:lang w:val="fr-FR"/>
              </w:rPr>
              <w:t>180</w:t>
            </w:r>
          </w:p>
        </w:tc>
        <w:tc>
          <w:tcPr>
            <w:tcW w:w="752" w:type="dxa"/>
            <w:gridSpan w:val="2"/>
            <w:vAlign w:val="center"/>
            <w:hideMark/>
          </w:tcPr>
          <w:p w:rsidR="0039284E" w:rsidRPr="0039284E" w:rsidRDefault="0039284E" w:rsidP="0039284E">
            <w:pPr>
              <w:snapToGrid w:val="0"/>
              <w:spacing w:after="0"/>
              <w:ind w:hanging="234"/>
              <w:jc w:val="right"/>
              <w:rPr>
                <w:rFonts w:ascii="Arial" w:eastAsia="Times New Roman" w:hAnsi="Arial"/>
                <w:bCs/>
                <w:sz w:val="14"/>
                <w:szCs w:val="14"/>
                <w:lang w:val="fr-FR"/>
              </w:rPr>
            </w:pPr>
            <w:r w:rsidRPr="0039284E">
              <w:rPr>
                <w:rFonts w:ascii="Arial" w:eastAsia="Times New Roman" w:hAnsi="Arial"/>
                <w:bCs/>
                <w:sz w:val="14"/>
                <w:szCs w:val="14"/>
                <w:lang w:val="fr-FR"/>
              </w:rPr>
              <w:t>34</w:t>
            </w:r>
          </w:p>
        </w:tc>
        <w:tc>
          <w:tcPr>
            <w:tcW w:w="556" w:type="dxa"/>
            <w:tcBorders>
              <w:top w:val="nil"/>
              <w:left w:val="nil"/>
              <w:bottom w:val="nil"/>
              <w:right w:val="single" w:sz="8" w:space="0" w:color="1F497D" w:themeColor="text2"/>
            </w:tcBorders>
            <w:shd w:val="clear" w:color="auto" w:fill="DBE5F1" w:themeFill="accent1" w:themeFillTint="33"/>
            <w:vAlign w:val="center"/>
            <w:hideMark/>
          </w:tcPr>
          <w:p w:rsidR="0039284E" w:rsidRPr="0039284E" w:rsidRDefault="0039284E" w:rsidP="0039284E">
            <w:pPr>
              <w:snapToGrid w:val="0"/>
              <w:spacing w:after="0"/>
              <w:ind w:hanging="234"/>
              <w:jc w:val="right"/>
              <w:rPr>
                <w:rFonts w:ascii="Arial" w:eastAsia="Times New Roman" w:hAnsi="Arial"/>
                <w:bCs/>
                <w:sz w:val="14"/>
                <w:szCs w:val="14"/>
                <w:lang w:val="fr-FR"/>
              </w:rPr>
            </w:pPr>
            <w:r w:rsidRPr="0039284E">
              <w:rPr>
                <w:rFonts w:ascii="Arial" w:eastAsia="Times New Roman" w:hAnsi="Arial"/>
                <w:bCs/>
                <w:sz w:val="14"/>
                <w:szCs w:val="14"/>
                <w:lang w:val="fr-FR"/>
              </w:rPr>
              <w:t>65</w:t>
            </w:r>
          </w:p>
        </w:tc>
        <w:tc>
          <w:tcPr>
            <w:tcW w:w="812" w:type="dxa"/>
            <w:gridSpan w:val="2"/>
            <w:tcBorders>
              <w:top w:val="nil"/>
              <w:left w:val="single" w:sz="8" w:space="0" w:color="1F497D" w:themeColor="text2"/>
              <w:bottom w:val="nil"/>
              <w:right w:val="nil"/>
            </w:tcBorders>
            <w:shd w:val="clear" w:color="auto" w:fill="FFFFFF" w:themeFill="background1"/>
            <w:vAlign w:val="center"/>
            <w:hideMark/>
          </w:tcPr>
          <w:p w:rsidR="0039284E" w:rsidRPr="0039284E" w:rsidRDefault="0039284E" w:rsidP="0039284E">
            <w:pPr>
              <w:snapToGrid w:val="0"/>
              <w:spacing w:after="0"/>
              <w:ind w:hanging="234"/>
              <w:jc w:val="right"/>
              <w:rPr>
                <w:rFonts w:ascii="Arial" w:eastAsia="Times New Roman" w:hAnsi="Arial"/>
                <w:bCs/>
                <w:sz w:val="14"/>
                <w:szCs w:val="14"/>
                <w:lang w:val="fr-FR"/>
              </w:rPr>
            </w:pPr>
            <w:r w:rsidRPr="0039284E">
              <w:rPr>
                <w:rFonts w:ascii="Arial" w:eastAsia="Times New Roman" w:hAnsi="Arial"/>
                <w:bCs/>
                <w:sz w:val="14"/>
                <w:szCs w:val="14"/>
                <w:lang w:val="fr-FR"/>
              </w:rPr>
              <w:t>425</w:t>
            </w:r>
          </w:p>
        </w:tc>
        <w:tc>
          <w:tcPr>
            <w:tcW w:w="834" w:type="dxa"/>
            <w:shd w:val="clear" w:color="auto" w:fill="DBE5F1" w:themeFill="accent1" w:themeFillTint="33"/>
            <w:vAlign w:val="center"/>
            <w:hideMark/>
          </w:tcPr>
          <w:p w:rsidR="0039284E" w:rsidRPr="0039284E" w:rsidRDefault="0039284E" w:rsidP="0039284E">
            <w:pPr>
              <w:snapToGrid w:val="0"/>
              <w:spacing w:after="0"/>
              <w:ind w:hanging="234"/>
              <w:jc w:val="right"/>
              <w:rPr>
                <w:rFonts w:ascii="Arial" w:eastAsia="Times New Roman" w:hAnsi="Arial"/>
                <w:bCs/>
                <w:sz w:val="14"/>
                <w:szCs w:val="14"/>
                <w:lang w:val="fr-FR"/>
              </w:rPr>
            </w:pPr>
            <w:r w:rsidRPr="0039284E">
              <w:rPr>
                <w:rFonts w:ascii="Arial" w:eastAsia="Times New Roman" w:hAnsi="Arial"/>
                <w:bCs/>
                <w:sz w:val="14"/>
                <w:szCs w:val="14"/>
                <w:lang w:val="fr-FR"/>
              </w:rPr>
              <w:t>446</w:t>
            </w:r>
          </w:p>
        </w:tc>
      </w:tr>
      <w:tr w:rsidR="00D24657" w:rsidRPr="0039284E" w:rsidTr="0039284E">
        <w:trPr>
          <w:trHeight w:val="227"/>
        </w:trPr>
        <w:tc>
          <w:tcPr>
            <w:tcW w:w="3202" w:type="dxa"/>
            <w:tcBorders>
              <w:top w:val="nil"/>
              <w:left w:val="nil"/>
              <w:bottom w:val="nil"/>
              <w:right w:val="single" w:sz="8" w:space="0" w:color="1F497D" w:themeColor="text2"/>
            </w:tcBorders>
            <w:vAlign w:val="center"/>
            <w:hideMark/>
          </w:tcPr>
          <w:p w:rsidR="0039284E" w:rsidRPr="0039284E" w:rsidRDefault="0039284E" w:rsidP="0039284E">
            <w:pPr>
              <w:snapToGrid w:val="0"/>
              <w:spacing w:after="0"/>
              <w:rPr>
                <w:rFonts w:ascii="Arial" w:eastAsia="Times New Roman" w:hAnsi="Arial"/>
                <w:bCs/>
                <w:sz w:val="14"/>
                <w:szCs w:val="14"/>
                <w:lang w:val="fr-FR"/>
              </w:rPr>
            </w:pPr>
            <w:proofErr w:type="spellStart"/>
            <w:r w:rsidRPr="0039284E">
              <w:rPr>
                <w:rFonts w:ascii="Arial" w:eastAsia="Times New Roman" w:hAnsi="Arial"/>
                <w:bCs/>
                <w:sz w:val="14"/>
                <w:szCs w:val="14"/>
                <w:lang w:val="fr-FR"/>
              </w:rPr>
              <w:t>Legacy</w:t>
            </w:r>
            <w:proofErr w:type="spellEnd"/>
            <w:r w:rsidRPr="0039284E">
              <w:rPr>
                <w:rFonts w:ascii="Arial" w:eastAsia="Times New Roman" w:hAnsi="Arial"/>
                <w:bCs/>
                <w:sz w:val="14"/>
                <w:szCs w:val="14"/>
                <w:lang w:val="fr-FR"/>
              </w:rPr>
              <w:t xml:space="preserve"> – désinvestissements</w:t>
            </w:r>
          </w:p>
        </w:tc>
        <w:tc>
          <w:tcPr>
            <w:tcW w:w="738" w:type="dxa"/>
            <w:tcBorders>
              <w:top w:val="nil"/>
              <w:left w:val="single" w:sz="8" w:space="0" w:color="1F497D" w:themeColor="text2"/>
              <w:bottom w:val="nil"/>
              <w:right w:val="nil"/>
            </w:tcBorders>
            <w:vAlign w:val="center"/>
            <w:hideMark/>
          </w:tcPr>
          <w:p w:rsidR="0039284E" w:rsidRPr="0039284E" w:rsidRDefault="0039284E" w:rsidP="0039284E">
            <w:pPr>
              <w:spacing w:after="0"/>
              <w:jc w:val="right"/>
              <w:rPr>
                <w:rFonts w:ascii="Arial" w:eastAsia="Times New Roman" w:hAnsi="Arial" w:cs="Arial"/>
                <w:sz w:val="14"/>
                <w:szCs w:val="14"/>
                <w:lang w:val="fr-FR"/>
              </w:rPr>
            </w:pPr>
            <w:r w:rsidRPr="0039284E">
              <w:rPr>
                <w:rFonts w:ascii="Arial" w:eastAsia="Times New Roman" w:hAnsi="Arial" w:cs="Arial"/>
                <w:sz w:val="14"/>
                <w:szCs w:val="14"/>
                <w:lang w:val="fr-FR"/>
              </w:rPr>
              <w:t>81</w:t>
            </w:r>
          </w:p>
        </w:tc>
        <w:tc>
          <w:tcPr>
            <w:tcW w:w="760" w:type="dxa"/>
            <w:vAlign w:val="center"/>
            <w:hideMark/>
          </w:tcPr>
          <w:p w:rsidR="0039284E" w:rsidRPr="0039284E" w:rsidRDefault="0039284E" w:rsidP="0039284E">
            <w:pPr>
              <w:snapToGrid w:val="0"/>
              <w:spacing w:after="0"/>
              <w:ind w:hanging="234"/>
              <w:jc w:val="right"/>
              <w:rPr>
                <w:rFonts w:ascii="Arial" w:eastAsia="Times New Roman" w:hAnsi="Arial"/>
                <w:bCs/>
                <w:sz w:val="14"/>
                <w:szCs w:val="14"/>
                <w:lang w:val="fr-FR"/>
              </w:rPr>
            </w:pPr>
            <w:r w:rsidRPr="0039284E">
              <w:rPr>
                <w:rFonts w:ascii="Arial" w:eastAsia="Times New Roman" w:hAnsi="Arial"/>
                <w:bCs/>
                <w:sz w:val="14"/>
                <w:szCs w:val="14"/>
                <w:lang w:val="fr-FR"/>
              </w:rPr>
              <w:t>-884</w:t>
            </w:r>
          </w:p>
        </w:tc>
        <w:tc>
          <w:tcPr>
            <w:tcW w:w="738" w:type="dxa"/>
            <w:vAlign w:val="center"/>
            <w:hideMark/>
          </w:tcPr>
          <w:p w:rsidR="0039284E" w:rsidRPr="0039284E" w:rsidRDefault="0039284E" w:rsidP="0039284E">
            <w:pPr>
              <w:snapToGrid w:val="0"/>
              <w:spacing w:after="0"/>
              <w:ind w:hanging="234"/>
              <w:jc w:val="right"/>
              <w:rPr>
                <w:rFonts w:ascii="Arial" w:eastAsia="Times New Roman" w:hAnsi="Arial"/>
                <w:bCs/>
                <w:sz w:val="14"/>
                <w:szCs w:val="14"/>
                <w:lang w:val="fr-FR"/>
              </w:rPr>
            </w:pPr>
            <w:r w:rsidRPr="0039284E">
              <w:rPr>
                <w:rFonts w:ascii="Arial" w:eastAsia="Times New Roman" w:hAnsi="Arial"/>
                <w:bCs/>
                <w:sz w:val="14"/>
                <w:szCs w:val="14"/>
                <w:lang w:val="fr-FR"/>
              </w:rPr>
              <w:t>23</w:t>
            </w:r>
          </w:p>
        </w:tc>
        <w:tc>
          <w:tcPr>
            <w:tcW w:w="621" w:type="dxa"/>
            <w:vAlign w:val="center"/>
            <w:hideMark/>
          </w:tcPr>
          <w:p w:rsidR="0039284E" w:rsidRPr="0039284E" w:rsidRDefault="0039284E" w:rsidP="0039284E">
            <w:pPr>
              <w:snapToGrid w:val="0"/>
              <w:spacing w:after="0"/>
              <w:ind w:hanging="234"/>
              <w:jc w:val="right"/>
              <w:rPr>
                <w:rFonts w:ascii="Arial" w:eastAsia="Times New Roman" w:hAnsi="Arial"/>
                <w:bCs/>
                <w:sz w:val="14"/>
                <w:szCs w:val="14"/>
                <w:lang w:val="fr-FR"/>
              </w:rPr>
            </w:pPr>
            <w:r w:rsidRPr="0039284E">
              <w:rPr>
                <w:rFonts w:ascii="Arial" w:eastAsia="Times New Roman" w:hAnsi="Arial"/>
                <w:bCs/>
                <w:sz w:val="14"/>
                <w:szCs w:val="14"/>
                <w:lang w:val="fr-FR"/>
              </w:rPr>
              <w:t>3</w:t>
            </w:r>
          </w:p>
        </w:tc>
        <w:tc>
          <w:tcPr>
            <w:tcW w:w="738" w:type="dxa"/>
            <w:vAlign w:val="center"/>
            <w:hideMark/>
          </w:tcPr>
          <w:p w:rsidR="0039284E" w:rsidRPr="0039284E" w:rsidRDefault="0039284E" w:rsidP="0039284E">
            <w:pPr>
              <w:spacing w:after="0"/>
              <w:jc w:val="right"/>
              <w:rPr>
                <w:rFonts w:ascii="Arial" w:eastAsia="Times New Roman" w:hAnsi="Arial" w:cs="Arial"/>
                <w:sz w:val="14"/>
                <w:szCs w:val="14"/>
                <w:lang w:val="fr-FR"/>
              </w:rPr>
            </w:pPr>
            <w:r w:rsidRPr="0039284E">
              <w:rPr>
                <w:rFonts w:ascii="Arial" w:eastAsia="Times New Roman" w:hAnsi="Arial" w:cs="Arial"/>
                <w:sz w:val="14"/>
                <w:szCs w:val="14"/>
                <w:lang w:val="fr-FR"/>
              </w:rPr>
              <w:t>22</w:t>
            </w:r>
          </w:p>
        </w:tc>
        <w:tc>
          <w:tcPr>
            <w:tcW w:w="738" w:type="dxa"/>
            <w:vAlign w:val="center"/>
            <w:hideMark/>
          </w:tcPr>
          <w:p w:rsidR="0039284E" w:rsidRPr="0039284E" w:rsidRDefault="0039284E" w:rsidP="0039284E">
            <w:pPr>
              <w:snapToGrid w:val="0"/>
              <w:spacing w:after="0"/>
              <w:ind w:hanging="234"/>
              <w:jc w:val="right"/>
              <w:rPr>
                <w:rFonts w:ascii="Arial" w:eastAsia="Times New Roman" w:hAnsi="Arial"/>
                <w:bCs/>
                <w:sz w:val="14"/>
                <w:szCs w:val="14"/>
                <w:lang w:val="fr-FR"/>
              </w:rPr>
            </w:pPr>
            <w:r w:rsidRPr="0039284E">
              <w:rPr>
                <w:rFonts w:ascii="Arial" w:eastAsia="Times New Roman" w:hAnsi="Arial"/>
                <w:bCs/>
                <w:sz w:val="14"/>
                <w:szCs w:val="14"/>
                <w:lang w:val="fr-FR"/>
              </w:rPr>
              <w:t>-128</w:t>
            </w:r>
          </w:p>
        </w:tc>
        <w:tc>
          <w:tcPr>
            <w:tcW w:w="752" w:type="dxa"/>
            <w:gridSpan w:val="2"/>
            <w:vAlign w:val="center"/>
            <w:hideMark/>
          </w:tcPr>
          <w:p w:rsidR="0039284E" w:rsidRPr="0039284E" w:rsidRDefault="0039284E" w:rsidP="0039284E">
            <w:pPr>
              <w:snapToGrid w:val="0"/>
              <w:spacing w:after="0"/>
              <w:ind w:hanging="234"/>
              <w:jc w:val="right"/>
              <w:rPr>
                <w:rFonts w:ascii="Arial" w:eastAsia="Times New Roman" w:hAnsi="Arial"/>
                <w:bCs/>
                <w:sz w:val="14"/>
                <w:szCs w:val="14"/>
                <w:lang w:val="fr-FR"/>
              </w:rPr>
            </w:pPr>
            <w:r w:rsidRPr="0039284E">
              <w:rPr>
                <w:rFonts w:ascii="Arial" w:eastAsia="Times New Roman" w:hAnsi="Arial"/>
                <w:bCs/>
                <w:sz w:val="14"/>
                <w:szCs w:val="14"/>
                <w:lang w:val="fr-FR"/>
              </w:rPr>
              <w:t>-231</w:t>
            </w:r>
          </w:p>
        </w:tc>
        <w:tc>
          <w:tcPr>
            <w:tcW w:w="556" w:type="dxa"/>
            <w:tcBorders>
              <w:top w:val="nil"/>
              <w:left w:val="nil"/>
              <w:bottom w:val="nil"/>
              <w:right w:val="single" w:sz="8" w:space="0" w:color="1F497D" w:themeColor="text2"/>
            </w:tcBorders>
            <w:shd w:val="clear" w:color="auto" w:fill="DBE5F1" w:themeFill="accent1" w:themeFillTint="33"/>
            <w:vAlign w:val="center"/>
            <w:hideMark/>
          </w:tcPr>
          <w:p w:rsidR="0039284E" w:rsidRPr="0039284E" w:rsidRDefault="0039284E" w:rsidP="0039284E">
            <w:pPr>
              <w:snapToGrid w:val="0"/>
              <w:spacing w:after="0"/>
              <w:ind w:hanging="234"/>
              <w:jc w:val="right"/>
              <w:rPr>
                <w:rFonts w:ascii="Arial" w:eastAsia="Times New Roman" w:hAnsi="Arial"/>
                <w:bCs/>
                <w:sz w:val="14"/>
                <w:szCs w:val="14"/>
                <w:lang w:val="fr-FR"/>
              </w:rPr>
            </w:pPr>
            <w:r w:rsidRPr="0039284E">
              <w:rPr>
                <w:rFonts w:ascii="Arial" w:eastAsia="Times New Roman" w:hAnsi="Arial"/>
                <w:bCs/>
                <w:sz w:val="14"/>
                <w:szCs w:val="14"/>
                <w:lang w:val="fr-FR"/>
              </w:rPr>
              <w:t>-10</w:t>
            </w:r>
          </w:p>
        </w:tc>
        <w:tc>
          <w:tcPr>
            <w:tcW w:w="812" w:type="dxa"/>
            <w:gridSpan w:val="2"/>
            <w:tcBorders>
              <w:top w:val="nil"/>
              <w:left w:val="single" w:sz="8" w:space="0" w:color="1F497D" w:themeColor="text2"/>
              <w:bottom w:val="nil"/>
              <w:right w:val="nil"/>
            </w:tcBorders>
            <w:shd w:val="clear" w:color="auto" w:fill="FFFFFF" w:themeFill="background1"/>
            <w:vAlign w:val="center"/>
            <w:hideMark/>
          </w:tcPr>
          <w:p w:rsidR="0039284E" w:rsidRPr="0039284E" w:rsidRDefault="0039284E" w:rsidP="0039284E">
            <w:pPr>
              <w:snapToGrid w:val="0"/>
              <w:spacing w:after="0"/>
              <w:ind w:hanging="234"/>
              <w:jc w:val="right"/>
              <w:rPr>
                <w:rFonts w:ascii="Arial" w:eastAsia="Times New Roman" w:hAnsi="Arial"/>
                <w:bCs/>
                <w:sz w:val="14"/>
                <w:szCs w:val="14"/>
                <w:lang w:val="fr-FR"/>
              </w:rPr>
            </w:pPr>
            <w:r w:rsidRPr="0039284E">
              <w:rPr>
                <w:rFonts w:ascii="Arial" w:eastAsia="Times New Roman" w:hAnsi="Arial"/>
                <w:bCs/>
                <w:sz w:val="14"/>
                <w:szCs w:val="14"/>
                <w:lang w:val="fr-FR"/>
              </w:rPr>
              <w:t>-778</w:t>
            </w:r>
          </w:p>
        </w:tc>
        <w:tc>
          <w:tcPr>
            <w:tcW w:w="834" w:type="dxa"/>
            <w:shd w:val="clear" w:color="auto" w:fill="DBE5F1" w:themeFill="accent1" w:themeFillTint="33"/>
            <w:vAlign w:val="center"/>
            <w:hideMark/>
          </w:tcPr>
          <w:p w:rsidR="0039284E" w:rsidRPr="0039284E" w:rsidRDefault="0039284E" w:rsidP="0039284E">
            <w:pPr>
              <w:snapToGrid w:val="0"/>
              <w:spacing w:after="0"/>
              <w:ind w:hanging="234"/>
              <w:jc w:val="right"/>
              <w:rPr>
                <w:rFonts w:ascii="Arial" w:eastAsia="Times New Roman" w:hAnsi="Arial"/>
                <w:bCs/>
                <w:sz w:val="14"/>
                <w:szCs w:val="14"/>
                <w:lang w:val="fr-FR"/>
              </w:rPr>
            </w:pPr>
            <w:r w:rsidRPr="0039284E">
              <w:rPr>
                <w:rFonts w:ascii="Arial" w:eastAsia="Times New Roman" w:hAnsi="Arial"/>
                <w:bCs/>
                <w:sz w:val="14"/>
                <w:szCs w:val="14"/>
                <w:lang w:val="fr-FR"/>
              </w:rPr>
              <w:t>-348</w:t>
            </w:r>
          </w:p>
        </w:tc>
      </w:tr>
      <w:tr w:rsidR="00D24657" w:rsidRPr="0039284E" w:rsidTr="0039284E">
        <w:trPr>
          <w:trHeight w:val="227"/>
        </w:trPr>
        <w:tc>
          <w:tcPr>
            <w:tcW w:w="3202" w:type="dxa"/>
            <w:tcBorders>
              <w:top w:val="nil"/>
              <w:left w:val="nil"/>
              <w:bottom w:val="nil"/>
              <w:right w:val="single" w:sz="8" w:space="0" w:color="1F497D" w:themeColor="text2"/>
            </w:tcBorders>
            <w:vAlign w:val="center"/>
            <w:hideMark/>
          </w:tcPr>
          <w:p w:rsidR="0039284E" w:rsidRPr="0039284E" w:rsidRDefault="0039284E" w:rsidP="0039284E">
            <w:pPr>
              <w:snapToGrid w:val="0"/>
              <w:spacing w:after="0"/>
              <w:rPr>
                <w:rFonts w:ascii="Arial" w:eastAsia="Times New Roman" w:hAnsi="Arial"/>
                <w:bCs/>
                <w:sz w:val="14"/>
                <w:szCs w:val="14"/>
                <w:lang w:val="fr-FR"/>
              </w:rPr>
            </w:pPr>
            <w:r w:rsidRPr="0039284E">
              <w:rPr>
                <w:rFonts w:ascii="Arial" w:eastAsia="Times New Roman" w:hAnsi="Arial"/>
                <w:bCs/>
                <w:sz w:val="14"/>
                <w:szCs w:val="14"/>
                <w:lang w:val="fr-FR"/>
              </w:rPr>
              <w:t>MTM du risque de crédit propre</w:t>
            </w:r>
          </w:p>
        </w:tc>
        <w:tc>
          <w:tcPr>
            <w:tcW w:w="738" w:type="dxa"/>
            <w:tcBorders>
              <w:top w:val="nil"/>
              <w:left w:val="single" w:sz="8" w:space="0" w:color="1F497D" w:themeColor="text2"/>
              <w:bottom w:val="nil"/>
              <w:right w:val="nil"/>
            </w:tcBorders>
            <w:vAlign w:val="center"/>
            <w:hideMark/>
          </w:tcPr>
          <w:p w:rsidR="0039284E" w:rsidRPr="0039284E" w:rsidRDefault="0039284E" w:rsidP="0039284E">
            <w:pPr>
              <w:spacing w:after="0"/>
              <w:jc w:val="right"/>
              <w:rPr>
                <w:rFonts w:ascii="Arial" w:eastAsia="Times New Roman" w:hAnsi="Arial" w:cs="Arial"/>
                <w:sz w:val="14"/>
                <w:szCs w:val="14"/>
                <w:lang w:val="fr-FR"/>
              </w:rPr>
            </w:pPr>
            <w:r w:rsidRPr="0039284E">
              <w:rPr>
                <w:rFonts w:ascii="Arial" w:eastAsia="Times New Roman" w:hAnsi="Arial" w:cs="Arial"/>
                <w:sz w:val="14"/>
                <w:szCs w:val="14"/>
                <w:lang w:val="fr-FR"/>
              </w:rPr>
              <w:t>-340</w:t>
            </w:r>
          </w:p>
        </w:tc>
        <w:tc>
          <w:tcPr>
            <w:tcW w:w="760" w:type="dxa"/>
            <w:vAlign w:val="center"/>
            <w:hideMark/>
          </w:tcPr>
          <w:p w:rsidR="0039284E" w:rsidRPr="0039284E" w:rsidRDefault="0039284E" w:rsidP="0039284E">
            <w:pPr>
              <w:snapToGrid w:val="0"/>
              <w:spacing w:after="0"/>
              <w:ind w:hanging="234"/>
              <w:jc w:val="right"/>
              <w:rPr>
                <w:rFonts w:ascii="Arial" w:eastAsia="Times New Roman" w:hAnsi="Arial"/>
                <w:bCs/>
                <w:sz w:val="14"/>
                <w:szCs w:val="14"/>
                <w:lang w:val="fr-FR"/>
              </w:rPr>
            </w:pPr>
            <w:r w:rsidRPr="0039284E">
              <w:rPr>
                <w:rFonts w:ascii="Arial" w:eastAsia="Times New Roman" w:hAnsi="Arial"/>
                <w:bCs/>
                <w:sz w:val="14"/>
                <w:szCs w:val="14"/>
                <w:lang w:val="fr-FR"/>
              </w:rPr>
              <w:t>41</w:t>
            </w:r>
          </w:p>
        </w:tc>
        <w:tc>
          <w:tcPr>
            <w:tcW w:w="738" w:type="dxa"/>
            <w:vAlign w:val="center"/>
            <w:hideMark/>
          </w:tcPr>
          <w:p w:rsidR="0039284E" w:rsidRPr="0039284E" w:rsidRDefault="0039284E" w:rsidP="0039284E">
            <w:pPr>
              <w:snapToGrid w:val="0"/>
              <w:spacing w:after="0"/>
              <w:ind w:hanging="234"/>
              <w:jc w:val="right"/>
              <w:rPr>
                <w:rFonts w:ascii="Arial" w:eastAsia="Times New Roman" w:hAnsi="Arial"/>
                <w:bCs/>
                <w:sz w:val="14"/>
                <w:szCs w:val="14"/>
                <w:lang w:val="fr-FR"/>
              </w:rPr>
            </w:pPr>
            <w:r w:rsidRPr="0039284E">
              <w:rPr>
                <w:rFonts w:ascii="Arial" w:eastAsia="Times New Roman" w:hAnsi="Arial"/>
                <w:bCs/>
                <w:sz w:val="14"/>
                <w:szCs w:val="14"/>
                <w:lang w:val="fr-FR"/>
              </w:rPr>
              <w:t>-144</w:t>
            </w:r>
          </w:p>
        </w:tc>
        <w:tc>
          <w:tcPr>
            <w:tcW w:w="621" w:type="dxa"/>
            <w:vAlign w:val="center"/>
            <w:hideMark/>
          </w:tcPr>
          <w:p w:rsidR="0039284E" w:rsidRPr="0039284E" w:rsidRDefault="0039284E" w:rsidP="0039284E">
            <w:pPr>
              <w:snapToGrid w:val="0"/>
              <w:spacing w:after="0"/>
              <w:ind w:hanging="234"/>
              <w:jc w:val="right"/>
              <w:rPr>
                <w:rFonts w:ascii="Arial" w:eastAsia="Times New Roman" w:hAnsi="Arial"/>
                <w:bCs/>
                <w:sz w:val="14"/>
                <w:szCs w:val="14"/>
                <w:lang w:val="fr-FR"/>
              </w:rPr>
            </w:pPr>
            <w:r w:rsidRPr="0039284E">
              <w:rPr>
                <w:rFonts w:ascii="Arial" w:eastAsia="Times New Roman" w:hAnsi="Arial"/>
                <w:bCs/>
                <w:sz w:val="14"/>
                <w:szCs w:val="14"/>
                <w:lang w:val="fr-FR"/>
              </w:rPr>
              <w:t>-87</w:t>
            </w:r>
          </w:p>
        </w:tc>
        <w:tc>
          <w:tcPr>
            <w:tcW w:w="738" w:type="dxa"/>
            <w:vAlign w:val="center"/>
            <w:hideMark/>
          </w:tcPr>
          <w:p w:rsidR="0039284E" w:rsidRPr="0039284E" w:rsidRDefault="0039284E" w:rsidP="0039284E">
            <w:pPr>
              <w:spacing w:after="0"/>
              <w:jc w:val="right"/>
              <w:rPr>
                <w:rFonts w:ascii="Arial" w:eastAsia="Times New Roman" w:hAnsi="Arial" w:cs="Arial"/>
                <w:sz w:val="14"/>
                <w:szCs w:val="14"/>
                <w:lang w:val="fr-FR"/>
              </w:rPr>
            </w:pPr>
            <w:r w:rsidRPr="0039284E">
              <w:rPr>
                <w:rFonts w:ascii="Arial" w:eastAsia="Times New Roman" w:hAnsi="Arial" w:cs="Arial"/>
                <w:sz w:val="14"/>
                <w:szCs w:val="14"/>
                <w:lang w:val="fr-FR"/>
              </w:rPr>
              <w:t>-26</w:t>
            </w:r>
          </w:p>
        </w:tc>
        <w:tc>
          <w:tcPr>
            <w:tcW w:w="738" w:type="dxa"/>
            <w:vAlign w:val="center"/>
            <w:hideMark/>
          </w:tcPr>
          <w:p w:rsidR="0039284E" w:rsidRPr="0039284E" w:rsidRDefault="0039284E" w:rsidP="0039284E">
            <w:pPr>
              <w:snapToGrid w:val="0"/>
              <w:spacing w:after="0"/>
              <w:ind w:hanging="234"/>
              <w:jc w:val="right"/>
              <w:rPr>
                <w:rFonts w:ascii="Arial" w:eastAsia="Times New Roman" w:hAnsi="Arial"/>
                <w:bCs/>
                <w:sz w:val="14"/>
                <w:szCs w:val="14"/>
                <w:lang w:val="fr-FR"/>
              </w:rPr>
            </w:pPr>
            <w:r w:rsidRPr="0039284E">
              <w:rPr>
                <w:rFonts w:ascii="Arial" w:eastAsia="Times New Roman" w:hAnsi="Arial"/>
                <w:bCs/>
                <w:sz w:val="14"/>
                <w:szCs w:val="14"/>
                <w:lang w:val="fr-FR"/>
              </w:rPr>
              <w:t>-20</w:t>
            </w:r>
          </w:p>
        </w:tc>
        <w:tc>
          <w:tcPr>
            <w:tcW w:w="752" w:type="dxa"/>
            <w:gridSpan w:val="2"/>
            <w:vAlign w:val="center"/>
            <w:hideMark/>
          </w:tcPr>
          <w:p w:rsidR="0039284E" w:rsidRPr="0039284E" w:rsidRDefault="0039284E" w:rsidP="0039284E">
            <w:pPr>
              <w:snapToGrid w:val="0"/>
              <w:spacing w:after="0"/>
              <w:ind w:hanging="234"/>
              <w:jc w:val="right"/>
              <w:rPr>
                <w:rFonts w:ascii="Arial" w:eastAsia="Times New Roman" w:hAnsi="Arial"/>
                <w:bCs/>
                <w:sz w:val="14"/>
                <w:szCs w:val="14"/>
                <w:lang w:val="fr-FR"/>
              </w:rPr>
            </w:pPr>
            <w:r w:rsidRPr="0039284E">
              <w:rPr>
                <w:rFonts w:ascii="Arial" w:eastAsia="Times New Roman" w:hAnsi="Arial"/>
                <w:bCs/>
                <w:sz w:val="14"/>
                <w:szCs w:val="14"/>
                <w:lang w:val="fr-FR"/>
              </w:rPr>
              <w:t>12</w:t>
            </w:r>
          </w:p>
        </w:tc>
        <w:tc>
          <w:tcPr>
            <w:tcW w:w="556" w:type="dxa"/>
            <w:tcBorders>
              <w:top w:val="nil"/>
              <w:left w:val="nil"/>
              <w:bottom w:val="nil"/>
              <w:right w:val="single" w:sz="8" w:space="0" w:color="1F497D" w:themeColor="text2"/>
            </w:tcBorders>
            <w:shd w:val="clear" w:color="auto" w:fill="DBE5F1" w:themeFill="accent1" w:themeFillTint="33"/>
            <w:vAlign w:val="center"/>
            <w:hideMark/>
          </w:tcPr>
          <w:p w:rsidR="0039284E" w:rsidRPr="0039284E" w:rsidRDefault="0039284E" w:rsidP="0039284E">
            <w:pPr>
              <w:snapToGrid w:val="0"/>
              <w:spacing w:after="0"/>
              <w:ind w:hanging="234"/>
              <w:jc w:val="right"/>
              <w:rPr>
                <w:rFonts w:ascii="Arial" w:eastAsia="Times New Roman" w:hAnsi="Arial"/>
                <w:bCs/>
                <w:sz w:val="14"/>
                <w:szCs w:val="14"/>
                <w:lang w:val="fr-FR"/>
              </w:rPr>
            </w:pPr>
            <w:r w:rsidRPr="0039284E">
              <w:rPr>
                <w:rFonts w:ascii="Arial" w:eastAsia="Times New Roman" w:hAnsi="Arial"/>
                <w:bCs/>
                <w:sz w:val="14"/>
                <w:szCs w:val="14"/>
                <w:lang w:val="fr-FR"/>
              </w:rPr>
              <w:t>-9</w:t>
            </w:r>
          </w:p>
        </w:tc>
        <w:tc>
          <w:tcPr>
            <w:tcW w:w="812" w:type="dxa"/>
            <w:gridSpan w:val="2"/>
            <w:tcBorders>
              <w:top w:val="nil"/>
              <w:left w:val="single" w:sz="8" w:space="0" w:color="1F497D" w:themeColor="text2"/>
              <w:bottom w:val="nil"/>
              <w:right w:val="nil"/>
            </w:tcBorders>
            <w:shd w:val="clear" w:color="auto" w:fill="FFFFFF" w:themeFill="background1"/>
            <w:vAlign w:val="center"/>
            <w:hideMark/>
          </w:tcPr>
          <w:p w:rsidR="0039284E" w:rsidRPr="0039284E" w:rsidRDefault="0039284E" w:rsidP="0039284E">
            <w:pPr>
              <w:snapToGrid w:val="0"/>
              <w:spacing w:after="0"/>
              <w:ind w:hanging="234"/>
              <w:jc w:val="right"/>
              <w:rPr>
                <w:rFonts w:ascii="Arial" w:eastAsia="Times New Roman" w:hAnsi="Arial"/>
                <w:bCs/>
                <w:sz w:val="14"/>
                <w:szCs w:val="14"/>
                <w:lang w:val="fr-FR"/>
              </w:rPr>
            </w:pPr>
            <w:r w:rsidRPr="0039284E">
              <w:rPr>
                <w:rFonts w:ascii="Arial" w:eastAsia="Times New Roman" w:hAnsi="Arial"/>
                <w:bCs/>
                <w:sz w:val="14"/>
                <w:szCs w:val="14"/>
                <w:lang w:val="fr-FR"/>
              </w:rPr>
              <w:t>-531</w:t>
            </w:r>
          </w:p>
        </w:tc>
        <w:tc>
          <w:tcPr>
            <w:tcW w:w="834" w:type="dxa"/>
            <w:shd w:val="clear" w:color="auto" w:fill="DBE5F1" w:themeFill="accent1" w:themeFillTint="33"/>
            <w:vAlign w:val="center"/>
            <w:hideMark/>
          </w:tcPr>
          <w:p w:rsidR="0039284E" w:rsidRPr="0039284E" w:rsidRDefault="0039284E" w:rsidP="0039284E">
            <w:pPr>
              <w:snapToGrid w:val="0"/>
              <w:spacing w:after="0"/>
              <w:ind w:hanging="234"/>
              <w:jc w:val="right"/>
              <w:rPr>
                <w:rFonts w:ascii="Arial" w:eastAsia="Times New Roman" w:hAnsi="Arial"/>
                <w:bCs/>
                <w:sz w:val="14"/>
                <w:szCs w:val="14"/>
                <w:lang w:val="fr-FR"/>
              </w:rPr>
            </w:pPr>
            <w:r w:rsidRPr="0039284E">
              <w:rPr>
                <w:rFonts w:ascii="Arial" w:eastAsia="Times New Roman" w:hAnsi="Arial"/>
                <w:bCs/>
                <w:sz w:val="14"/>
                <w:szCs w:val="14"/>
                <w:lang w:val="fr-FR"/>
              </w:rPr>
              <w:t>-43</w:t>
            </w:r>
          </w:p>
        </w:tc>
      </w:tr>
      <w:tr w:rsidR="00D24657" w:rsidRPr="0039284E" w:rsidTr="0039284E">
        <w:trPr>
          <w:trHeight w:val="227"/>
        </w:trPr>
        <w:tc>
          <w:tcPr>
            <w:tcW w:w="3202" w:type="dxa"/>
            <w:tcBorders>
              <w:top w:val="nil"/>
              <w:left w:val="nil"/>
              <w:bottom w:val="nil"/>
              <w:right w:val="single" w:sz="8" w:space="0" w:color="FFFFFF" w:themeColor="background1"/>
            </w:tcBorders>
            <w:shd w:val="clear" w:color="auto" w:fill="365F91" w:themeFill="accent1" w:themeFillShade="BF"/>
            <w:vAlign w:val="center"/>
            <w:hideMark/>
          </w:tcPr>
          <w:p w:rsidR="0039284E" w:rsidRPr="0039284E" w:rsidRDefault="0039284E" w:rsidP="0039284E">
            <w:pPr>
              <w:snapToGrid w:val="0"/>
              <w:spacing w:after="0"/>
              <w:rPr>
                <w:rFonts w:ascii="Arial" w:eastAsia="Times New Roman" w:hAnsi="Arial"/>
                <w:bCs/>
                <w:sz w:val="14"/>
                <w:szCs w:val="14"/>
                <w:lang w:val="fr-FR"/>
              </w:rPr>
            </w:pPr>
            <w:r w:rsidRPr="0039284E">
              <w:rPr>
                <w:rFonts w:ascii="Arial" w:eastAsia="Times New Roman" w:hAnsi="Arial"/>
                <w:bCs/>
                <w:color w:val="FFFFFF" w:themeColor="background1"/>
                <w:sz w:val="14"/>
                <w:szCs w:val="14"/>
                <w:lang w:val="fr-FR"/>
              </w:rPr>
              <w:t>Résultat net (IFRS)</w:t>
            </w:r>
          </w:p>
        </w:tc>
        <w:tc>
          <w:tcPr>
            <w:tcW w:w="738" w:type="dxa"/>
            <w:tcBorders>
              <w:top w:val="nil"/>
              <w:left w:val="single" w:sz="8" w:space="0" w:color="FFFFFF" w:themeColor="background1"/>
              <w:bottom w:val="nil"/>
              <w:right w:val="nil"/>
            </w:tcBorders>
            <w:shd w:val="clear" w:color="auto" w:fill="365F91" w:themeFill="accent1" w:themeFillShade="BF"/>
            <w:vAlign w:val="bottom"/>
          </w:tcPr>
          <w:p w:rsidR="0039284E" w:rsidRPr="0039284E" w:rsidRDefault="0039284E" w:rsidP="0039284E">
            <w:pPr>
              <w:snapToGrid w:val="0"/>
              <w:spacing w:after="0"/>
              <w:jc w:val="right"/>
              <w:rPr>
                <w:rFonts w:ascii="Arial" w:eastAsia="Times New Roman" w:hAnsi="Arial"/>
                <w:bCs/>
                <w:sz w:val="14"/>
                <w:szCs w:val="14"/>
                <w:lang w:val="fr-FR"/>
              </w:rPr>
            </w:pPr>
          </w:p>
        </w:tc>
        <w:tc>
          <w:tcPr>
            <w:tcW w:w="760" w:type="dxa"/>
            <w:shd w:val="clear" w:color="auto" w:fill="365F91" w:themeFill="accent1" w:themeFillShade="BF"/>
            <w:vAlign w:val="bottom"/>
          </w:tcPr>
          <w:p w:rsidR="0039284E" w:rsidRPr="0039284E" w:rsidRDefault="0039284E" w:rsidP="0039284E">
            <w:pPr>
              <w:snapToGrid w:val="0"/>
              <w:spacing w:after="0"/>
              <w:jc w:val="right"/>
              <w:rPr>
                <w:rFonts w:ascii="Arial" w:eastAsia="Times New Roman" w:hAnsi="Arial"/>
                <w:bCs/>
                <w:sz w:val="14"/>
                <w:szCs w:val="14"/>
                <w:lang w:val="fr-FR"/>
              </w:rPr>
            </w:pPr>
          </w:p>
        </w:tc>
        <w:tc>
          <w:tcPr>
            <w:tcW w:w="738" w:type="dxa"/>
            <w:shd w:val="clear" w:color="auto" w:fill="365F91" w:themeFill="accent1" w:themeFillShade="BF"/>
            <w:vAlign w:val="bottom"/>
          </w:tcPr>
          <w:p w:rsidR="0039284E" w:rsidRPr="0039284E" w:rsidRDefault="0039284E" w:rsidP="0039284E">
            <w:pPr>
              <w:snapToGrid w:val="0"/>
              <w:spacing w:after="0"/>
              <w:jc w:val="right"/>
              <w:rPr>
                <w:rFonts w:ascii="Arial" w:eastAsia="Times New Roman" w:hAnsi="Arial"/>
                <w:bCs/>
                <w:sz w:val="14"/>
                <w:szCs w:val="14"/>
                <w:lang w:val="fr-FR"/>
              </w:rPr>
            </w:pPr>
          </w:p>
        </w:tc>
        <w:tc>
          <w:tcPr>
            <w:tcW w:w="621" w:type="dxa"/>
            <w:shd w:val="clear" w:color="auto" w:fill="365F91" w:themeFill="accent1" w:themeFillShade="BF"/>
            <w:vAlign w:val="bottom"/>
          </w:tcPr>
          <w:p w:rsidR="0039284E" w:rsidRPr="0039284E" w:rsidRDefault="0039284E" w:rsidP="0039284E">
            <w:pPr>
              <w:snapToGrid w:val="0"/>
              <w:spacing w:after="0"/>
              <w:jc w:val="right"/>
              <w:rPr>
                <w:rFonts w:ascii="Arial" w:eastAsia="Times New Roman" w:hAnsi="Arial"/>
                <w:bCs/>
                <w:sz w:val="14"/>
                <w:szCs w:val="14"/>
                <w:lang w:val="fr-FR"/>
              </w:rPr>
            </w:pPr>
          </w:p>
        </w:tc>
        <w:tc>
          <w:tcPr>
            <w:tcW w:w="738" w:type="dxa"/>
            <w:shd w:val="clear" w:color="auto" w:fill="365F91" w:themeFill="accent1" w:themeFillShade="BF"/>
            <w:vAlign w:val="bottom"/>
          </w:tcPr>
          <w:p w:rsidR="0039284E" w:rsidRPr="0039284E" w:rsidRDefault="0039284E" w:rsidP="0039284E">
            <w:pPr>
              <w:snapToGrid w:val="0"/>
              <w:spacing w:after="0"/>
              <w:jc w:val="right"/>
              <w:rPr>
                <w:rFonts w:ascii="Arial" w:eastAsia="Times New Roman" w:hAnsi="Arial"/>
                <w:bCs/>
                <w:sz w:val="14"/>
                <w:szCs w:val="14"/>
                <w:lang w:val="fr-FR"/>
              </w:rPr>
            </w:pPr>
          </w:p>
        </w:tc>
        <w:tc>
          <w:tcPr>
            <w:tcW w:w="738" w:type="dxa"/>
            <w:shd w:val="clear" w:color="auto" w:fill="365F91" w:themeFill="accent1" w:themeFillShade="BF"/>
            <w:vAlign w:val="bottom"/>
          </w:tcPr>
          <w:p w:rsidR="0039284E" w:rsidRPr="0039284E" w:rsidRDefault="0039284E" w:rsidP="0039284E">
            <w:pPr>
              <w:snapToGrid w:val="0"/>
              <w:spacing w:after="0"/>
              <w:jc w:val="right"/>
              <w:rPr>
                <w:rFonts w:ascii="Arial" w:eastAsia="Times New Roman" w:hAnsi="Arial"/>
                <w:bCs/>
                <w:sz w:val="14"/>
                <w:szCs w:val="14"/>
                <w:lang w:val="fr-FR"/>
              </w:rPr>
            </w:pPr>
          </w:p>
        </w:tc>
        <w:tc>
          <w:tcPr>
            <w:tcW w:w="752" w:type="dxa"/>
            <w:gridSpan w:val="2"/>
            <w:shd w:val="clear" w:color="auto" w:fill="365F91" w:themeFill="accent1" w:themeFillShade="BF"/>
            <w:vAlign w:val="bottom"/>
          </w:tcPr>
          <w:p w:rsidR="0039284E" w:rsidRPr="0039284E" w:rsidRDefault="0039284E" w:rsidP="0039284E">
            <w:pPr>
              <w:snapToGrid w:val="0"/>
              <w:spacing w:after="0"/>
              <w:jc w:val="right"/>
              <w:rPr>
                <w:rFonts w:ascii="Arial" w:eastAsia="Times New Roman" w:hAnsi="Arial"/>
                <w:bCs/>
                <w:sz w:val="14"/>
                <w:szCs w:val="14"/>
                <w:lang w:val="fr-FR"/>
              </w:rPr>
            </w:pPr>
          </w:p>
        </w:tc>
        <w:tc>
          <w:tcPr>
            <w:tcW w:w="556" w:type="dxa"/>
            <w:tcBorders>
              <w:top w:val="nil"/>
              <w:left w:val="nil"/>
              <w:bottom w:val="nil"/>
              <w:right w:val="single" w:sz="8" w:space="0" w:color="FFFFFF" w:themeColor="background1"/>
            </w:tcBorders>
            <w:shd w:val="clear" w:color="auto" w:fill="365F91" w:themeFill="accent1" w:themeFillShade="BF"/>
            <w:vAlign w:val="bottom"/>
          </w:tcPr>
          <w:p w:rsidR="0039284E" w:rsidRPr="0039284E" w:rsidRDefault="0039284E" w:rsidP="0039284E">
            <w:pPr>
              <w:snapToGrid w:val="0"/>
              <w:spacing w:after="0"/>
              <w:jc w:val="right"/>
              <w:rPr>
                <w:rFonts w:ascii="Arial" w:eastAsia="Times New Roman" w:hAnsi="Arial"/>
                <w:bCs/>
                <w:sz w:val="14"/>
                <w:szCs w:val="14"/>
                <w:lang w:val="fr-FR"/>
              </w:rPr>
            </w:pPr>
          </w:p>
        </w:tc>
        <w:tc>
          <w:tcPr>
            <w:tcW w:w="812" w:type="dxa"/>
            <w:gridSpan w:val="2"/>
            <w:tcBorders>
              <w:top w:val="nil"/>
              <w:left w:val="single" w:sz="8" w:space="0" w:color="FFFFFF" w:themeColor="background1"/>
              <w:bottom w:val="nil"/>
              <w:right w:val="nil"/>
            </w:tcBorders>
            <w:shd w:val="clear" w:color="auto" w:fill="365F91" w:themeFill="accent1" w:themeFillShade="BF"/>
            <w:vAlign w:val="bottom"/>
          </w:tcPr>
          <w:p w:rsidR="0039284E" w:rsidRPr="0039284E" w:rsidRDefault="0039284E" w:rsidP="0039284E">
            <w:pPr>
              <w:snapToGrid w:val="0"/>
              <w:spacing w:after="0"/>
              <w:jc w:val="right"/>
              <w:rPr>
                <w:rFonts w:ascii="Arial" w:eastAsia="Times New Roman" w:hAnsi="Arial"/>
                <w:bCs/>
                <w:sz w:val="14"/>
                <w:szCs w:val="14"/>
                <w:lang w:val="fr-FR"/>
              </w:rPr>
            </w:pPr>
          </w:p>
        </w:tc>
        <w:tc>
          <w:tcPr>
            <w:tcW w:w="834" w:type="dxa"/>
            <w:shd w:val="clear" w:color="auto" w:fill="365F91" w:themeFill="accent1" w:themeFillShade="BF"/>
            <w:vAlign w:val="bottom"/>
          </w:tcPr>
          <w:p w:rsidR="0039284E" w:rsidRPr="0039284E" w:rsidRDefault="0039284E" w:rsidP="0039284E">
            <w:pPr>
              <w:snapToGrid w:val="0"/>
              <w:spacing w:after="0"/>
              <w:jc w:val="right"/>
              <w:rPr>
                <w:rFonts w:ascii="Arial" w:eastAsia="Times New Roman" w:hAnsi="Arial"/>
                <w:bCs/>
                <w:sz w:val="14"/>
                <w:szCs w:val="14"/>
                <w:lang w:val="fr-FR"/>
              </w:rPr>
            </w:pPr>
          </w:p>
        </w:tc>
      </w:tr>
      <w:tr w:rsidR="00D24657" w:rsidRPr="0039284E" w:rsidTr="0039284E">
        <w:trPr>
          <w:trHeight w:val="227"/>
        </w:trPr>
        <w:tc>
          <w:tcPr>
            <w:tcW w:w="3202" w:type="dxa"/>
            <w:tcBorders>
              <w:top w:val="nil"/>
              <w:left w:val="nil"/>
              <w:bottom w:val="single" w:sz="8" w:space="0" w:color="1F497D" w:themeColor="text2"/>
              <w:right w:val="single" w:sz="8" w:space="0" w:color="1F497D" w:themeColor="text2"/>
            </w:tcBorders>
            <w:vAlign w:val="center"/>
            <w:hideMark/>
          </w:tcPr>
          <w:p w:rsidR="0039284E" w:rsidRPr="0039284E" w:rsidRDefault="0039284E" w:rsidP="0039284E">
            <w:pPr>
              <w:snapToGrid w:val="0"/>
              <w:spacing w:after="0"/>
              <w:rPr>
                <w:rFonts w:ascii="Arial" w:eastAsia="Times New Roman" w:hAnsi="Arial"/>
                <w:bCs/>
                <w:sz w:val="14"/>
                <w:szCs w:val="14"/>
                <w:lang w:val="fr-FR"/>
              </w:rPr>
            </w:pPr>
            <w:r w:rsidRPr="0039284E">
              <w:rPr>
                <w:rFonts w:ascii="Arial" w:eastAsia="Times New Roman" w:hAnsi="Arial"/>
                <w:bCs/>
                <w:sz w:val="14"/>
                <w:szCs w:val="14"/>
                <w:lang w:val="fr-FR"/>
              </w:rPr>
              <w:t>Résultat après impôts, attribuable aux actionnaires de la société mère :</w:t>
            </w:r>
          </w:p>
        </w:tc>
        <w:tc>
          <w:tcPr>
            <w:tcW w:w="738" w:type="dxa"/>
            <w:tcBorders>
              <w:top w:val="nil"/>
              <w:left w:val="single" w:sz="8" w:space="0" w:color="1F497D" w:themeColor="text2"/>
              <w:bottom w:val="single" w:sz="8"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
                <w:bCs/>
                <w:sz w:val="14"/>
                <w:szCs w:val="14"/>
                <w:lang w:val="fr-FR"/>
              </w:rPr>
            </w:pPr>
            <w:r w:rsidRPr="0039284E">
              <w:rPr>
                <w:rFonts w:ascii="Arial" w:eastAsia="Times New Roman" w:hAnsi="Arial"/>
                <w:b/>
                <w:bCs/>
                <w:sz w:val="14"/>
                <w:szCs w:val="14"/>
                <w:lang w:val="fr-FR"/>
              </w:rPr>
              <w:t>380</w:t>
            </w:r>
          </w:p>
        </w:tc>
        <w:tc>
          <w:tcPr>
            <w:tcW w:w="760" w:type="dxa"/>
            <w:tcBorders>
              <w:top w:val="nil"/>
              <w:left w:val="nil"/>
              <w:bottom w:val="single" w:sz="8"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
                <w:bCs/>
                <w:sz w:val="14"/>
                <w:szCs w:val="14"/>
                <w:lang w:val="fr-FR"/>
              </w:rPr>
            </w:pPr>
            <w:r w:rsidRPr="0039284E">
              <w:rPr>
                <w:rFonts w:ascii="Arial" w:eastAsia="Times New Roman" w:hAnsi="Arial"/>
                <w:b/>
                <w:bCs/>
                <w:sz w:val="14"/>
                <w:szCs w:val="14"/>
                <w:lang w:val="fr-FR"/>
              </w:rPr>
              <w:t>-539</w:t>
            </w:r>
          </w:p>
        </w:tc>
        <w:tc>
          <w:tcPr>
            <w:tcW w:w="738" w:type="dxa"/>
            <w:tcBorders>
              <w:top w:val="nil"/>
              <w:left w:val="nil"/>
              <w:bottom w:val="single" w:sz="8"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
                <w:bCs/>
                <w:sz w:val="14"/>
                <w:szCs w:val="14"/>
                <w:lang w:val="fr-FR"/>
              </w:rPr>
            </w:pPr>
            <w:r w:rsidRPr="0039284E">
              <w:rPr>
                <w:rFonts w:ascii="Arial" w:eastAsia="Times New Roman" w:hAnsi="Arial"/>
                <w:b/>
                <w:bCs/>
                <w:sz w:val="14"/>
                <w:szCs w:val="14"/>
                <w:lang w:val="fr-FR"/>
              </w:rPr>
              <w:t>531</w:t>
            </w:r>
          </w:p>
        </w:tc>
        <w:tc>
          <w:tcPr>
            <w:tcW w:w="621" w:type="dxa"/>
            <w:tcBorders>
              <w:top w:val="nil"/>
              <w:left w:val="nil"/>
              <w:bottom w:val="single" w:sz="8"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
                <w:bCs/>
                <w:sz w:val="14"/>
                <w:szCs w:val="14"/>
                <w:lang w:val="fr-FR"/>
              </w:rPr>
            </w:pPr>
            <w:r w:rsidRPr="0039284E">
              <w:rPr>
                <w:rFonts w:ascii="Arial" w:eastAsia="Times New Roman" w:hAnsi="Arial"/>
                <w:b/>
                <w:bCs/>
                <w:sz w:val="14"/>
                <w:szCs w:val="14"/>
                <w:lang w:val="fr-FR"/>
              </w:rPr>
              <w:t>240</w:t>
            </w:r>
          </w:p>
        </w:tc>
        <w:tc>
          <w:tcPr>
            <w:tcW w:w="738" w:type="dxa"/>
            <w:tcBorders>
              <w:top w:val="nil"/>
              <w:left w:val="nil"/>
              <w:bottom w:val="single" w:sz="8"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
                <w:bCs/>
                <w:sz w:val="14"/>
                <w:szCs w:val="14"/>
                <w:lang w:val="fr-FR"/>
              </w:rPr>
            </w:pPr>
            <w:r w:rsidRPr="0039284E">
              <w:rPr>
                <w:rFonts w:ascii="Arial" w:eastAsia="Times New Roman" w:hAnsi="Arial"/>
                <w:b/>
                <w:bCs/>
                <w:sz w:val="14"/>
                <w:szCs w:val="14"/>
                <w:lang w:val="fr-FR"/>
              </w:rPr>
              <w:t>520</w:t>
            </w:r>
          </w:p>
        </w:tc>
        <w:tc>
          <w:tcPr>
            <w:tcW w:w="738" w:type="dxa"/>
            <w:tcBorders>
              <w:top w:val="nil"/>
              <w:left w:val="nil"/>
              <w:bottom w:val="single" w:sz="8"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
                <w:bCs/>
                <w:sz w:val="14"/>
                <w:szCs w:val="14"/>
                <w:lang w:val="fr-FR"/>
              </w:rPr>
            </w:pPr>
            <w:r w:rsidRPr="0039284E">
              <w:rPr>
                <w:rFonts w:ascii="Arial" w:eastAsia="Times New Roman" w:hAnsi="Arial"/>
                <w:b/>
                <w:bCs/>
                <w:sz w:val="14"/>
                <w:szCs w:val="14"/>
                <w:lang w:val="fr-FR"/>
              </w:rPr>
              <w:t>517</w:t>
            </w:r>
          </w:p>
        </w:tc>
        <w:tc>
          <w:tcPr>
            <w:tcW w:w="752" w:type="dxa"/>
            <w:gridSpan w:val="2"/>
            <w:tcBorders>
              <w:top w:val="nil"/>
              <w:left w:val="nil"/>
              <w:bottom w:val="single" w:sz="8"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
                <w:bCs/>
                <w:sz w:val="14"/>
                <w:szCs w:val="14"/>
                <w:lang w:val="fr-FR"/>
              </w:rPr>
            </w:pPr>
            <w:r w:rsidRPr="0039284E">
              <w:rPr>
                <w:rFonts w:ascii="Arial" w:eastAsia="Times New Roman" w:hAnsi="Arial"/>
                <w:b/>
                <w:bCs/>
                <w:sz w:val="14"/>
                <w:szCs w:val="14"/>
                <w:lang w:val="fr-FR"/>
              </w:rPr>
              <w:t>272</w:t>
            </w:r>
          </w:p>
        </w:tc>
        <w:tc>
          <w:tcPr>
            <w:tcW w:w="556" w:type="dxa"/>
            <w:tcBorders>
              <w:top w:val="nil"/>
              <w:left w:val="nil"/>
              <w:bottom w:val="single" w:sz="8" w:space="0" w:color="1F497D" w:themeColor="text2"/>
              <w:right w:val="single" w:sz="8" w:space="0" w:color="1F497D" w:themeColor="text2"/>
            </w:tcBorders>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
                <w:bCs/>
                <w:sz w:val="14"/>
                <w:szCs w:val="14"/>
                <w:lang w:val="fr-FR"/>
              </w:rPr>
            </w:pPr>
            <w:r w:rsidRPr="0039284E">
              <w:rPr>
                <w:rFonts w:ascii="Arial" w:eastAsia="Times New Roman" w:hAnsi="Arial"/>
                <w:b/>
                <w:bCs/>
                <w:sz w:val="14"/>
                <w:szCs w:val="14"/>
                <w:lang w:val="fr-FR"/>
              </w:rPr>
              <w:t>-294</w:t>
            </w:r>
          </w:p>
        </w:tc>
        <w:tc>
          <w:tcPr>
            <w:tcW w:w="812" w:type="dxa"/>
            <w:gridSpan w:val="2"/>
            <w:tcBorders>
              <w:top w:val="nil"/>
              <w:left w:val="single" w:sz="8" w:space="0" w:color="1F497D" w:themeColor="text2"/>
              <w:bottom w:val="single" w:sz="8" w:space="0" w:color="1F497D" w:themeColor="text2"/>
              <w:right w:val="nil"/>
            </w:tcBorders>
            <w:vAlign w:val="center"/>
            <w:hideMark/>
          </w:tcPr>
          <w:p w:rsidR="0039284E" w:rsidRPr="0039284E" w:rsidRDefault="0039284E" w:rsidP="0039284E">
            <w:pPr>
              <w:snapToGrid w:val="0"/>
              <w:spacing w:after="0"/>
              <w:jc w:val="right"/>
              <w:rPr>
                <w:rFonts w:ascii="Arial" w:eastAsia="Times New Roman" w:hAnsi="Arial"/>
                <w:b/>
                <w:bCs/>
                <w:sz w:val="14"/>
                <w:szCs w:val="14"/>
                <w:lang w:val="fr-FR"/>
              </w:rPr>
            </w:pPr>
            <w:r w:rsidRPr="0039284E">
              <w:rPr>
                <w:rFonts w:ascii="Arial" w:eastAsia="Times New Roman" w:hAnsi="Arial"/>
                <w:b/>
                <w:bCs/>
                <w:sz w:val="14"/>
                <w:szCs w:val="14"/>
                <w:lang w:val="fr-FR"/>
              </w:rPr>
              <w:t>612</w:t>
            </w:r>
          </w:p>
        </w:tc>
        <w:tc>
          <w:tcPr>
            <w:tcW w:w="834" w:type="dxa"/>
            <w:tcBorders>
              <w:top w:val="nil"/>
              <w:left w:val="nil"/>
              <w:bottom w:val="single" w:sz="8" w:space="0" w:color="1F497D" w:themeColor="text2"/>
              <w:right w:val="nil"/>
            </w:tcBorders>
            <w:shd w:val="clear" w:color="auto" w:fill="DBE5F1" w:themeFill="accent1" w:themeFillTint="33"/>
            <w:vAlign w:val="center"/>
            <w:hideMark/>
          </w:tcPr>
          <w:p w:rsidR="0039284E" w:rsidRPr="0039284E" w:rsidRDefault="0039284E" w:rsidP="0039284E">
            <w:pPr>
              <w:snapToGrid w:val="0"/>
              <w:spacing w:after="0"/>
              <w:jc w:val="right"/>
              <w:rPr>
                <w:rFonts w:ascii="Arial" w:eastAsia="Times New Roman" w:hAnsi="Arial"/>
                <w:b/>
                <w:bCs/>
                <w:sz w:val="14"/>
                <w:szCs w:val="14"/>
                <w:lang w:val="fr-FR"/>
              </w:rPr>
            </w:pPr>
            <w:r w:rsidRPr="0039284E">
              <w:rPr>
                <w:rFonts w:ascii="Arial" w:eastAsia="Times New Roman" w:hAnsi="Arial"/>
                <w:b/>
                <w:bCs/>
                <w:sz w:val="14"/>
                <w:szCs w:val="14"/>
                <w:lang w:val="fr-FR"/>
              </w:rPr>
              <w:t>1 015</w:t>
            </w:r>
          </w:p>
        </w:tc>
      </w:tr>
    </w:tbl>
    <w:p w:rsidR="00FB1D51" w:rsidRPr="00D24657" w:rsidRDefault="0039284E" w:rsidP="0039284E">
      <w:pPr>
        <w:autoSpaceDE w:val="0"/>
        <w:autoSpaceDN w:val="0"/>
        <w:adjustRightInd w:val="0"/>
        <w:spacing w:after="120" w:line="240" w:lineRule="auto"/>
        <w:ind w:left="992" w:right="6"/>
        <w:jc w:val="both"/>
        <w:rPr>
          <w:rFonts w:ascii="Rockwell" w:hAnsi="Rockwell" w:cs="Arial"/>
          <w:b/>
          <w:bCs/>
          <w:color w:val="003366"/>
          <w:sz w:val="28"/>
          <w:szCs w:val="28"/>
          <w:lang w:val="fr-FR"/>
        </w:rPr>
      </w:pPr>
      <w:r w:rsidRPr="00D24657">
        <w:rPr>
          <w:rFonts w:ascii="Rockwell" w:hAnsi="Rockwell" w:cs="Arial"/>
          <w:b/>
          <w:bCs/>
          <w:color w:val="003366"/>
          <w:sz w:val="28"/>
          <w:szCs w:val="28"/>
          <w:lang w:val="fr-FR"/>
        </w:rPr>
        <w:lastRenderedPageBreak/>
        <w:t>Analyse du trimestre sous revue (4Tr2013)</w:t>
      </w:r>
    </w:p>
    <w:p w:rsidR="00A64831" w:rsidRPr="0039284E" w:rsidRDefault="0039284E" w:rsidP="00CF64D1">
      <w:pPr>
        <w:autoSpaceDE w:val="0"/>
        <w:autoSpaceDN w:val="0"/>
        <w:adjustRightInd w:val="0"/>
        <w:spacing w:after="60" w:line="240" w:lineRule="auto"/>
        <w:ind w:left="992" w:right="4"/>
        <w:jc w:val="both"/>
        <w:rPr>
          <w:rFonts w:cs="Arial"/>
          <w:bCs/>
          <w:color w:val="003768"/>
          <w:sz w:val="16"/>
          <w:szCs w:val="16"/>
          <w:lang w:val="fr-FR"/>
        </w:rPr>
      </w:pPr>
      <w:r w:rsidRPr="0039284E">
        <w:rPr>
          <w:rFonts w:cs="Arial"/>
          <w:bCs/>
          <w:color w:val="003768"/>
          <w:sz w:val="16"/>
          <w:szCs w:val="16"/>
          <w:lang w:val="fr-FR"/>
        </w:rPr>
        <w:t xml:space="preserve">Résultat net ajusté (en millions d'EUR)                             </w:t>
      </w:r>
      <w:r>
        <w:rPr>
          <w:rFonts w:cs="Arial"/>
          <w:bCs/>
          <w:color w:val="003768"/>
          <w:sz w:val="16"/>
          <w:szCs w:val="16"/>
          <w:lang w:val="fr-FR"/>
        </w:rPr>
        <w:t xml:space="preserve">            </w:t>
      </w:r>
      <w:r w:rsidR="00C37A24">
        <w:rPr>
          <w:rFonts w:cs="Arial"/>
          <w:bCs/>
          <w:color w:val="003768"/>
          <w:sz w:val="16"/>
          <w:szCs w:val="16"/>
          <w:lang w:val="fr-FR"/>
        </w:rPr>
        <w:t xml:space="preserve">      </w:t>
      </w:r>
      <w:r>
        <w:rPr>
          <w:rFonts w:cs="Arial"/>
          <w:bCs/>
          <w:color w:val="003768"/>
          <w:sz w:val="16"/>
          <w:szCs w:val="16"/>
          <w:lang w:val="fr-FR"/>
        </w:rPr>
        <w:t xml:space="preserve">       </w:t>
      </w:r>
      <w:r w:rsidRPr="0039284E">
        <w:rPr>
          <w:rFonts w:cs="Arial"/>
          <w:bCs/>
          <w:color w:val="003768"/>
          <w:sz w:val="16"/>
          <w:szCs w:val="16"/>
          <w:lang w:val="fr-FR"/>
        </w:rPr>
        <w:t xml:space="preserve">  Résultat net ajusté par division, 4Tr2013 (en millions d'EUR)</w:t>
      </w:r>
    </w:p>
    <w:p w:rsidR="0039284E" w:rsidRDefault="0039284E" w:rsidP="00CF64D1">
      <w:pPr>
        <w:autoSpaceDE w:val="0"/>
        <w:autoSpaceDN w:val="0"/>
        <w:adjustRightInd w:val="0"/>
        <w:spacing w:after="60" w:line="240" w:lineRule="auto"/>
        <w:ind w:left="992" w:right="4"/>
        <w:jc w:val="both"/>
        <w:rPr>
          <w:rFonts w:cs="Arial"/>
          <w:bCs/>
          <w:color w:val="003768"/>
          <w:sz w:val="20"/>
          <w:szCs w:val="20"/>
          <w:lang w:val="fr-FR"/>
        </w:rPr>
      </w:pPr>
      <w:r>
        <w:rPr>
          <w:noProof/>
          <w:lang w:val="nl-BE" w:eastAsia="nl-BE"/>
        </w:rPr>
        <w:drawing>
          <wp:inline distT="0" distB="0" distL="0" distR="0" wp14:anchorId="32F53449" wp14:editId="4FC60B1E">
            <wp:extent cx="2905760" cy="2281555"/>
            <wp:effectExtent l="0" t="0" r="8890" b="4445"/>
            <wp:docPr id="10"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05760" cy="2281555"/>
                    </a:xfrm>
                    <a:prstGeom prst="rect">
                      <a:avLst/>
                    </a:prstGeom>
                    <a:noFill/>
                    <a:ln>
                      <a:noFill/>
                    </a:ln>
                  </pic:spPr>
                </pic:pic>
              </a:graphicData>
            </a:graphic>
          </wp:inline>
        </w:drawing>
      </w:r>
      <w:r>
        <w:rPr>
          <w:noProof/>
          <w:lang w:val="nl-BE" w:eastAsia="nl-BE"/>
        </w:rPr>
        <w:drawing>
          <wp:inline distT="0" distB="0" distL="0" distR="0" wp14:anchorId="65C9CFAF" wp14:editId="227ABEBF">
            <wp:extent cx="3219450" cy="2225675"/>
            <wp:effectExtent l="0" t="0" r="0" b="3175"/>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9450" cy="2225675"/>
                    </a:xfrm>
                    <a:prstGeom prst="rect">
                      <a:avLst/>
                    </a:prstGeom>
                    <a:noFill/>
                    <a:ln>
                      <a:noFill/>
                    </a:ln>
                  </pic:spPr>
                </pic:pic>
              </a:graphicData>
            </a:graphic>
          </wp:inline>
        </w:drawing>
      </w:r>
    </w:p>
    <w:p w:rsidR="00A64831" w:rsidRPr="0039284E" w:rsidRDefault="0039284E" w:rsidP="0039284E">
      <w:pPr>
        <w:autoSpaceDE w:val="0"/>
        <w:autoSpaceDN w:val="0"/>
        <w:adjustRightInd w:val="0"/>
        <w:spacing w:after="120" w:line="240" w:lineRule="auto"/>
        <w:ind w:left="992" w:right="6"/>
        <w:jc w:val="both"/>
        <w:rPr>
          <w:rFonts w:cs="Arial"/>
          <w:b/>
          <w:bCs/>
          <w:color w:val="003768"/>
          <w:sz w:val="20"/>
          <w:szCs w:val="20"/>
          <w:lang w:val="fr-FR"/>
        </w:rPr>
      </w:pPr>
      <w:r w:rsidRPr="0039284E">
        <w:rPr>
          <w:rFonts w:cs="Arial"/>
          <w:b/>
          <w:bCs/>
          <w:color w:val="003768"/>
          <w:sz w:val="20"/>
          <w:szCs w:val="20"/>
          <w:lang w:val="fr-FR"/>
        </w:rPr>
        <w:t xml:space="preserve">Le résultat net du trimestre sous revue ressort à -294 millions d’euros. Sans les activités </w:t>
      </w:r>
      <w:proofErr w:type="spellStart"/>
      <w:r w:rsidRPr="0039284E">
        <w:rPr>
          <w:rFonts w:cs="Arial"/>
          <w:b/>
          <w:bCs/>
          <w:color w:val="003768"/>
          <w:sz w:val="20"/>
          <w:szCs w:val="20"/>
          <w:lang w:val="fr-FR"/>
        </w:rPr>
        <w:t>legacy</w:t>
      </w:r>
      <w:proofErr w:type="spellEnd"/>
      <w:r w:rsidRPr="0039284E">
        <w:rPr>
          <w:rFonts w:cs="Arial"/>
          <w:b/>
          <w:bCs/>
          <w:color w:val="003768"/>
          <w:sz w:val="20"/>
          <w:szCs w:val="20"/>
          <w:lang w:val="fr-FR"/>
        </w:rPr>
        <w:t xml:space="preserve"> et l’incidence de nos propres risques de crédit, le résultat net ajusté s’élève à -340 millions d’euros, contre 457 millions au 3e trimestre 2013 et 279 millions au 4e trimestre 2012.</w:t>
      </w:r>
    </w:p>
    <w:p w:rsidR="00A64831" w:rsidRPr="0039284E" w:rsidRDefault="0039284E" w:rsidP="0039284E">
      <w:pPr>
        <w:autoSpaceDE w:val="0"/>
        <w:autoSpaceDN w:val="0"/>
        <w:adjustRightInd w:val="0"/>
        <w:spacing w:after="120" w:line="240" w:lineRule="auto"/>
        <w:ind w:left="992" w:right="6"/>
        <w:jc w:val="both"/>
        <w:rPr>
          <w:rFonts w:cs="Arial"/>
          <w:b/>
          <w:bCs/>
          <w:color w:val="003768"/>
          <w:sz w:val="20"/>
          <w:szCs w:val="20"/>
          <w:lang w:val="fr-FR"/>
        </w:rPr>
      </w:pPr>
      <w:r w:rsidRPr="0039284E">
        <w:rPr>
          <w:rFonts w:cs="Arial"/>
          <w:b/>
          <w:bCs/>
          <w:color w:val="003768"/>
          <w:sz w:val="20"/>
          <w:szCs w:val="20"/>
          <w:lang w:val="fr-FR"/>
        </w:rPr>
        <w:t>Revenu total (résultat net ajusté)</w:t>
      </w:r>
    </w:p>
    <w:p w:rsidR="0039284E" w:rsidRPr="0039284E" w:rsidRDefault="0039284E" w:rsidP="0039284E">
      <w:pPr>
        <w:pStyle w:val="ListParagraph"/>
        <w:numPr>
          <w:ilvl w:val="0"/>
          <w:numId w:val="3"/>
        </w:numPr>
        <w:autoSpaceDE w:val="0"/>
        <w:autoSpaceDN w:val="0"/>
        <w:adjustRightInd w:val="0"/>
        <w:spacing w:after="60" w:line="240" w:lineRule="auto"/>
        <w:ind w:left="1706" w:right="6" w:hanging="357"/>
        <w:contextualSpacing w:val="0"/>
        <w:jc w:val="both"/>
        <w:rPr>
          <w:rFonts w:cs="Arial"/>
          <w:bCs/>
          <w:color w:val="003768"/>
          <w:sz w:val="20"/>
          <w:szCs w:val="20"/>
          <w:lang w:val="fr-FR"/>
        </w:rPr>
      </w:pPr>
      <w:r w:rsidRPr="0039284E">
        <w:rPr>
          <w:rFonts w:cs="Arial"/>
          <w:bCs/>
          <w:color w:val="003768"/>
          <w:sz w:val="20"/>
          <w:szCs w:val="20"/>
          <w:lang w:val="fr-FR"/>
        </w:rPr>
        <w:t xml:space="preserve">La performance en rythme annuel est conditionnée en partie par la déconsolidation de </w:t>
      </w:r>
      <w:proofErr w:type="spellStart"/>
      <w:r w:rsidRPr="0039284E">
        <w:rPr>
          <w:rFonts w:cs="Arial"/>
          <w:bCs/>
          <w:color w:val="003768"/>
          <w:sz w:val="20"/>
          <w:szCs w:val="20"/>
          <w:lang w:val="fr-FR"/>
        </w:rPr>
        <w:t>Kredyt</w:t>
      </w:r>
      <w:proofErr w:type="spellEnd"/>
      <w:r w:rsidRPr="0039284E">
        <w:rPr>
          <w:rFonts w:cs="Arial"/>
          <w:bCs/>
          <w:color w:val="003768"/>
          <w:sz w:val="20"/>
          <w:szCs w:val="20"/>
          <w:lang w:val="fr-FR"/>
        </w:rPr>
        <w:t xml:space="preserve"> Bank, WARTA, </w:t>
      </w:r>
      <w:proofErr w:type="spellStart"/>
      <w:r w:rsidRPr="0039284E">
        <w:rPr>
          <w:rFonts w:cs="Arial"/>
          <w:bCs/>
          <w:color w:val="003768"/>
          <w:sz w:val="20"/>
          <w:szCs w:val="20"/>
          <w:lang w:val="fr-FR"/>
        </w:rPr>
        <w:t>Żagiel</w:t>
      </w:r>
      <w:proofErr w:type="spellEnd"/>
      <w:r w:rsidRPr="0039284E">
        <w:rPr>
          <w:rFonts w:cs="Arial"/>
          <w:bCs/>
          <w:color w:val="003768"/>
          <w:sz w:val="20"/>
          <w:szCs w:val="20"/>
          <w:lang w:val="fr-FR"/>
        </w:rPr>
        <w:t xml:space="preserve">, Nova </w:t>
      </w:r>
      <w:proofErr w:type="spellStart"/>
      <w:r w:rsidRPr="0039284E">
        <w:rPr>
          <w:rFonts w:cs="Arial"/>
          <w:bCs/>
          <w:color w:val="003768"/>
          <w:sz w:val="20"/>
          <w:szCs w:val="20"/>
          <w:lang w:val="fr-FR"/>
        </w:rPr>
        <w:t>Ljubljanska</w:t>
      </w:r>
      <w:proofErr w:type="spellEnd"/>
      <w:r w:rsidRPr="0039284E">
        <w:rPr>
          <w:rFonts w:cs="Arial"/>
          <w:bCs/>
          <w:color w:val="003768"/>
          <w:sz w:val="20"/>
          <w:szCs w:val="20"/>
          <w:lang w:val="fr-FR"/>
        </w:rPr>
        <w:t xml:space="preserve"> </w:t>
      </w:r>
      <w:proofErr w:type="spellStart"/>
      <w:r w:rsidRPr="0039284E">
        <w:rPr>
          <w:rFonts w:cs="Arial"/>
          <w:bCs/>
          <w:color w:val="003768"/>
          <w:sz w:val="20"/>
          <w:szCs w:val="20"/>
          <w:lang w:val="fr-FR"/>
        </w:rPr>
        <w:t>banka</w:t>
      </w:r>
      <w:proofErr w:type="spellEnd"/>
      <w:r w:rsidRPr="0039284E">
        <w:rPr>
          <w:rFonts w:cs="Arial"/>
          <w:bCs/>
          <w:color w:val="003768"/>
          <w:sz w:val="20"/>
          <w:szCs w:val="20"/>
          <w:lang w:val="fr-FR"/>
        </w:rPr>
        <w:t xml:space="preserve">, </w:t>
      </w:r>
      <w:proofErr w:type="spellStart"/>
      <w:r w:rsidRPr="0039284E">
        <w:rPr>
          <w:rFonts w:cs="Arial"/>
          <w:bCs/>
          <w:color w:val="003768"/>
          <w:sz w:val="20"/>
          <w:szCs w:val="20"/>
          <w:lang w:val="fr-FR"/>
        </w:rPr>
        <w:t>Absolut</w:t>
      </w:r>
      <w:proofErr w:type="spellEnd"/>
      <w:r w:rsidRPr="0039284E">
        <w:rPr>
          <w:rFonts w:cs="Arial"/>
          <w:bCs/>
          <w:color w:val="003768"/>
          <w:sz w:val="20"/>
          <w:szCs w:val="20"/>
          <w:lang w:val="fr-FR"/>
        </w:rPr>
        <w:t xml:space="preserve"> Bank et par certaines autres cessions. Afin de permettre la comparaison, ces éléments ne seront pas pris en considération (voir « sur une base comparable »).</w:t>
      </w:r>
    </w:p>
    <w:p w:rsidR="0039284E" w:rsidRPr="0039284E" w:rsidRDefault="0039284E" w:rsidP="0039284E">
      <w:pPr>
        <w:pStyle w:val="ListParagraph"/>
        <w:numPr>
          <w:ilvl w:val="0"/>
          <w:numId w:val="3"/>
        </w:numPr>
        <w:autoSpaceDE w:val="0"/>
        <w:autoSpaceDN w:val="0"/>
        <w:adjustRightInd w:val="0"/>
        <w:spacing w:after="60" w:line="240" w:lineRule="auto"/>
        <w:ind w:left="1706" w:right="6" w:hanging="357"/>
        <w:contextualSpacing w:val="0"/>
        <w:jc w:val="both"/>
        <w:rPr>
          <w:rFonts w:cs="Arial"/>
          <w:bCs/>
          <w:color w:val="003768"/>
          <w:sz w:val="20"/>
          <w:szCs w:val="20"/>
          <w:lang w:val="fr-FR"/>
        </w:rPr>
      </w:pPr>
      <w:r w:rsidRPr="0039284E">
        <w:rPr>
          <w:rFonts w:cs="Arial"/>
          <w:bCs/>
          <w:color w:val="003768"/>
          <w:sz w:val="20"/>
          <w:szCs w:val="20"/>
          <w:lang w:val="fr-FR"/>
        </w:rPr>
        <w:t>Les revenus nets d’intérêts s’établissent à 1 009 millions d’euros, stables en rythme trimestriel mais en recul de 7% en rythme annuel (sur une base comparable, les revenus restent stables en rythme annuel). La marge d’intérêts nette s’inscrit à 1,80% pour le trimestre sous revue, en hausse de 3 points de base par rapport au trimestre précédent et de 9 points de base par rapport au trimestre correspondant de l’année précédente. Les volumes des dépôts ont accusé une contraction de 3% en rythme trimestriel (principalement en raison d'une contraction des émissions de titres de créance et de la dépréciation de la couronne tchèque) et son restés stables en rythme annuel. Le volume d'octroi de crédits se tasse de 1% en rythme trimestriel et le portefeuille de crédits accuse une contraction de 2% en rythme annuel.   Dans la division Belgique, le portefeuille de crédits se contracte de 1% en rythme trimestriel et de 2% en rythme annuel. Cette contraction est imputable au portefeuille de crédits aux entreprises (par suite de la réduction délibérée dans les filiales étrangères et de remboursement des prêts aux actionnaires). En revanche, les crédits hypothécaires affichent une modeste progression en rythme trimestriel et augmentent de 1% en rythme annuel. Dans la division Belgique, le volume de dépôts accuse une contraction de 3% en rythme trimestriel (principalement dans les agences) mais se gonfle de 2% en rythme annuel. En République tchèque, le portefeuille de crédits progresse de 6% en rythme annuel et de 4% en rythme trimestriel, tandis que les dépôts augmentent de 4% tant en rythme trimestriel qu'en rythme annuel. Le portefeuille de crédits de la division Marchés internationaux baisse de 7% en rythme annuel et de 5% en rythme trimestriel, sous l'effet de la situation en Irlande et en Hongrie. La base des dépôts progresse de 9% en rythme annuel (sous l’effet de la situation en Irlande, en Hongrie et en Slovaquie) mais régresse de 2% en rythme trimestriel.</w:t>
      </w:r>
    </w:p>
    <w:p w:rsidR="0039284E" w:rsidRPr="0039284E" w:rsidRDefault="0039284E" w:rsidP="0039284E">
      <w:pPr>
        <w:pStyle w:val="ListParagraph"/>
        <w:numPr>
          <w:ilvl w:val="0"/>
          <w:numId w:val="3"/>
        </w:numPr>
        <w:autoSpaceDE w:val="0"/>
        <w:autoSpaceDN w:val="0"/>
        <w:adjustRightInd w:val="0"/>
        <w:spacing w:after="60" w:line="240" w:lineRule="auto"/>
        <w:ind w:left="1706" w:right="6" w:hanging="357"/>
        <w:contextualSpacing w:val="0"/>
        <w:jc w:val="both"/>
        <w:rPr>
          <w:rFonts w:cs="Arial"/>
          <w:bCs/>
          <w:color w:val="003768"/>
          <w:sz w:val="20"/>
          <w:szCs w:val="20"/>
          <w:lang w:val="fr-FR"/>
        </w:rPr>
      </w:pPr>
      <w:r w:rsidRPr="0039284E">
        <w:rPr>
          <w:rFonts w:cs="Arial"/>
          <w:bCs/>
          <w:color w:val="003768"/>
          <w:sz w:val="20"/>
          <w:szCs w:val="20"/>
          <w:lang w:val="fr-FR"/>
        </w:rPr>
        <w:t xml:space="preserve">Les activités d'assurance vie et non-vie ont dégagé les résultats suivants pendant le trimestre sous revue. Les primes brutes acquises moins les charges techniques brutes et le résultat de la réassurance cédée s'établissent à 64 millions d'euros, en baisse de 23% en rythme trimestriel mais en hausse de 23% en rythme annuel. </w:t>
      </w:r>
    </w:p>
    <w:p w:rsidR="0039284E" w:rsidRPr="0039284E" w:rsidRDefault="0039284E" w:rsidP="0039284E">
      <w:pPr>
        <w:pStyle w:val="ListParagraph"/>
        <w:autoSpaceDE w:val="0"/>
        <w:autoSpaceDN w:val="0"/>
        <w:adjustRightInd w:val="0"/>
        <w:spacing w:after="60" w:line="240" w:lineRule="auto"/>
        <w:ind w:left="1706" w:right="6"/>
        <w:contextualSpacing w:val="0"/>
        <w:jc w:val="both"/>
        <w:rPr>
          <w:rFonts w:cs="Arial"/>
          <w:bCs/>
          <w:color w:val="003768"/>
          <w:sz w:val="20"/>
          <w:szCs w:val="20"/>
          <w:lang w:val="fr-FR"/>
        </w:rPr>
      </w:pPr>
      <w:r w:rsidRPr="0039284E">
        <w:rPr>
          <w:rFonts w:cs="Arial"/>
          <w:bCs/>
          <w:color w:val="003768"/>
          <w:sz w:val="20"/>
          <w:szCs w:val="20"/>
          <w:lang w:val="fr-FR"/>
        </w:rPr>
        <w:t xml:space="preserve">Dans la branche non-vie, les primes acquises baissent de 1% en rythme trimestriel mais progressent de 1% en rythme annuel. Au quatrième trimestre les demandes d'indemnisation de sinistres ont légèrement augmenté par rapport au trimestre précédent (sous l'effet des tempêtes qui ont touché la Belgique) et ont par conséquent gonflé les charges techniques. Le ratio combiné atteint un niveau satisfaisant de 94% pour l'ensemble de l'exercice (101% pour le trimestre sous revue). </w:t>
      </w:r>
    </w:p>
    <w:p w:rsidR="0039284E" w:rsidRPr="0039284E" w:rsidRDefault="0039284E" w:rsidP="0039284E">
      <w:pPr>
        <w:pStyle w:val="ListParagraph"/>
        <w:autoSpaceDE w:val="0"/>
        <w:autoSpaceDN w:val="0"/>
        <w:adjustRightInd w:val="0"/>
        <w:spacing w:after="60" w:line="240" w:lineRule="auto"/>
        <w:ind w:left="1706" w:right="6"/>
        <w:contextualSpacing w:val="0"/>
        <w:jc w:val="both"/>
        <w:rPr>
          <w:rFonts w:cs="Arial"/>
          <w:bCs/>
          <w:color w:val="003768"/>
          <w:sz w:val="20"/>
          <w:szCs w:val="20"/>
          <w:lang w:val="fr-FR"/>
        </w:rPr>
      </w:pPr>
      <w:r w:rsidRPr="0039284E">
        <w:rPr>
          <w:rFonts w:cs="Arial"/>
          <w:bCs/>
          <w:color w:val="003768"/>
          <w:sz w:val="20"/>
          <w:szCs w:val="20"/>
          <w:lang w:val="fr-FR"/>
        </w:rPr>
        <w:t>Dans la branche vie, une campagne axée sur l'épargne mais aussi des effets saisonniers ont permis une progression de 47% des ventes de produits d'assurance vie (y compris les produits branche 23 non inclus dans les recettes de primes) par rapport au 3e trimestre 2013. D'une année à l'autre, ces ventes ont régressé de quelque 60% en raison de différents facteurs, notamment une modification du traitement fiscal des contrats d'assurance vie branche 23 en Belgique depuis début 2013, des conditions de taux bas et un glissement vers d’autres produits de gestion patrimoniale.</w:t>
      </w:r>
    </w:p>
    <w:p w:rsidR="0039284E" w:rsidRPr="0039284E" w:rsidRDefault="0039284E" w:rsidP="0039284E">
      <w:pPr>
        <w:pStyle w:val="ListParagraph"/>
        <w:autoSpaceDE w:val="0"/>
        <w:autoSpaceDN w:val="0"/>
        <w:adjustRightInd w:val="0"/>
        <w:spacing w:after="60" w:line="240" w:lineRule="auto"/>
        <w:ind w:left="1706" w:right="6"/>
        <w:contextualSpacing w:val="0"/>
        <w:jc w:val="both"/>
        <w:rPr>
          <w:rFonts w:cs="Arial"/>
          <w:bCs/>
          <w:color w:val="003768"/>
          <w:sz w:val="20"/>
          <w:szCs w:val="20"/>
          <w:lang w:val="fr-FR"/>
        </w:rPr>
      </w:pPr>
      <w:r w:rsidRPr="0039284E">
        <w:rPr>
          <w:rFonts w:cs="Arial"/>
          <w:bCs/>
          <w:color w:val="003768"/>
          <w:sz w:val="20"/>
          <w:szCs w:val="20"/>
          <w:lang w:val="fr-FR"/>
        </w:rPr>
        <w:lastRenderedPageBreak/>
        <w:t xml:space="preserve">Il convient de noter que le quatrième trimestre a été satisfaisant en termes de revenus des investissements tirés des activités d’assurance, les résultats en rythme trimestriel ayant été quelque peu compensés par la baisse des revenus de dividendes dans le portefeuille d’investissement  et par les bénéfices délibérément limités sur les investissements réalisés. Enfin, le résultat technico-financier a lui aussi bénéficié de la bonne maîtrise des frais administratifs généraux, en dépit de certains facteurs de fin d'année typiques. </w:t>
      </w:r>
    </w:p>
    <w:p w:rsidR="0039284E" w:rsidRPr="0039284E" w:rsidRDefault="0039284E" w:rsidP="0039284E">
      <w:pPr>
        <w:pStyle w:val="ListParagraph"/>
        <w:numPr>
          <w:ilvl w:val="0"/>
          <w:numId w:val="3"/>
        </w:numPr>
        <w:autoSpaceDE w:val="0"/>
        <w:autoSpaceDN w:val="0"/>
        <w:adjustRightInd w:val="0"/>
        <w:spacing w:after="60" w:line="240" w:lineRule="auto"/>
        <w:ind w:left="1706" w:right="6" w:hanging="357"/>
        <w:contextualSpacing w:val="0"/>
        <w:jc w:val="both"/>
        <w:rPr>
          <w:rFonts w:cs="Arial"/>
          <w:bCs/>
          <w:color w:val="003768"/>
          <w:sz w:val="20"/>
          <w:szCs w:val="20"/>
          <w:lang w:val="fr-FR"/>
        </w:rPr>
      </w:pPr>
      <w:r w:rsidRPr="0039284E">
        <w:rPr>
          <w:rFonts w:cs="Arial"/>
          <w:bCs/>
          <w:color w:val="003768"/>
          <w:sz w:val="20"/>
          <w:szCs w:val="20"/>
          <w:lang w:val="fr-FR"/>
        </w:rPr>
        <w:t xml:space="preserve">Le résultat net des instruments financiers à la juste valeur atteint 159 millions d'euros pour le trimestre sous revue, pour une moyenne de 194 millions d'euros sur les quatre trimestres antérieurs. Ce chiffre est normalement déterminé par les revenus générés par la salle des marchés, qui ont été stables. Aux premier et deuxième trimestres 2013, ce chiffre a toutefois été influencé en premier lieu par des résultats positifs sur les valorisations </w:t>
      </w:r>
      <w:proofErr w:type="spellStart"/>
      <w:r w:rsidRPr="0039284E">
        <w:rPr>
          <w:rFonts w:cs="Arial"/>
          <w:bCs/>
          <w:color w:val="003768"/>
          <w:sz w:val="20"/>
          <w:szCs w:val="20"/>
          <w:lang w:val="fr-FR"/>
        </w:rPr>
        <w:t>marked</w:t>
      </w:r>
      <w:proofErr w:type="spellEnd"/>
      <w:r w:rsidRPr="0039284E">
        <w:rPr>
          <w:rFonts w:cs="Arial"/>
          <w:bCs/>
          <w:color w:val="003768"/>
          <w:sz w:val="20"/>
          <w:szCs w:val="20"/>
          <w:lang w:val="fr-FR"/>
        </w:rPr>
        <w:t>-to-</w:t>
      </w:r>
      <w:proofErr w:type="spellStart"/>
      <w:r w:rsidRPr="0039284E">
        <w:rPr>
          <w:rFonts w:cs="Arial"/>
          <w:bCs/>
          <w:color w:val="003768"/>
          <w:sz w:val="20"/>
          <w:szCs w:val="20"/>
          <w:lang w:val="fr-FR"/>
        </w:rPr>
        <w:t>market</w:t>
      </w:r>
      <w:proofErr w:type="spellEnd"/>
      <w:r w:rsidRPr="0039284E">
        <w:rPr>
          <w:rFonts w:cs="Arial"/>
          <w:bCs/>
          <w:color w:val="003768"/>
          <w:sz w:val="20"/>
          <w:szCs w:val="20"/>
          <w:lang w:val="fr-FR"/>
        </w:rPr>
        <w:t xml:space="preserve"> relatives aux instruments dérivés utilisés à des fins de gestion de l'actif et du passif.</w:t>
      </w:r>
    </w:p>
    <w:p w:rsidR="0039284E" w:rsidRPr="0039284E" w:rsidRDefault="0039284E" w:rsidP="0039284E">
      <w:pPr>
        <w:pStyle w:val="ListParagraph"/>
        <w:numPr>
          <w:ilvl w:val="0"/>
          <w:numId w:val="3"/>
        </w:numPr>
        <w:autoSpaceDE w:val="0"/>
        <w:autoSpaceDN w:val="0"/>
        <w:adjustRightInd w:val="0"/>
        <w:spacing w:after="60" w:line="240" w:lineRule="auto"/>
        <w:ind w:left="1706" w:right="6" w:hanging="357"/>
        <w:contextualSpacing w:val="0"/>
        <w:jc w:val="both"/>
        <w:rPr>
          <w:rFonts w:cs="Arial"/>
          <w:bCs/>
          <w:color w:val="003768"/>
          <w:sz w:val="20"/>
          <w:szCs w:val="20"/>
          <w:lang w:val="fr-FR"/>
        </w:rPr>
      </w:pPr>
      <w:r w:rsidRPr="0039284E">
        <w:rPr>
          <w:rFonts w:cs="Arial"/>
          <w:bCs/>
          <w:color w:val="003768"/>
          <w:sz w:val="20"/>
          <w:szCs w:val="20"/>
          <w:lang w:val="fr-FR"/>
        </w:rPr>
        <w:t>Les plus-values nettes réalisées sur des actifs disponibles à la vente s'inscrivent à 29 millions d'euros pour le trimestre sous revue, soit moins que la moyenne des quatre trimestres antérieurs (67 millions d'euros). Ces bénéfices ont été réalisés sur la vente tant d'obligations que d'actions.</w:t>
      </w:r>
    </w:p>
    <w:p w:rsidR="0039284E" w:rsidRPr="0039284E" w:rsidRDefault="0039284E" w:rsidP="0039284E">
      <w:pPr>
        <w:pStyle w:val="ListParagraph"/>
        <w:numPr>
          <w:ilvl w:val="0"/>
          <w:numId w:val="3"/>
        </w:numPr>
        <w:autoSpaceDE w:val="0"/>
        <w:autoSpaceDN w:val="0"/>
        <w:adjustRightInd w:val="0"/>
        <w:spacing w:after="60" w:line="240" w:lineRule="auto"/>
        <w:ind w:left="1706" w:right="6" w:hanging="357"/>
        <w:contextualSpacing w:val="0"/>
        <w:jc w:val="both"/>
        <w:rPr>
          <w:rFonts w:cs="Arial"/>
          <w:bCs/>
          <w:color w:val="003768"/>
          <w:sz w:val="20"/>
          <w:szCs w:val="20"/>
          <w:lang w:val="fr-FR"/>
        </w:rPr>
      </w:pPr>
      <w:r w:rsidRPr="0039284E">
        <w:rPr>
          <w:rFonts w:cs="Arial"/>
          <w:bCs/>
          <w:color w:val="003768"/>
          <w:sz w:val="20"/>
          <w:szCs w:val="20"/>
          <w:lang w:val="fr-FR"/>
        </w:rPr>
        <w:t>Les revenus nets de commissions s'établissent à 369 millions d'euros, en hausse de 7% en rythme trimestriel et de 3% en rythme annuel. Sur une base comparable, la progression atteint même 11% en rythme annuel. Les principaux facteurs qui sous-tendent cette tendance en rythme trimestriel sont la hausse des commissions de transactions en Hongrie, les frais d'entrée sur la vente de fonds communs de placement en Belgique et la hausse des commissions de gestion de ces fonds. Tirés par les performances d’investissement, les actifs sous gestion s’établissent à 163 milliards d’euros, en hausse de 2% par rapport au niveau du trimestre précédent (grâce aux performances d’investissement) et de 5% en rythme annuel, grâce aux performances d'investissement (+4%) et aux apports nets (+1%).</w:t>
      </w:r>
    </w:p>
    <w:p w:rsidR="0039284E" w:rsidRPr="0039284E" w:rsidRDefault="0039284E" w:rsidP="0039284E">
      <w:pPr>
        <w:pStyle w:val="ListParagraph"/>
        <w:numPr>
          <w:ilvl w:val="0"/>
          <w:numId w:val="3"/>
        </w:numPr>
        <w:autoSpaceDE w:val="0"/>
        <w:autoSpaceDN w:val="0"/>
        <w:adjustRightInd w:val="0"/>
        <w:spacing w:after="120" w:line="240" w:lineRule="auto"/>
        <w:ind w:left="1706" w:right="6" w:hanging="357"/>
        <w:contextualSpacing w:val="0"/>
        <w:jc w:val="both"/>
        <w:rPr>
          <w:rFonts w:cs="Arial"/>
          <w:bCs/>
          <w:color w:val="003768"/>
          <w:sz w:val="20"/>
          <w:szCs w:val="20"/>
          <w:lang w:val="fr-FR"/>
        </w:rPr>
      </w:pPr>
      <w:r w:rsidRPr="0039284E">
        <w:rPr>
          <w:rFonts w:cs="Arial"/>
          <w:bCs/>
          <w:color w:val="003768"/>
          <w:sz w:val="20"/>
          <w:szCs w:val="20"/>
          <w:lang w:val="fr-FR"/>
        </w:rPr>
        <w:t>Les autres revenus nets ressortent à 47 millions d’euros, soit moins que la moyenne de 96 millions d’euros sur les quatre trimestres antérieurs. Au troisième trimestre, ce poste a bénéficié d’un certain nombre d’éléments positifs significatifs non récurrents.</w:t>
      </w:r>
    </w:p>
    <w:p w:rsidR="0039284E" w:rsidRPr="0039284E" w:rsidRDefault="0039284E" w:rsidP="0039284E">
      <w:pPr>
        <w:autoSpaceDE w:val="0"/>
        <w:autoSpaceDN w:val="0"/>
        <w:adjustRightInd w:val="0"/>
        <w:spacing w:after="120" w:line="240" w:lineRule="auto"/>
        <w:ind w:left="992" w:right="6"/>
        <w:jc w:val="both"/>
        <w:rPr>
          <w:rFonts w:cs="Arial"/>
          <w:b/>
          <w:bCs/>
          <w:color w:val="003768"/>
          <w:sz w:val="20"/>
          <w:szCs w:val="20"/>
          <w:lang w:val="fr-FR"/>
        </w:rPr>
      </w:pPr>
      <w:r w:rsidRPr="0039284E">
        <w:rPr>
          <w:rFonts w:cs="Arial"/>
          <w:b/>
          <w:bCs/>
          <w:color w:val="003768"/>
          <w:sz w:val="20"/>
          <w:szCs w:val="20"/>
          <w:lang w:val="fr-FR"/>
        </w:rPr>
        <w:t>Charges d'exploitation (résultat net ajusté)</w:t>
      </w:r>
    </w:p>
    <w:p w:rsidR="0039284E" w:rsidRPr="0039284E" w:rsidRDefault="0039284E" w:rsidP="0039284E">
      <w:pPr>
        <w:pStyle w:val="ListParagraph"/>
        <w:numPr>
          <w:ilvl w:val="0"/>
          <w:numId w:val="4"/>
        </w:numPr>
        <w:autoSpaceDE w:val="0"/>
        <w:autoSpaceDN w:val="0"/>
        <w:adjustRightInd w:val="0"/>
        <w:spacing w:after="120" w:line="240" w:lineRule="auto"/>
        <w:ind w:left="1706" w:right="6" w:hanging="357"/>
        <w:contextualSpacing w:val="0"/>
        <w:jc w:val="both"/>
        <w:rPr>
          <w:rFonts w:cs="Arial"/>
          <w:bCs/>
          <w:color w:val="003768"/>
          <w:sz w:val="20"/>
          <w:szCs w:val="20"/>
          <w:lang w:val="fr-FR"/>
        </w:rPr>
      </w:pPr>
      <w:r w:rsidRPr="0039284E">
        <w:rPr>
          <w:rFonts w:cs="Arial"/>
          <w:bCs/>
          <w:color w:val="003768"/>
          <w:sz w:val="20"/>
          <w:szCs w:val="20"/>
          <w:lang w:val="fr-FR"/>
        </w:rPr>
        <w:t xml:space="preserve">Au 4e trimestre 2013, les charges d'exploitation s'inscrivent à 963 millions d'euros, en hausse de 5% par rapport au trimestre précédent, mais en recul de 10% par rapport à un an auparavant. L'augmentation en rythme trimestriel est attribuable à des effets de fin d'année, tels que les frais de marketing et les dépenses ICT. Sur une base comparable, les charges diminuent de 1% en base annuelle. Cette diminution est le résultat d'une baisse des charges de personnel et d'un affaiblissement de la couronne tchèque, partiellement épongés par une hausse des taxes bancaires en Hongrie. Le ratio charges/produits pour l'ensemble de l'exercice s'inscrit à 52%, signe manifeste que les coûts restent bien maîtrisés. Ce ratio a toutefois été influencé positivement par le niveau élevé des valorisations </w:t>
      </w:r>
      <w:proofErr w:type="spellStart"/>
      <w:r w:rsidRPr="0039284E">
        <w:rPr>
          <w:rFonts w:cs="Arial"/>
          <w:bCs/>
          <w:color w:val="003768"/>
          <w:sz w:val="20"/>
          <w:szCs w:val="20"/>
          <w:lang w:val="fr-FR"/>
        </w:rPr>
        <w:t>marked</w:t>
      </w:r>
      <w:proofErr w:type="spellEnd"/>
      <w:r w:rsidRPr="0039284E">
        <w:rPr>
          <w:rFonts w:cs="Arial"/>
          <w:bCs/>
          <w:color w:val="003768"/>
          <w:sz w:val="20"/>
          <w:szCs w:val="20"/>
          <w:lang w:val="fr-FR"/>
        </w:rPr>
        <w:t>-to-</w:t>
      </w:r>
      <w:proofErr w:type="spellStart"/>
      <w:r w:rsidRPr="0039284E">
        <w:rPr>
          <w:rFonts w:cs="Arial"/>
          <w:bCs/>
          <w:color w:val="003768"/>
          <w:sz w:val="20"/>
          <w:szCs w:val="20"/>
          <w:lang w:val="fr-FR"/>
        </w:rPr>
        <w:t>market</w:t>
      </w:r>
      <w:proofErr w:type="spellEnd"/>
      <w:r w:rsidRPr="0039284E">
        <w:rPr>
          <w:rFonts w:cs="Arial"/>
          <w:bCs/>
          <w:color w:val="003768"/>
          <w:sz w:val="20"/>
          <w:szCs w:val="20"/>
          <w:lang w:val="fr-FR"/>
        </w:rPr>
        <w:t xml:space="preserve"> relatives aux instruments dérivés utilisés dans la gestion de l'actif et du passif et par le niveau sensiblement plus élevé d'autres revenus non récurrents. Si l'on exclut ces éléments spécifiques, le ratio charges/revenus s'inscrit à 54%.</w:t>
      </w:r>
    </w:p>
    <w:p w:rsidR="0039284E" w:rsidRDefault="0039284E" w:rsidP="0039284E">
      <w:pPr>
        <w:autoSpaceDE w:val="0"/>
        <w:autoSpaceDN w:val="0"/>
        <w:adjustRightInd w:val="0"/>
        <w:spacing w:after="120" w:line="240" w:lineRule="auto"/>
        <w:ind w:left="992" w:right="6"/>
        <w:jc w:val="both"/>
        <w:rPr>
          <w:rFonts w:cs="Arial"/>
          <w:b/>
          <w:bCs/>
          <w:color w:val="003768"/>
          <w:sz w:val="20"/>
          <w:szCs w:val="20"/>
          <w:lang w:val="fr-FR"/>
        </w:rPr>
      </w:pPr>
      <w:r w:rsidRPr="0039284E">
        <w:rPr>
          <w:rFonts w:cs="Arial"/>
          <w:b/>
          <w:bCs/>
          <w:color w:val="003768"/>
          <w:sz w:val="20"/>
          <w:szCs w:val="20"/>
          <w:lang w:val="fr-FR"/>
        </w:rPr>
        <w:t>Réductions de valeur (résultat net ajusté)</w:t>
      </w:r>
    </w:p>
    <w:p w:rsidR="0039284E" w:rsidRPr="0039284E" w:rsidRDefault="0039284E" w:rsidP="0039284E">
      <w:pPr>
        <w:pStyle w:val="ListParagraph"/>
        <w:numPr>
          <w:ilvl w:val="0"/>
          <w:numId w:val="4"/>
        </w:numPr>
        <w:autoSpaceDE w:val="0"/>
        <w:autoSpaceDN w:val="0"/>
        <w:adjustRightInd w:val="0"/>
        <w:spacing w:after="60" w:line="240" w:lineRule="auto"/>
        <w:ind w:left="1706" w:right="6" w:hanging="357"/>
        <w:contextualSpacing w:val="0"/>
        <w:jc w:val="both"/>
        <w:rPr>
          <w:rFonts w:cs="Arial"/>
          <w:bCs/>
          <w:color w:val="003768"/>
          <w:sz w:val="20"/>
          <w:szCs w:val="20"/>
          <w:lang w:val="fr-FR"/>
        </w:rPr>
      </w:pPr>
      <w:r w:rsidRPr="0039284E">
        <w:rPr>
          <w:rFonts w:cs="Arial"/>
          <w:bCs/>
          <w:color w:val="003768"/>
          <w:sz w:val="20"/>
          <w:szCs w:val="20"/>
          <w:lang w:val="fr-FR"/>
        </w:rPr>
        <w:t xml:space="preserve">Les réductions de valeur pour pertes de crédit s'inscrivent à 940 millions d'euros au 4e trimestre 2013, en hausse par rapport aux 186 millions enregistrés au trimestre précédent et aux 329 millions un an plus tôt. Le chiffre du 4e trimestre 2013 inclut une réduction de valeur pour pertes de crédit de 773 millions d'euros enregistrée par KBC Bank Ireland (contre 98 millions d'euros au trimestre précédent et 87 millions d'euros au trimestre correspondant de l'année précédente), de même qu'une réduction de valeur de 65 millions d'euros dans la division Belgique (contre 43 millions d'euros au troisième trimestre 2013 et 139 millions d'euros un an auparavant) et de 43 millions d'euros en Hongrie (contre 12 millions d'euros au troisième trimestre 2013 et 8 millions d'euros au dernier trimestre de l'an dernier – due en partie à une réduction de valeur supplémentaire à caractère unique liée à la réévaluation du portefeuille de crédits). En termes annualisés, le ratio de pertes sur crédits s'établit à 1,19%. Il se répartit comme suit : 0,37% pour la division Belgique (contre 0,28% pour l'exercice 2012, principalement à la suite de la hausse des réductions de valeur enregistrées dans les segments PME et  </w:t>
      </w:r>
      <w:proofErr w:type="spellStart"/>
      <w:r w:rsidRPr="0039284E">
        <w:rPr>
          <w:rFonts w:cs="Arial"/>
          <w:bCs/>
          <w:color w:val="003768"/>
          <w:sz w:val="20"/>
          <w:szCs w:val="20"/>
          <w:lang w:val="fr-FR"/>
        </w:rPr>
        <w:t>corporate</w:t>
      </w:r>
      <w:proofErr w:type="spellEnd"/>
      <w:r w:rsidRPr="0039284E">
        <w:rPr>
          <w:rFonts w:cs="Arial"/>
          <w:bCs/>
          <w:color w:val="003768"/>
          <w:sz w:val="20"/>
          <w:szCs w:val="20"/>
          <w:lang w:val="fr-FR"/>
        </w:rPr>
        <w:t xml:space="preserve">), 0,25% dans la division République tchèque (amélioration par rapport aux 0,31% de l'exercice 2012, mais due aussi en partie à un changement de méthodologie) et 4,48% pour la division Marchés internationaux (en hausse par rapport aux 2,26% de l'exercice 2012). </w:t>
      </w:r>
    </w:p>
    <w:p w:rsidR="00D24657" w:rsidRDefault="0039284E" w:rsidP="0039284E">
      <w:pPr>
        <w:pStyle w:val="ListParagraph"/>
        <w:numPr>
          <w:ilvl w:val="0"/>
          <w:numId w:val="4"/>
        </w:numPr>
        <w:autoSpaceDE w:val="0"/>
        <w:autoSpaceDN w:val="0"/>
        <w:adjustRightInd w:val="0"/>
        <w:spacing w:after="120" w:line="240" w:lineRule="auto"/>
        <w:ind w:left="1706" w:right="6" w:hanging="357"/>
        <w:contextualSpacing w:val="0"/>
        <w:jc w:val="both"/>
        <w:rPr>
          <w:rFonts w:cs="Arial"/>
          <w:bCs/>
          <w:color w:val="003768"/>
          <w:sz w:val="20"/>
          <w:szCs w:val="20"/>
          <w:lang w:val="fr-FR"/>
        </w:rPr>
      </w:pPr>
      <w:r w:rsidRPr="0039284E">
        <w:rPr>
          <w:rFonts w:cs="Arial"/>
          <w:bCs/>
          <w:color w:val="003768"/>
          <w:sz w:val="20"/>
          <w:szCs w:val="20"/>
          <w:lang w:val="fr-FR"/>
        </w:rPr>
        <w:t>Les pertes de valeur sur actifs disponibles à la vente s'établissent à 3 millions d'euros, les autres pertes de valeur se montant à 7 millions d'euros pour le trimestre sous revue.</w:t>
      </w:r>
    </w:p>
    <w:p w:rsidR="00D24657" w:rsidRDefault="00D24657">
      <w:pPr>
        <w:spacing w:after="0" w:line="240" w:lineRule="auto"/>
        <w:rPr>
          <w:rFonts w:cs="Arial"/>
          <w:bCs/>
          <w:color w:val="003768"/>
          <w:sz w:val="20"/>
          <w:szCs w:val="20"/>
          <w:lang w:val="fr-FR"/>
        </w:rPr>
      </w:pPr>
      <w:r>
        <w:rPr>
          <w:rFonts w:cs="Arial"/>
          <w:bCs/>
          <w:color w:val="003768"/>
          <w:sz w:val="20"/>
          <w:szCs w:val="20"/>
          <w:lang w:val="fr-FR"/>
        </w:rPr>
        <w:br w:type="page"/>
      </w:r>
    </w:p>
    <w:p w:rsidR="0039284E" w:rsidRPr="0039284E" w:rsidRDefault="0039284E" w:rsidP="0039284E">
      <w:pPr>
        <w:autoSpaceDE w:val="0"/>
        <w:autoSpaceDN w:val="0"/>
        <w:adjustRightInd w:val="0"/>
        <w:spacing w:after="120" w:line="240" w:lineRule="auto"/>
        <w:ind w:left="992" w:right="6"/>
        <w:jc w:val="both"/>
        <w:rPr>
          <w:rFonts w:cs="Arial"/>
          <w:b/>
          <w:bCs/>
          <w:color w:val="003768"/>
          <w:sz w:val="20"/>
          <w:szCs w:val="20"/>
          <w:lang w:val="fr-FR"/>
        </w:rPr>
      </w:pPr>
      <w:r w:rsidRPr="0039284E">
        <w:rPr>
          <w:rFonts w:cs="Arial"/>
          <w:b/>
          <w:bCs/>
          <w:color w:val="003768"/>
          <w:sz w:val="20"/>
          <w:szCs w:val="20"/>
          <w:lang w:val="fr-FR"/>
        </w:rPr>
        <w:lastRenderedPageBreak/>
        <w:t xml:space="preserve">Incidence des activités </w:t>
      </w:r>
      <w:proofErr w:type="spellStart"/>
      <w:r w:rsidRPr="0039284E">
        <w:rPr>
          <w:rFonts w:cs="Arial"/>
          <w:b/>
          <w:bCs/>
          <w:color w:val="003768"/>
          <w:sz w:val="20"/>
          <w:szCs w:val="20"/>
          <w:lang w:val="fr-FR"/>
        </w:rPr>
        <w:t>legacy</w:t>
      </w:r>
      <w:proofErr w:type="spellEnd"/>
      <w:r w:rsidRPr="0039284E">
        <w:rPr>
          <w:rFonts w:cs="Arial"/>
          <w:b/>
          <w:bCs/>
          <w:color w:val="003768"/>
          <w:sz w:val="20"/>
          <w:szCs w:val="20"/>
          <w:lang w:val="fr-FR"/>
        </w:rPr>
        <w:t xml:space="preserve"> et des risques de crédit propres sur le résultat :</w:t>
      </w:r>
    </w:p>
    <w:p w:rsidR="0039284E" w:rsidRPr="0039284E" w:rsidRDefault="0039284E" w:rsidP="0039284E">
      <w:pPr>
        <w:pStyle w:val="ListParagraph"/>
        <w:numPr>
          <w:ilvl w:val="0"/>
          <w:numId w:val="5"/>
        </w:numPr>
        <w:autoSpaceDE w:val="0"/>
        <w:autoSpaceDN w:val="0"/>
        <w:adjustRightInd w:val="0"/>
        <w:spacing w:after="60" w:line="240" w:lineRule="auto"/>
        <w:ind w:right="6"/>
        <w:contextualSpacing w:val="0"/>
        <w:jc w:val="both"/>
        <w:rPr>
          <w:rFonts w:cs="Arial"/>
          <w:bCs/>
          <w:color w:val="003768"/>
          <w:sz w:val="20"/>
          <w:szCs w:val="20"/>
          <w:lang w:val="fr-FR"/>
        </w:rPr>
      </w:pPr>
      <w:r w:rsidRPr="0039284E">
        <w:rPr>
          <w:rFonts w:cs="Arial"/>
          <w:bCs/>
          <w:color w:val="003768"/>
          <w:sz w:val="20"/>
          <w:szCs w:val="20"/>
          <w:lang w:val="fr-FR"/>
        </w:rPr>
        <w:t xml:space="preserve">CDO : au 4e trimestre, poursuivant la tendance des trimestres précédents, les différentiels de crédit </w:t>
      </w:r>
      <w:proofErr w:type="spellStart"/>
      <w:r w:rsidRPr="0039284E">
        <w:rPr>
          <w:rFonts w:cs="Arial"/>
          <w:bCs/>
          <w:color w:val="003768"/>
          <w:sz w:val="20"/>
          <w:szCs w:val="20"/>
          <w:lang w:val="fr-FR"/>
        </w:rPr>
        <w:t>corporate</w:t>
      </w:r>
      <w:proofErr w:type="spellEnd"/>
      <w:r w:rsidRPr="0039284E">
        <w:rPr>
          <w:rFonts w:cs="Arial"/>
          <w:bCs/>
          <w:color w:val="003768"/>
          <w:sz w:val="20"/>
          <w:szCs w:val="20"/>
          <w:lang w:val="fr-FR"/>
        </w:rPr>
        <w:t xml:space="preserve"> et ABS se sont encore resserrés. Si l'on prend en compte l'impact de la commission pour le système de garantie des CDO convenu avec le gouvernement fédéral belge, ainsi que les coûts de résiliation, l’impact positif après impôts s'élève à 65 millions d’euros.</w:t>
      </w:r>
    </w:p>
    <w:p w:rsidR="0039284E" w:rsidRPr="0039284E" w:rsidRDefault="0039284E" w:rsidP="0039284E">
      <w:pPr>
        <w:pStyle w:val="ListParagraph"/>
        <w:numPr>
          <w:ilvl w:val="0"/>
          <w:numId w:val="5"/>
        </w:numPr>
        <w:autoSpaceDE w:val="0"/>
        <w:autoSpaceDN w:val="0"/>
        <w:adjustRightInd w:val="0"/>
        <w:spacing w:after="60" w:line="240" w:lineRule="auto"/>
        <w:ind w:right="6"/>
        <w:contextualSpacing w:val="0"/>
        <w:jc w:val="both"/>
        <w:rPr>
          <w:rFonts w:cs="Arial"/>
          <w:bCs/>
          <w:color w:val="003768"/>
          <w:sz w:val="20"/>
          <w:szCs w:val="20"/>
          <w:lang w:val="fr-FR"/>
        </w:rPr>
      </w:pPr>
      <w:r w:rsidRPr="0039284E">
        <w:rPr>
          <w:rFonts w:cs="Arial"/>
          <w:bCs/>
          <w:color w:val="003768"/>
          <w:sz w:val="20"/>
          <w:szCs w:val="20"/>
          <w:lang w:val="fr-FR"/>
        </w:rPr>
        <w:t>Désinvestissements restants : l'impact négatif après impôts atteint 10 millions d'euros au total pour ce trimestre. Il résulte principalement de la finalisation de la vente de KBC Banka, ainsi que des coûts liés à la réduction des prêts aux actionnaires.</w:t>
      </w:r>
    </w:p>
    <w:p w:rsidR="0039284E" w:rsidRPr="0039284E" w:rsidRDefault="0039284E" w:rsidP="0039284E">
      <w:pPr>
        <w:pStyle w:val="ListParagraph"/>
        <w:numPr>
          <w:ilvl w:val="0"/>
          <w:numId w:val="5"/>
        </w:numPr>
        <w:autoSpaceDE w:val="0"/>
        <w:autoSpaceDN w:val="0"/>
        <w:adjustRightInd w:val="0"/>
        <w:spacing w:after="120" w:line="240" w:lineRule="auto"/>
        <w:ind w:left="1706" w:right="6" w:hanging="357"/>
        <w:contextualSpacing w:val="0"/>
        <w:jc w:val="both"/>
        <w:rPr>
          <w:rFonts w:cs="Arial"/>
          <w:bCs/>
          <w:color w:val="003768"/>
          <w:sz w:val="20"/>
          <w:szCs w:val="20"/>
          <w:lang w:val="fr-FR"/>
        </w:rPr>
      </w:pPr>
      <w:r w:rsidRPr="0039284E">
        <w:rPr>
          <w:rFonts w:cs="Arial"/>
          <w:bCs/>
          <w:color w:val="003768"/>
          <w:sz w:val="20"/>
          <w:szCs w:val="20"/>
          <w:lang w:val="fr-FR"/>
        </w:rPr>
        <w:t xml:space="preserve">Incidence de la valorisation du risque de crédit propre : le léger resserrement des différentiels de crédit sur la dette de KBC entre fin septembre 2013 et la clôture de l'exercice 2013 se traduit par un ajustement </w:t>
      </w:r>
      <w:proofErr w:type="spellStart"/>
      <w:r w:rsidRPr="0039284E">
        <w:rPr>
          <w:rFonts w:cs="Arial"/>
          <w:bCs/>
          <w:color w:val="003768"/>
          <w:sz w:val="20"/>
          <w:szCs w:val="20"/>
          <w:lang w:val="fr-FR"/>
        </w:rPr>
        <w:t>marked</w:t>
      </w:r>
      <w:proofErr w:type="spellEnd"/>
      <w:r w:rsidRPr="0039284E">
        <w:rPr>
          <w:rFonts w:cs="Arial"/>
          <w:bCs/>
          <w:color w:val="003768"/>
          <w:sz w:val="20"/>
          <w:szCs w:val="20"/>
          <w:lang w:val="fr-FR"/>
        </w:rPr>
        <w:t>-to-</w:t>
      </w:r>
      <w:proofErr w:type="spellStart"/>
      <w:r w:rsidRPr="0039284E">
        <w:rPr>
          <w:rFonts w:cs="Arial"/>
          <w:bCs/>
          <w:color w:val="003768"/>
          <w:sz w:val="20"/>
          <w:szCs w:val="20"/>
          <w:lang w:val="fr-FR"/>
        </w:rPr>
        <w:t>market</w:t>
      </w:r>
      <w:proofErr w:type="spellEnd"/>
      <w:r w:rsidRPr="0039284E">
        <w:rPr>
          <w:rFonts w:cs="Arial"/>
          <w:bCs/>
          <w:color w:val="003768"/>
          <w:sz w:val="20"/>
          <w:szCs w:val="20"/>
          <w:lang w:val="fr-FR"/>
        </w:rPr>
        <w:t xml:space="preserve"> négatif de 9 millions d'euros (après impôts), mais est sans incidence sur le capital réglementaire.</w:t>
      </w:r>
    </w:p>
    <w:p w:rsidR="0039284E" w:rsidRPr="0039284E" w:rsidRDefault="0039284E" w:rsidP="0039284E">
      <w:pPr>
        <w:autoSpaceDE w:val="0"/>
        <w:autoSpaceDN w:val="0"/>
        <w:adjustRightInd w:val="0"/>
        <w:spacing w:after="120" w:line="240" w:lineRule="auto"/>
        <w:ind w:left="992" w:right="6"/>
        <w:jc w:val="both"/>
        <w:rPr>
          <w:rFonts w:cs="Arial"/>
          <w:b/>
          <w:bCs/>
          <w:color w:val="003768"/>
          <w:sz w:val="20"/>
          <w:szCs w:val="20"/>
          <w:lang w:val="fr-FR"/>
        </w:rPr>
      </w:pPr>
      <w:r w:rsidRPr="0039284E">
        <w:rPr>
          <w:rFonts w:cs="Arial"/>
          <w:b/>
          <w:bCs/>
          <w:color w:val="003768"/>
          <w:sz w:val="20"/>
          <w:szCs w:val="20"/>
          <w:lang w:val="fr-FR"/>
        </w:rPr>
        <w:t>Ventilation par division</w:t>
      </w:r>
    </w:p>
    <w:p w:rsidR="0039284E" w:rsidRPr="0039284E" w:rsidRDefault="0039284E" w:rsidP="0039284E">
      <w:pPr>
        <w:pStyle w:val="ListParagraph"/>
        <w:numPr>
          <w:ilvl w:val="0"/>
          <w:numId w:val="6"/>
        </w:numPr>
        <w:autoSpaceDE w:val="0"/>
        <w:autoSpaceDN w:val="0"/>
        <w:adjustRightInd w:val="0"/>
        <w:spacing w:after="60" w:line="240" w:lineRule="auto"/>
        <w:ind w:right="6"/>
        <w:contextualSpacing w:val="0"/>
        <w:jc w:val="both"/>
        <w:rPr>
          <w:rFonts w:cs="Arial"/>
          <w:bCs/>
          <w:color w:val="003768"/>
          <w:sz w:val="20"/>
          <w:szCs w:val="20"/>
          <w:lang w:val="fr-FR"/>
        </w:rPr>
      </w:pPr>
      <w:r w:rsidRPr="0039284E">
        <w:rPr>
          <w:rFonts w:cs="Arial"/>
          <w:bCs/>
          <w:color w:val="003768"/>
          <w:sz w:val="20"/>
          <w:szCs w:val="20"/>
          <w:lang w:val="fr-FR"/>
        </w:rPr>
        <w:t>Pour le trimestre sous revue, la division Belgique dégage un résultat net de 376 millions d’euros, nettement supérieur à la moyenne de 295 millions du dernier trimestre de 2012. Par rapport au troisième trimestre, le quatrième trimestre s'est caractérisé par des revenus nets d'intérêts plus élevés, des revenus nets de commissions stables, une bonne tenue des ventes d'assurances vie à taux garanti, mais également par un ratio combiné assurances dommages plus faible (résultant d'une augmentation des demandes d'indemnisation), des charges d'exploitation en diminution et un niveau de réductions de valeur pour pertes de crédit plus élevé. Les activités bancaires et d’assurance ont généré respectivement 85% et 15% du résultat net sur la période.</w:t>
      </w:r>
    </w:p>
    <w:p w:rsidR="0039284E" w:rsidRPr="0039284E" w:rsidRDefault="0039284E" w:rsidP="0039284E">
      <w:pPr>
        <w:pStyle w:val="ListParagraph"/>
        <w:numPr>
          <w:ilvl w:val="0"/>
          <w:numId w:val="6"/>
        </w:numPr>
        <w:autoSpaceDE w:val="0"/>
        <w:autoSpaceDN w:val="0"/>
        <w:adjustRightInd w:val="0"/>
        <w:spacing w:after="60" w:line="240" w:lineRule="auto"/>
        <w:ind w:right="6"/>
        <w:contextualSpacing w:val="0"/>
        <w:jc w:val="both"/>
        <w:rPr>
          <w:rFonts w:cs="Arial"/>
          <w:bCs/>
          <w:color w:val="003768"/>
          <w:sz w:val="20"/>
          <w:szCs w:val="20"/>
          <w:lang w:val="fr-FR"/>
        </w:rPr>
      </w:pPr>
      <w:r w:rsidRPr="0039284E">
        <w:rPr>
          <w:rFonts w:cs="Arial"/>
          <w:bCs/>
          <w:color w:val="003768"/>
          <w:sz w:val="20"/>
          <w:szCs w:val="20"/>
          <w:lang w:val="fr-FR"/>
        </w:rPr>
        <w:t>La division République tchèque affiche un résultat net de 119 millions d'euros, en légère augmentation par rapport au dernier trimestre 2012 et fortement influencé par la dépréciation de la couronne tchèque. Par rapport au troisième trimestre, ce trimestre a été marqué par un léger recul des revenus nets d’intérêts, une amélioration du ratio combiné assurances dommages, une augmentation des ventes de produits d’assurance vie branche 23 et des revenus nets de commissions, un excellent coefficient charges/produits et une hausse des réductions de valeur pour pertes de crédit. Les activités bancaires et d’assurance ont généré respectivement 92% et 8% du résultat net sur la période.</w:t>
      </w:r>
    </w:p>
    <w:p w:rsidR="0039284E" w:rsidRPr="0039284E" w:rsidRDefault="0039284E" w:rsidP="0039284E">
      <w:pPr>
        <w:pStyle w:val="ListParagraph"/>
        <w:numPr>
          <w:ilvl w:val="0"/>
          <w:numId w:val="6"/>
        </w:numPr>
        <w:autoSpaceDE w:val="0"/>
        <w:autoSpaceDN w:val="0"/>
        <w:adjustRightInd w:val="0"/>
        <w:spacing w:after="60" w:line="240" w:lineRule="auto"/>
        <w:ind w:right="6"/>
        <w:contextualSpacing w:val="0"/>
        <w:jc w:val="both"/>
        <w:rPr>
          <w:rFonts w:cs="Arial"/>
          <w:bCs/>
          <w:color w:val="003768"/>
          <w:sz w:val="20"/>
          <w:szCs w:val="20"/>
          <w:lang w:val="fr-FR"/>
        </w:rPr>
      </w:pPr>
      <w:r w:rsidRPr="0039284E">
        <w:rPr>
          <w:rFonts w:cs="Arial"/>
          <w:bCs/>
          <w:color w:val="003768"/>
          <w:sz w:val="20"/>
          <w:szCs w:val="20"/>
          <w:lang w:val="fr-FR"/>
        </w:rPr>
        <w:t>La division Marchés internationaux enregistre un résultat net de -731 millions d'euros, un niveau exceptionnellement bas à caractère unique. Par rapport au trimestre précédent, le quatrième trimestre a été influencé en particulier par la réduction de valeur de 773 millions d'euros sur le portefeuille de crédits irlandais. Par ailleurs, les résultats nets d'intérêts sont bas (à cause de l'Irlande), tandis que les revenus nets de commissions sont nettement plus élevées (grâce à la Hongrie). Des effets saisonniers et des dépenses en hausse ont également entraîné une augmentation des charges. Globalement, les activités bancaires accusent un résultat net négatif de -735 millions d’euros (les résultats positifs en Slovaquie, Hongrie et Bulgarie étant annulés par le résultat négatif en Irlande), tandis que les activités d’assurance dégagent un résultat net positif de 4 millions d’euros.</w:t>
      </w:r>
    </w:p>
    <w:p w:rsidR="0039284E" w:rsidRPr="0039284E" w:rsidRDefault="0039284E" w:rsidP="0039284E">
      <w:pPr>
        <w:pStyle w:val="ListParagraph"/>
        <w:numPr>
          <w:ilvl w:val="0"/>
          <w:numId w:val="6"/>
        </w:numPr>
        <w:autoSpaceDE w:val="0"/>
        <w:autoSpaceDN w:val="0"/>
        <w:adjustRightInd w:val="0"/>
        <w:spacing w:after="120" w:line="240" w:lineRule="auto"/>
        <w:ind w:left="1706" w:right="6" w:hanging="357"/>
        <w:contextualSpacing w:val="0"/>
        <w:jc w:val="both"/>
        <w:rPr>
          <w:rFonts w:cs="Arial"/>
          <w:bCs/>
          <w:color w:val="003768"/>
          <w:sz w:val="20"/>
          <w:szCs w:val="20"/>
          <w:lang w:val="fr-FR"/>
        </w:rPr>
      </w:pPr>
      <w:r w:rsidRPr="0039284E">
        <w:rPr>
          <w:rFonts w:cs="Arial"/>
          <w:bCs/>
          <w:color w:val="003768"/>
          <w:sz w:val="20"/>
          <w:szCs w:val="20"/>
          <w:lang w:val="fr-FR"/>
        </w:rPr>
        <w:t xml:space="preserve">Le résultat net du Centre de groupe s'élève à -58 millions au 4e trimestre 2013. Comme mentionné ci-dessus, ce chiffre inclut non seulement un certain nombre d'éléments du groupe et de résultats de sociétés en attente de désinvestissement, mais aussi l'impact total des activités </w:t>
      </w:r>
      <w:proofErr w:type="spellStart"/>
      <w:r w:rsidRPr="0039284E">
        <w:rPr>
          <w:rFonts w:cs="Arial"/>
          <w:bCs/>
          <w:color w:val="003768"/>
          <w:sz w:val="20"/>
          <w:szCs w:val="20"/>
          <w:lang w:val="fr-FR"/>
        </w:rPr>
        <w:t>legacy</w:t>
      </w:r>
      <w:proofErr w:type="spellEnd"/>
      <w:r w:rsidRPr="0039284E">
        <w:rPr>
          <w:rFonts w:cs="Arial"/>
          <w:bCs/>
          <w:color w:val="003768"/>
          <w:sz w:val="20"/>
          <w:szCs w:val="20"/>
          <w:lang w:val="fr-FR"/>
        </w:rPr>
        <w:t xml:space="preserve"> (CDO, désinvestissements) et la valorisation de notre propre risque de crédit (voir ci-dessus). Sans les activités </w:t>
      </w:r>
      <w:proofErr w:type="spellStart"/>
      <w:r w:rsidRPr="0039284E">
        <w:rPr>
          <w:rFonts w:cs="Arial"/>
          <w:bCs/>
          <w:color w:val="003768"/>
          <w:sz w:val="20"/>
          <w:szCs w:val="20"/>
          <w:lang w:val="fr-FR"/>
        </w:rPr>
        <w:t>legacy</w:t>
      </w:r>
      <w:proofErr w:type="spellEnd"/>
      <w:r w:rsidRPr="0039284E">
        <w:rPr>
          <w:rFonts w:cs="Arial"/>
          <w:bCs/>
          <w:color w:val="003768"/>
          <w:sz w:val="20"/>
          <w:szCs w:val="20"/>
          <w:lang w:val="fr-FR"/>
        </w:rPr>
        <w:t xml:space="preserve"> et la valorisation de nos propres risques de crédit, le résultat net ajusté du Centre de groupe s'élève à -104 million euros.</w:t>
      </w:r>
    </w:p>
    <w:p w:rsidR="0039284E" w:rsidRDefault="0039284E">
      <w:pPr>
        <w:spacing w:after="0" w:line="240" w:lineRule="auto"/>
        <w:rPr>
          <w:rFonts w:cs="Arial"/>
          <w:bCs/>
          <w:color w:val="003768"/>
          <w:sz w:val="20"/>
          <w:szCs w:val="20"/>
          <w:lang w:val="fr-FR"/>
        </w:rPr>
      </w:pPr>
      <w:r>
        <w:rPr>
          <w:rFonts w:cs="Arial"/>
          <w:bCs/>
          <w:color w:val="003768"/>
          <w:sz w:val="20"/>
          <w:szCs w:val="20"/>
          <w:lang w:val="fr-FR"/>
        </w:rPr>
        <w:br w:type="page"/>
      </w:r>
    </w:p>
    <w:p w:rsidR="0039284E" w:rsidRPr="0039284E" w:rsidRDefault="0039284E" w:rsidP="00EB3BE3">
      <w:pPr>
        <w:autoSpaceDE w:val="0"/>
        <w:autoSpaceDN w:val="0"/>
        <w:adjustRightInd w:val="0"/>
        <w:spacing w:after="120" w:line="240" w:lineRule="auto"/>
        <w:ind w:left="992" w:right="6"/>
        <w:jc w:val="both"/>
        <w:rPr>
          <w:rFonts w:ascii="Rockwell" w:hAnsi="Rockwell" w:cs="Arial"/>
          <w:b/>
          <w:bCs/>
          <w:color w:val="003366"/>
          <w:sz w:val="28"/>
          <w:szCs w:val="28"/>
        </w:rPr>
      </w:pPr>
      <w:r w:rsidRPr="0039284E">
        <w:rPr>
          <w:rFonts w:ascii="Rockwell" w:hAnsi="Rockwell" w:cs="Arial"/>
          <w:b/>
          <w:bCs/>
          <w:color w:val="003366"/>
          <w:sz w:val="28"/>
          <w:szCs w:val="28"/>
        </w:rPr>
        <w:lastRenderedPageBreak/>
        <w:t>Analyse de la période sous revue depuis le début de l'année (exercice 2013)</w:t>
      </w:r>
    </w:p>
    <w:p w:rsidR="0039284E" w:rsidRDefault="00EB3BE3" w:rsidP="00EB3BE3">
      <w:pPr>
        <w:autoSpaceDE w:val="0"/>
        <w:autoSpaceDN w:val="0"/>
        <w:adjustRightInd w:val="0"/>
        <w:spacing w:after="120" w:line="240" w:lineRule="auto"/>
        <w:ind w:left="992" w:right="6"/>
        <w:jc w:val="both"/>
        <w:rPr>
          <w:rFonts w:cs="Arial"/>
          <w:b/>
          <w:bCs/>
          <w:color w:val="003768"/>
          <w:sz w:val="20"/>
          <w:szCs w:val="20"/>
          <w:lang w:val="fr-FR"/>
        </w:rPr>
      </w:pPr>
      <w:r w:rsidRPr="00EB3BE3">
        <w:rPr>
          <w:rFonts w:cs="Arial"/>
          <w:b/>
          <w:bCs/>
          <w:color w:val="003768"/>
          <w:sz w:val="20"/>
          <w:szCs w:val="20"/>
          <w:lang w:val="fr-FR"/>
        </w:rPr>
        <w:t xml:space="preserve">Le résultat net pour 2013 s’élève à 1 015 millions d’euros, contre 612 millions pour l'exercice précédent. Sans les activités </w:t>
      </w:r>
      <w:proofErr w:type="spellStart"/>
      <w:r w:rsidRPr="00EB3BE3">
        <w:rPr>
          <w:rFonts w:cs="Arial"/>
          <w:b/>
          <w:bCs/>
          <w:color w:val="003768"/>
          <w:sz w:val="20"/>
          <w:szCs w:val="20"/>
          <w:lang w:val="fr-FR"/>
        </w:rPr>
        <w:t>legacy</w:t>
      </w:r>
      <w:proofErr w:type="spellEnd"/>
      <w:r w:rsidRPr="00EB3BE3">
        <w:rPr>
          <w:rFonts w:cs="Arial"/>
          <w:b/>
          <w:bCs/>
          <w:color w:val="003768"/>
          <w:sz w:val="20"/>
          <w:szCs w:val="20"/>
          <w:lang w:val="fr-FR"/>
        </w:rPr>
        <w:t xml:space="preserve"> et l’incidence des risques de crédit propres, le résultat net ajusté ressort à 960 millions d’euros, contre 1 496 millions pour 2012.</w:t>
      </w:r>
    </w:p>
    <w:p w:rsidR="00EB3BE3" w:rsidRDefault="00EB3BE3" w:rsidP="00EB3BE3">
      <w:pPr>
        <w:autoSpaceDE w:val="0"/>
        <w:autoSpaceDN w:val="0"/>
        <w:adjustRightInd w:val="0"/>
        <w:spacing w:after="120" w:line="240" w:lineRule="auto"/>
        <w:ind w:left="992" w:right="6"/>
        <w:jc w:val="both"/>
        <w:rPr>
          <w:rFonts w:cs="Arial"/>
          <w:b/>
          <w:bCs/>
          <w:color w:val="003768"/>
          <w:sz w:val="20"/>
          <w:szCs w:val="20"/>
          <w:lang w:val="fr-FR"/>
        </w:rPr>
      </w:pPr>
      <w:r w:rsidRPr="00EB3BE3">
        <w:rPr>
          <w:rFonts w:cs="Arial"/>
          <w:b/>
          <w:bCs/>
          <w:color w:val="003768"/>
          <w:sz w:val="20"/>
          <w:szCs w:val="20"/>
          <w:lang w:val="fr-FR"/>
        </w:rPr>
        <w:t>Revenu total (résultat net ajusté)</w:t>
      </w:r>
    </w:p>
    <w:p w:rsidR="00EB3BE3" w:rsidRPr="00EB3BE3" w:rsidRDefault="00EB3BE3" w:rsidP="00EB3BE3">
      <w:pPr>
        <w:pStyle w:val="ListParagraph"/>
        <w:numPr>
          <w:ilvl w:val="0"/>
          <w:numId w:val="7"/>
        </w:numPr>
        <w:autoSpaceDE w:val="0"/>
        <w:autoSpaceDN w:val="0"/>
        <w:adjustRightInd w:val="0"/>
        <w:spacing w:after="60" w:line="240" w:lineRule="auto"/>
        <w:ind w:left="1706" w:right="6" w:hanging="357"/>
        <w:contextualSpacing w:val="0"/>
        <w:jc w:val="both"/>
        <w:rPr>
          <w:rFonts w:cs="Arial"/>
          <w:bCs/>
          <w:color w:val="003768"/>
          <w:sz w:val="20"/>
          <w:szCs w:val="20"/>
          <w:lang w:val="fr-FR"/>
        </w:rPr>
      </w:pPr>
      <w:r w:rsidRPr="00EB3BE3">
        <w:rPr>
          <w:rFonts w:cs="Arial"/>
          <w:bCs/>
          <w:color w:val="003768"/>
          <w:sz w:val="20"/>
          <w:szCs w:val="20"/>
          <w:lang w:val="fr-FR"/>
        </w:rPr>
        <w:t xml:space="preserve">La performance en rythme annuel est conditionnée en partie par la déconsolidation de </w:t>
      </w:r>
      <w:proofErr w:type="spellStart"/>
      <w:r w:rsidRPr="00EB3BE3">
        <w:rPr>
          <w:rFonts w:cs="Arial"/>
          <w:bCs/>
          <w:color w:val="003768"/>
          <w:sz w:val="20"/>
          <w:szCs w:val="20"/>
          <w:lang w:val="fr-FR"/>
        </w:rPr>
        <w:t>Kredyt</w:t>
      </w:r>
      <w:proofErr w:type="spellEnd"/>
      <w:r w:rsidRPr="00EB3BE3">
        <w:rPr>
          <w:rFonts w:cs="Arial"/>
          <w:bCs/>
          <w:color w:val="003768"/>
          <w:sz w:val="20"/>
          <w:szCs w:val="20"/>
          <w:lang w:val="fr-FR"/>
        </w:rPr>
        <w:t xml:space="preserve"> Bank, WARTA, </w:t>
      </w:r>
      <w:proofErr w:type="spellStart"/>
      <w:r w:rsidRPr="00EB3BE3">
        <w:rPr>
          <w:rFonts w:cs="Arial"/>
          <w:bCs/>
          <w:color w:val="003768"/>
          <w:sz w:val="20"/>
          <w:szCs w:val="20"/>
          <w:lang w:val="fr-FR"/>
        </w:rPr>
        <w:t>Żagiel</w:t>
      </w:r>
      <w:proofErr w:type="spellEnd"/>
      <w:r w:rsidRPr="00EB3BE3">
        <w:rPr>
          <w:rFonts w:cs="Arial"/>
          <w:bCs/>
          <w:color w:val="003768"/>
          <w:sz w:val="20"/>
          <w:szCs w:val="20"/>
          <w:lang w:val="fr-FR"/>
        </w:rPr>
        <w:t xml:space="preserve">, Nova </w:t>
      </w:r>
      <w:proofErr w:type="spellStart"/>
      <w:r w:rsidRPr="00EB3BE3">
        <w:rPr>
          <w:rFonts w:cs="Arial"/>
          <w:bCs/>
          <w:color w:val="003768"/>
          <w:sz w:val="20"/>
          <w:szCs w:val="20"/>
          <w:lang w:val="fr-FR"/>
        </w:rPr>
        <w:t>Ljubljanska</w:t>
      </w:r>
      <w:proofErr w:type="spellEnd"/>
      <w:r w:rsidRPr="00EB3BE3">
        <w:rPr>
          <w:rFonts w:cs="Arial"/>
          <w:bCs/>
          <w:color w:val="003768"/>
          <w:sz w:val="20"/>
          <w:szCs w:val="20"/>
          <w:lang w:val="fr-FR"/>
        </w:rPr>
        <w:t xml:space="preserve"> </w:t>
      </w:r>
      <w:proofErr w:type="spellStart"/>
      <w:r w:rsidRPr="00EB3BE3">
        <w:rPr>
          <w:rFonts w:cs="Arial"/>
          <w:bCs/>
          <w:color w:val="003768"/>
          <w:sz w:val="20"/>
          <w:szCs w:val="20"/>
          <w:lang w:val="fr-FR"/>
        </w:rPr>
        <w:t>banka</w:t>
      </w:r>
      <w:proofErr w:type="spellEnd"/>
      <w:r w:rsidRPr="00EB3BE3">
        <w:rPr>
          <w:rFonts w:cs="Arial"/>
          <w:bCs/>
          <w:color w:val="003768"/>
          <w:sz w:val="20"/>
          <w:szCs w:val="20"/>
          <w:lang w:val="fr-FR"/>
        </w:rPr>
        <w:t xml:space="preserve">, </w:t>
      </w:r>
      <w:proofErr w:type="spellStart"/>
      <w:r w:rsidRPr="00EB3BE3">
        <w:rPr>
          <w:rFonts w:cs="Arial"/>
          <w:bCs/>
          <w:color w:val="003768"/>
          <w:sz w:val="20"/>
          <w:szCs w:val="20"/>
          <w:lang w:val="fr-FR"/>
        </w:rPr>
        <w:t>Absolut</w:t>
      </w:r>
      <w:proofErr w:type="spellEnd"/>
      <w:r w:rsidRPr="00EB3BE3">
        <w:rPr>
          <w:rFonts w:cs="Arial"/>
          <w:bCs/>
          <w:color w:val="003768"/>
          <w:sz w:val="20"/>
          <w:szCs w:val="20"/>
          <w:lang w:val="fr-FR"/>
        </w:rPr>
        <w:t xml:space="preserve"> Bank et par certaines autres cessions. Afin de permettre la comparaison, ces éléments ne seront pas pris en considération (voir « sur une base comparable »).</w:t>
      </w:r>
    </w:p>
    <w:p w:rsidR="00EB3BE3" w:rsidRPr="00EB3BE3" w:rsidRDefault="00EB3BE3" w:rsidP="00EB3BE3">
      <w:pPr>
        <w:pStyle w:val="ListParagraph"/>
        <w:numPr>
          <w:ilvl w:val="0"/>
          <w:numId w:val="7"/>
        </w:numPr>
        <w:autoSpaceDE w:val="0"/>
        <w:autoSpaceDN w:val="0"/>
        <w:adjustRightInd w:val="0"/>
        <w:spacing w:after="60" w:line="240" w:lineRule="auto"/>
        <w:ind w:left="1706" w:right="6" w:hanging="357"/>
        <w:contextualSpacing w:val="0"/>
        <w:jc w:val="both"/>
        <w:rPr>
          <w:rFonts w:cs="Arial"/>
          <w:bCs/>
          <w:color w:val="003768"/>
          <w:sz w:val="20"/>
          <w:szCs w:val="20"/>
          <w:lang w:val="fr-FR"/>
        </w:rPr>
      </w:pPr>
      <w:r w:rsidRPr="00EB3BE3">
        <w:rPr>
          <w:rFonts w:cs="Arial"/>
          <w:bCs/>
          <w:color w:val="003768"/>
          <w:sz w:val="20"/>
          <w:szCs w:val="20"/>
          <w:lang w:val="fr-FR"/>
        </w:rPr>
        <w:t>Les revenus nets d'intérêts s'inscrivent à 4 044 millions d'euros, en recul de 11% en rythme annuel. Sur une base comparable, ils diminuent de 4% en base annuelle, en raison principalement de la baisse des revenus d'intérêts générés par KBC Assurances (rendements de réinvestissement moins élevés), tandis que les marges commerciales de la banque restent satisfaisantes. La marge nette d'intérêts s'élève à 1,75% pour l'ensemble de l'exercice, soit le même niveau que l'année précédente. Dans la division Belgique, les volumes de dépôts augmentent de 2%, tandis que les volumes de crédits diminuent de 2% en base annuelle, en raison principalement de la contraction délibérée du portefeuille de crédits dans les succursales étrangères et du remboursement des prêts aux actionnaires. Le portefeuille de crédits en République tchèque progresse de 6% en rythme annuel, tandis que les dépôts augmentent de 4% d’une année à l’autre. Le portefeuille de crédits de la division Marchés internationaux se contracte de 7% en rythme annuel (sous l'effet de la situation en Irlande et en Hongrie), tandis que les dépôts bondissent de 9% en rythme annuel (tirés par l’Irlande, la Hongrie et la Slovaquie).</w:t>
      </w:r>
    </w:p>
    <w:p w:rsidR="00EB3BE3" w:rsidRPr="00EB3BE3" w:rsidRDefault="00EB3BE3" w:rsidP="00EB3BE3">
      <w:pPr>
        <w:pStyle w:val="ListParagraph"/>
        <w:numPr>
          <w:ilvl w:val="0"/>
          <w:numId w:val="7"/>
        </w:numPr>
        <w:autoSpaceDE w:val="0"/>
        <w:autoSpaceDN w:val="0"/>
        <w:adjustRightInd w:val="0"/>
        <w:spacing w:after="60" w:line="240" w:lineRule="auto"/>
        <w:ind w:left="1706" w:right="6" w:hanging="357"/>
        <w:contextualSpacing w:val="0"/>
        <w:jc w:val="both"/>
        <w:rPr>
          <w:rFonts w:cs="Arial"/>
          <w:bCs/>
          <w:color w:val="003768"/>
          <w:sz w:val="20"/>
          <w:szCs w:val="20"/>
          <w:lang w:val="fr-FR"/>
        </w:rPr>
      </w:pPr>
      <w:r w:rsidRPr="00EB3BE3">
        <w:rPr>
          <w:rFonts w:cs="Arial"/>
          <w:bCs/>
          <w:color w:val="003768"/>
          <w:sz w:val="20"/>
          <w:szCs w:val="20"/>
          <w:lang w:val="fr-FR"/>
        </w:rPr>
        <w:t>Les activités d'assurance vie et non-vie ont dégagé les résultats suivants en 2013. Les primes brutes acquises moins les charges techniques brutes et le résultat de la réassurance cédée se sont établies à 289 millions d'euros, en recul de 22% en rythme annuel. Sur une base comparable (abstraction faite de l'impact de la déconsolidation de WARTA), ce résultat s’inscrit toutefois en hausse de 26% par rapport à un an auparavant.</w:t>
      </w:r>
    </w:p>
    <w:p w:rsidR="00EB3BE3" w:rsidRPr="00EB3BE3" w:rsidRDefault="00EB3BE3" w:rsidP="00EB3BE3">
      <w:pPr>
        <w:pStyle w:val="ListParagraph"/>
        <w:numPr>
          <w:ilvl w:val="0"/>
          <w:numId w:val="7"/>
        </w:numPr>
        <w:autoSpaceDE w:val="0"/>
        <w:autoSpaceDN w:val="0"/>
        <w:adjustRightInd w:val="0"/>
        <w:spacing w:after="60" w:line="240" w:lineRule="auto"/>
        <w:ind w:left="1706" w:right="6" w:hanging="357"/>
        <w:contextualSpacing w:val="0"/>
        <w:jc w:val="both"/>
        <w:rPr>
          <w:rFonts w:cs="Arial"/>
          <w:bCs/>
          <w:color w:val="003768"/>
          <w:sz w:val="20"/>
          <w:szCs w:val="20"/>
          <w:lang w:val="fr-FR"/>
        </w:rPr>
      </w:pPr>
      <w:r w:rsidRPr="00EB3BE3">
        <w:rPr>
          <w:rFonts w:cs="Arial"/>
          <w:bCs/>
          <w:color w:val="003768"/>
          <w:sz w:val="20"/>
          <w:szCs w:val="20"/>
          <w:lang w:val="fr-FR"/>
        </w:rPr>
        <w:t xml:space="preserve">Les primes de l'activité non-vie progressent de 3% en rythme annuel (sur une base comparable). Les déclarations de sinistres résultant notamment des inondations en République tchèque et des tempêtes en Belgique ont fait grimper le niveau des charges techniques de 2% par rapport à 2012. Ceci n'empêche toutefois pas d'atteindre un bon ratio combiné de 94% pour l'ensemble de l'exercice. </w:t>
      </w:r>
    </w:p>
    <w:p w:rsidR="00EB3BE3" w:rsidRPr="00EB3BE3" w:rsidRDefault="00EB3BE3" w:rsidP="00EB3BE3">
      <w:pPr>
        <w:pStyle w:val="ListParagraph"/>
        <w:numPr>
          <w:ilvl w:val="0"/>
          <w:numId w:val="7"/>
        </w:numPr>
        <w:autoSpaceDE w:val="0"/>
        <w:autoSpaceDN w:val="0"/>
        <w:adjustRightInd w:val="0"/>
        <w:spacing w:after="60" w:line="240" w:lineRule="auto"/>
        <w:ind w:left="1706" w:right="6" w:hanging="357"/>
        <w:contextualSpacing w:val="0"/>
        <w:jc w:val="both"/>
        <w:rPr>
          <w:rFonts w:cs="Arial"/>
          <w:bCs/>
          <w:color w:val="003768"/>
          <w:sz w:val="20"/>
          <w:szCs w:val="20"/>
          <w:lang w:val="fr-FR"/>
        </w:rPr>
      </w:pPr>
      <w:r w:rsidRPr="00EB3BE3">
        <w:rPr>
          <w:rFonts w:cs="Arial"/>
          <w:bCs/>
          <w:color w:val="003768"/>
          <w:sz w:val="20"/>
          <w:szCs w:val="20"/>
          <w:lang w:val="fr-FR"/>
        </w:rPr>
        <w:t>Dans la branche vie, on observe une chute de 58% des ventes de produits d'assurance vie (y compris les produits branche 23 non inclus dans les recettes de primes) par rapport à 2012, en raison notamment d’une modification du traitement fiscal des contrats d'assurance vie branche 23 en Belgique depuis début 2013, d'un climat de faibles taux d'intérêt et d’un glissement vers les fonds communs de placement, et d’autres facteurs.</w:t>
      </w:r>
    </w:p>
    <w:p w:rsidR="00EB3BE3" w:rsidRPr="00EB3BE3" w:rsidRDefault="00EB3BE3" w:rsidP="00EB3BE3">
      <w:pPr>
        <w:pStyle w:val="ListParagraph"/>
        <w:numPr>
          <w:ilvl w:val="0"/>
          <w:numId w:val="7"/>
        </w:numPr>
        <w:autoSpaceDE w:val="0"/>
        <w:autoSpaceDN w:val="0"/>
        <w:adjustRightInd w:val="0"/>
        <w:spacing w:after="60" w:line="240" w:lineRule="auto"/>
        <w:ind w:left="1706" w:right="6" w:hanging="357"/>
        <w:contextualSpacing w:val="0"/>
        <w:jc w:val="both"/>
        <w:rPr>
          <w:rFonts w:cs="Arial"/>
          <w:bCs/>
          <w:color w:val="003768"/>
          <w:sz w:val="20"/>
          <w:szCs w:val="20"/>
          <w:lang w:val="fr-FR"/>
        </w:rPr>
      </w:pPr>
      <w:r w:rsidRPr="00EB3BE3">
        <w:rPr>
          <w:rFonts w:cs="Arial"/>
          <w:bCs/>
          <w:color w:val="003768"/>
          <w:sz w:val="20"/>
          <w:szCs w:val="20"/>
          <w:lang w:val="fr-FR"/>
        </w:rPr>
        <w:t xml:space="preserve">On notera que les résultats du pôle assurance sont par ailleurs conditionnés par la baisse du revenu des investissements, en particulier des revenus nets d’intérêts, mais aussi par une maîtrise rigoureuse des frais administratifs généraux. </w:t>
      </w:r>
    </w:p>
    <w:p w:rsidR="00EB3BE3" w:rsidRPr="00EB3BE3" w:rsidRDefault="00EB3BE3" w:rsidP="00EB3BE3">
      <w:pPr>
        <w:pStyle w:val="ListParagraph"/>
        <w:numPr>
          <w:ilvl w:val="0"/>
          <w:numId w:val="7"/>
        </w:numPr>
        <w:autoSpaceDE w:val="0"/>
        <w:autoSpaceDN w:val="0"/>
        <w:adjustRightInd w:val="0"/>
        <w:spacing w:after="60" w:line="240" w:lineRule="auto"/>
        <w:ind w:left="1706" w:right="6" w:hanging="357"/>
        <w:contextualSpacing w:val="0"/>
        <w:jc w:val="both"/>
        <w:rPr>
          <w:rFonts w:cs="Arial"/>
          <w:bCs/>
          <w:color w:val="003768"/>
          <w:sz w:val="20"/>
          <w:szCs w:val="20"/>
          <w:lang w:val="fr-FR"/>
        </w:rPr>
      </w:pPr>
      <w:r w:rsidRPr="00EB3BE3">
        <w:rPr>
          <w:rFonts w:cs="Arial"/>
          <w:bCs/>
          <w:color w:val="003768"/>
          <w:sz w:val="20"/>
          <w:szCs w:val="20"/>
          <w:lang w:val="fr-FR"/>
        </w:rPr>
        <w:t xml:space="preserve">Le résultat net des instruments financiers à la juste valeur s'inscrit à 779 millions d'euros en 2013, contre 789 millions d'euros en 2012 ou 706 millions d'euros en base comparable. Ce résultat est normalement tiré par les revenus générés par la salle des marchés. En 2013, ce chiffre a toutefois été influencé en premier lieu par le résultat positif de 280 millions d'euros sur les valorisations </w:t>
      </w:r>
      <w:proofErr w:type="spellStart"/>
      <w:r w:rsidRPr="00EB3BE3">
        <w:rPr>
          <w:rFonts w:cs="Arial"/>
          <w:bCs/>
          <w:color w:val="003768"/>
          <w:sz w:val="20"/>
          <w:szCs w:val="20"/>
          <w:lang w:val="fr-FR"/>
        </w:rPr>
        <w:t>marked</w:t>
      </w:r>
      <w:proofErr w:type="spellEnd"/>
      <w:r w:rsidRPr="00EB3BE3">
        <w:rPr>
          <w:rFonts w:cs="Arial"/>
          <w:bCs/>
          <w:color w:val="003768"/>
          <w:sz w:val="20"/>
          <w:szCs w:val="20"/>
          <w:lang w:val="fr-FR"/>
        </w:rPr>
        <w:t>-to-</w:t>
      </w:r>
      <w:proofErr w:type="spellStart"/>
      <w:r w:rsidRPr="00EB3BE3">
        <w:rPr>
          <w:rFonts w:cs="Arial"/>
          <w:bCs/>
          <w:color w:val="003768"/>
          <w:sz w:val="20"/>
          <w:szCs w:val="20"/>
          <w:lang w:val="fr-FR"/>
        </w:rPr>
        <w:t>market</w:t>
      </w:r>
      <w:proofErr w:type="spellEnd"/>
      <w:r w:rsidRPr="00EB3BE3">
        <w:rPr>
          <w:rFonts w:cs="Arial"/>
          <w:bCs/>
          <w:color w:val="003768"/>
          <w:sz w:val="20"/>
          <w:szCs w:val="20"/>
          <w:lang w:val="fr-FR"/>
        </w:rPr>
        <w:t xml:space="preserve"> relatives aux instruments dérivés utilisés dans la gestion de l'actif et du passif, qui a largement compensé la baisse des revenus de la salle des marchés et des ajustements de valeur.</w:t>
      </w:r>
    </w:p>
    <w:p w:rsidR="00EB3BE3" w:rsidRPr="00EB3BE3" w:rsidRDefault="00EB3BE3" w:rsidP="00EB3BE3">
      <w:pPr>
        <w:pStyle w:val="ListParagraph"/>
        <w:numPr>
          <w:ilvl w:val="0"/>
          <w:numId w:val="7"/>
        </w:numPr>
        <w:autoSpaceDE w:val="0"/>
        <w:autoSpaceDN w:val="0"/>
        <w:adjustRightInd w:val="0"/>
        <w:spacing w:after="60" w:line="240" w:lineRule="auto"/>
        <w:ind w:left="1706" w:right="6" w:hanging="357"/>
        <w:contextualSpacing w:val="0"/>
        <w:jc w:val="both"/>
        <w:rPr>
          <w:rFonts w:cs="Arial"/>
          <w:bCs/>
          <w:color w:val="003768"/>
          <w:sz w:val="20"/>
          <w:szCs w:val="20"/>
          <w:lang w:val="fr-FR"/>
        </w:rPr>
      </w:pPr>
      <w:r w:rsidRPr="00EB3BE3">
        <w:rPr>
          <w:rFonts w:cs="Arial"/>
          <w:bCs/>
          <w:color w:val="003768"/>
          <w:sz w:val="20"/>
          <w:szCs w:val="20"/>
          <w:lang w:val="fr-FR"/>
        </w:rPr>
        <w:t>Les plus-values nettes réalisées sur des actifs disponibles à la vente s'inscrivent à 213 millions d'euros pour l'exercice sous revue, contre 180 millions d'euros pour 2012, ou 158 millions d'euros sur une base comparable. Les plus-values ont été réalisées sur la vente d'obligations et d'actions. Notons qu'au premier trimestre, des gains importants ont été engrangés sur la cession d'emprunts d'État belges.</w:t>
      </w:r>
    </w:p>
    <w:p w:rsidR="00EB3BE3" w:rsidRPr="00EB3BE3" w:rsidRDefault="00EB3BE3" w:rsidP="00EB3BE3">
      <w:pPr>
        <w:pStyle w:val="ListParagraph"/>
        <w:numPr>
          <w:ilvl w:val="0"/>
          <w:numId w:val="7"/>
        </w:numPr>
        <w:autoSpaceDE w:val="0"/>
        <w:autoSpaceDN w:val="0"/>
        <w:adjustRightInd w:val="0"/>
        <w:spacing w:after="60" w:line="240" w:lineRule="auto"/>
        <w:ind w:left="1706" w:right="6" w:hanging="357"/>
        <w:contextualSpacing w:val="0"/>
        <w:jc w:val="both"/>
        <w:rPr>
          <w:rFonts w:cs="Arial"/>
          <w:bCs/>
          <w:color w:val="003768"/>
          <w:sz w:val="20"/>
          <w:szCs w:val="20"/>
          <w:lang w:val="fr-FR"/>
        </w:rPr>
      </w:pPr>
      <w:r w:rsidRPr="00EB3BE3">
        <w:rPr>
          <w:rFonts w:cs="Arial"/>
          <w:bCs/>
          <w:color w:val="003768"/>
          <w:sz w:val="20"/>
          <w:szCs w:val="20"/>
          <w:lang w:val="fr-FR"/>
        </w:rPr>
        <w:t>Les revenus nets de commissions s'établissent à 1 487 millions d'euros, en hausse de 12% en rythme annuel. Sur une base comparable, les revenus de commissions s’inscrivent en hausse de 15% en rythme annuel. Les principaux moteurs de cette hausse en rythme annuel sont les frais d'entrée et de gestion sur les fonds d'investissement, ainsi que l'amélioration des revenus de commissions en Hongrie. Les actifs sous gestion atteignent 163 milliards d'euros, en hausse de 5% depuis fin 2012 (1% étant à mettre au compte des ventes nettes et 4% au compte des effets de prix).</w:t>
      </w:r>
    </w:p>
    <w:p w:rsidR="00EB3BE3" w:rsidRPr="00EB3BE3" w:rsidRDefault="00EB3BE3" w:rsidP="00EB3BE3">
      <w:pPr>
        <w:pStyle w:val="ListParagraph"/>
        <w:numPr>
          <w:ilvl w:val="0"/>
          <w:numId w:val="7"/>
        </w:numPr>
        <w:autoSpaceDE w:val="0"/>
        <w:autoSpaceDN w:val="0"/>
        <w:adjustRightInd w:val="0"/>
        <w:spacing w:after="120" w:line="240" w:lineRule="auto"/>
        <w:ind w:left="1706" w:right="6" w:hanging="357"/>
        <w:contextualSpacing w:val="0"/>
        <w:jc w:val="both"/>
        <w:rPr>
          <w:rFonts w:cs="Arial"/>
          <w:bCs/>
          <w:color w:val="003768"/>
          <w:sz w:val="20"/>
          <w:szCs w:val="20"/>
          <w:lang w:val="fr-FR"/>
        </w:rPr>
      </w:pPr>
      <w:r w:rsidRPr="00EB3BE3">
        <w:rPr>
          <w:rFonts w:cs="Arial"/>
          <w:bCs/>
          <w:color w:val="003768"/>
          <w:sz w:val="20"/>
          <w:szCs w:val="20"/>
          <w:lang w:val="fr-FR"/>
        </w:rPr>
        <w:t>Du fait d’un certain nombre d’éléments exceptionnels, les autres revenus nets s’élèvent à 343 millions d’euros, contre 252 millions en 2012 (ou 193 millions d'euros sur une base comparable).</w:t>
      </w:r>
    </w:p>
    <w:p w:rsidR="00EB3BE3" w:rsidRDefault="00EB3BE3" w:rsidP="00EB3BE3">
      <w:pPr>
        <w:autoSpaceDE w:val="0"/>
        <w:autoSpaceDN w:val="0"/>
        <w:adjustRightInd w:val="0"/>
        <w:spacing w:after="120" w:line="240" w:lineRule="auto"/>
        <w:ind w:left="992" w:right="6"/>
        <w:jc w:val="both"/>
        <w:rPr>
          <w:rFonts w:cs="Arial"/>
          <w:bCs/>
          <w:color w:val="003768"/>
          <w:sz w:val="20"/>
          <w:szCs w:val="20"/>
          <w:lang w:val="fr-FR"/>
        </w:rPr>
      </w:pPr>
    </w:p>
    <w:p w:rsidR="00EB3BE3" w:rsidRPr="00EB3BE3" w:rsidRDefault="00EB3BE3" w:rsidP="00EB3BE3">
      <w:pPr>
        <w:autoSpaceDE w:val="0"/>
        <w:autoSpaceDN w:val="0"/>
        <w:adjustRightInd w:val="0"/>
        <w:spacing w:after="120" w:line="240" w:lineRule="auto"/>
        <w:ind w:left="992" w:right="6"/>
        <w:jc w:val="both"/>
        <w:rPr>
          <w:rFonts w:cs="Arial"/>
          <w:b/>
          <w:bCs/>
          <w:color w:val="003768"/>
          <w:sz w:val="20"/>
          <w:szCs w:val="20"/>
          <w:lang w:val="fr-FR"/>
        </w:rPr>
      </w:pPr>
      <w:r w:rsidRPr="00EB3BE3">
        <w:rPr>
          <w:rFonts w:cs="Arial"/>
          <w:b/>
          <w:bCs/>
          <w:color w:val="003768"/>
          <w:sz w:val="20"/>
          <w:szCs w:val="20"/>
          <w:lang w:val="fr-FR"/>
        </w:rPr>
        <w:lastRenderedPageBreak/>
        <w:t>Charges d'exploitation (résultat net ajusté)</w:t>
      </w:r>
    </w:p>
    <w:p w:rsidR="00EB3BE3" w:rsidRPr="00EB3BE3" w:rsidRDefault="00EB3BE3" w:rsidP="00EB3BE3">
      <w:pPr>
        <w:pStyle w:val="ListParagraph"/>
        <w:numPr>
          <w:ilvl w:val="0"/>
          <w:numId w:val="8"/>
        </w:numPr>
        <w:autoSpaceDE w:val="0"/>
        <w:autoSpaceDN w:val="0"/>
        <w:adjustRightInd w:val="0"/>
        <w:spacing w:after="120" w:line="240" w:lineRule="auto"/>
        <w:ind w:left="1706" w:right="6" w:hanging="357"/>
        <w:contextualSpacing w:val="0"/>
        <w:jc w:val="both"/>
        <w:rPr>
          <w:rFonts w:cs="Arial"/>
          <w:bCs/>
          <w:color w:val="003768"/>
          <w:sz w:val="20"/>
          <w:szCs w:val="20"/>
          <w:lang w:val="fr-FR"/>
        </w:rPr>
      </w:pPr>
      <w:r w:rsidRPr="00EB3BE3">
        <w:rPr>
          <w:rFonts w:cs="Arial"/>
          <w:bCs/>
          <w:color w:val="003768"/>
          <w:sz w:val="20"/>
          <w:szCs w:val="20"/>
          <w:lang w:val="fr-FR"/>
        </w:rPr>
        <w:t xml:space="preserve">Les charges d’exploitation ressortent à 3 826 millions d’euros en 2013, en baisse de 9% par rapport à un an auparavant. Sur une base comparable, les charges augmentent de 2%, par suite notamment du nouveau prélèvement sur les transactions financières en Hongrie, de l'augmentation des dépenses de retraite, de l'accroissement des charges ICT et de la hausse des charges chez KBC Ireland. Le ratio charges/produits depuis le début de l'année s'inscrit à 52%, signe manifeste que les coûts restent bien maîtrisés. Ce ratio a toutefois été influencé positivement par le niveau élevé des valorisations </w:t>
      </w:r>
      <w:proofErr w:type="spellStart"/>
      <w:r w:rsidRPr="00EB3BE3">
        <w:rPr>
          <w:rFonts w:cs="Arial"/>
          <w:bCs/>
          <w:color w:val="003768"/>
          <w:sz w:val="20"/>
          <w:szCs w:val="20"/>
          <w:lang w:val="fr-FR"/>
        </w:rPr>
        <w:t>marked</w:t>
      </w:r>
      <w:proofErr w:type="spellEnd"/>
      <w:r w:rsidRPr="00EB3BE3">
        <w:rPr>
          <w:rFonts w:cs="Arial"/>
          <w:bCs/>
          <w:color w:val="003768"/>
          <w:sz w:val="20"/>
          <w:szCs w:val="20"/>
          <w:lang w:val="fr-FR"/>
        </w:rPr>
        <w:t>-to-</w:t>
      </w:r>
      <w:proofErr w:type="spellStart"/>
      <w:r w:rsidRPr="00EB3BE3">
        <w:rPr>
          <w:rFonts w:cs="Arial"/>
          <w:bCs/>
          <w:color w:val="003768"/>
          <w:sz w:val="20"/>
          <w:szCs w:val="20"/>
          <w:lang w:val="fr-FR"/>
        </w:rPr>
        <w:t>market</w:t>
      </w:r>
      <w:proofErr w:type="spellEnd"/>
      <w:r w:rsidRPr="00EB3BE3">
        <w:rPr>
          <w:rFonts w:cs="Arial"/>
          <w:bCs/>
          <w:color w:val="003768"/>
          <w:sz w:val="20"/>
          <w:szCs w:val="20"/>
          <w:lang w:val="fr-FR"/>
        </w:rPr>
        <w:t xml:space="preserve"> relatives aux instruments dérivés utilisés dans la gestion de l'actif et du passif, par les plus-values nettes réalisées sur les actifs disponibles à la vente et par un niveau élevé d’autres revenus. En faisant abstraction de ces composantes spécifiques des revenus, le ratio charges/produits s'inscrit à 54%.</w:t>
      </w:r>
    </w:p>
    <w:p w:rsidR="00EB3BE3" w:rsidRPr="00EB3BE3" w:rsidRDefault="00EB3BE3" w:rsidP="00EB3BE3">
      <w:pPr>
        <w:autoSpaceDE w:val="0"/>
        <w:autoSpaceDN w:val="0"/>
        <w:adjustRightInd w:val="0"/>
        <w:spacing w:after="120" w:line="240" w:lineRule="auto"/>
        <w:ind w:left="992" w:right="6"/>
        <w:jc w:val="both"/>
        <w:rPr>
          <w:rFonts w:cs="Arial"/>
          <w:b/>
          <w:bCs/>
          <w:color w:val="003768"/>
          <w:sz w:val="20"/>
          <w:szCs w:val="20"/>
          <w:lang w:val="fr-FR"/>
        </w:rPr>
      </w:pPr>
      <w:r w:rsidRPr="00EB3BE3">
        <w:rPr>
          <w:rFonts w:cs="Arial"/>
          <w:b/>
          <w:bCs/>
          <w:color w:val="003768"/>
          <w:sz w:val="20"/>
          <w:szCs w:val="20"/>
          <w:lang w:val="fr-FR"/>
        </w:rPr>
        <w:t>Réductions de valeur (résultat net ajusté)</w:t>
      </w:r>
    </w:p>
    <w:p w:rsidR="00EB3BE3" w:rsidRPr="00EB3BE3" w:rsidRDefault="00EB3BE3" w:rsidP="00EB3BE3">
      <w:pPr>
        <w:pStyle w:val="ListParagraph"/>
        <w:numPr>
          <w:ilvl w:val="0"/>
          <w:numId w:val="8"/>
        </w:numPr>
        <w:autoSpaceDE w:val="0"/>
        <w:autoSpaceDN w:val="0"/>
        <w:adjustRightInd w:val="0"/>
        <w:spacing w:after="60" w:line="240" w:lineRule="auto"/>
        <w:ind w:left="1706" w:right="6" w:hanging="357"/>
        <w:contextualSpacing w:val="0"/>
        <w:jc w:val="both"/>
        <w:rPr>
          <w:rFonts w:cs="Arial"/>
          <w:bCs/>
          <w:color w:val="003768"/>
          <w:sz w:val="20"/>
          <w:szCs w:val="20"/>
          <w:lang w:val="fr-FR"/>
        </w:rPr>
      </w:pPr>
      <w:r w:rsidRPr="00EB3BE3">
        <w:rPr>
          <w:rFonts w:cs="Arial"/>
          <w:bCs/>
          <w:color w:val="003768"/>
          <w:sz w:val="20"/>
          <w:szCs w:val="20"/>
          <w:lang w:val="fr-FR"/>
        </w:rPr>
        <w:t xml:space="preserve">Les réductions de valeur pour pertes sur crédits s'élèvent à 1 638 millions d'euros en 2013, en hausse par rapport aux 1 072 millions d'euros enregistrés un an auparavant. Le chiffre de 2013 intègre des réductions de valeur pour pertes sur crédits de 1 059 millions d'euros enregistrées au niveau de KBC Bank Ireland (contre 547 millions d'euros en 2012), ainsi qu'un montant relativement élevé de 328 millions d'euros dans la division Belgique (contre 246 millions en 2012). En termes annualisés, le ratio de pertes sur crédits s'établit à 1,19%. Il se répartit comme suit : 0,37% pour la division Belgique (contre 0,28% pour l'exercice 2012), 0,25% dans la division République tchèque (contre 0,31% pour l'exercice 2012) et 4,48% pour la division Marchés internationaux (en hausse par rapport aux 2,26% de l'exercice 2012). </w:t>
      </w:r>
    </w:p>
    <w:p w:rsidR="00EB3BE3" w:rsidRPr="00EB3BE3" w:rsidRDefault="00EB3BE3" w:rsidP="00EB3BE3">
      <w:pPr>
        <w:pStyle w:val="ListParagraph"/>
        <w:numPr>
          <w:ilvl w:val="0"/>
          <w:numId w:val="8"/>
        </w:numPr>
        <w:autoSpaceDE w:val="0"/>
        <w:autoSpaceDN w:val="0"/>
        <w:adjustRightInd w:val="0"/>
        <w:spacing w:after="120" w:line="240" w:lineRule="auto"/>
        <w:ind w:left="1706" w:right="6" w:hanging="357"/>
        <w:contextualSpacing w:val="0"/>
        <w:jc w:val="both"/>
        <w:rPr>
          <w:rFonts w:cs="Arial"/>
          <w:bCs/>
          <w:color w:val="003768"/>
          <w:sz w:val="20"/>
          <w:szCs w:val="20"/>
          <w:lang w:val="fr-FR"/>
        </w:rPr>
      </w:pPr>
      <w:r w:rsidRPr="00EB3BE3">
        <w:rPr>
          <w:rFonts w:cs="Arial"/>
          <w:bCs/>
          <w:color w:val="003768"/>
          <w:sz w:val="20"/>
          <w:szCs w:val="20"/>
          <w:lang w:val="fr-FR"/>
        </w:rPr>
        <w:t>Pour l'exercice sous revue, les réductions de valeur s'établissent à 20 millions d'euros pour les actifs disponibles à la vente, à 7 millions d'euros pour le goodwill et à 64 millions d'euros pour les autres éléments.</w:t>
      </w:r>
    </w:p>
    <w:p w:rsidR="00EB3BE3" w:rsidRPr="00EB3BE3" w:rsidRDefault="00EB3BE3" w:rsidP="00EB3BE3">
      <w:pPr>
        <w:autoSpaceDE w:val="0"/>
        <w:autoSpaceDN w:val="0"/>
        <w:adjustRightInd w:val="0"/>
        <w:spacing w:after="120" w:line="240" w:lineRule="auto"/>
        <w:ind w:left="992" w:right="6"/>
        <w:jc w:val="both"/>
        <w:rPr>
          <w:rFonts w:cs="Arial"/>
          <w:b/>
          <w:bCs/>
          <w:color w:val="003768"/>
          <w:sz w:val="20"/>
          <w:szCs w:val="20"/>
          <w:lang w:val="fr-FR"/>
        </w:rPr>
      </w:pPr>
      <w:r w:rsidRPr="00EB3BE3">
        <w:rPr>
          <w:rFonts w:cs="Arial"/>
          <w:b/>
          <w:bCs/>
          <w:color w:val="003768"/>
          <w:sz w:val="20"/>
          <w:szCs w:val="20"/>
          <w:lang w:val="fr-FR"/>
        </w:rPr>
        <w:t>Impôt sur le revenu</w:t>
      </w:r>
    </w:p>
    <w:p w:rsidR="00EB3BE3" w:rsidRPr="00EB3BE3" w:rsidRDefault="00EB3BE3" w:rsidP="00EB3BE3">
      <w:pPr>
        <w:pStyle w:val="ListParagraph"/>
        <w:numPr>
          <w:ilvl w:val="0"/>
          <w:numId w:val="9"/>
        </w:numPr>
        <w:autoSpaceDE w:val="0"/>
        <w:autoSpaceDN w:val="0"/>
        <w:adjustRightInd w:val="0"/>
        <w:spacing w:after="120" w:line="240" w:lineRule="auto"/>
        <w:ind w:left="1706" w:right="6" w:hanging="357"/>
        <w:contextualSpacing w:val="0"/>
        <w:jc w:val="both"/>
        <w:rPr>
          <w:rFonts w:cs="Arial"/>
          <w:bCs/>
          <w:color w:val="003768"/>
          <w:sz w:val="20"/>
          <w:szCs w:val="20"/>
          <w:lang w:val="fr-FR"/>
        </w:rPr>
      </w:pPr>
      <w:r w:rsidRPr="00EB3BE3">
        <w:rPr>
          <w:rFonts w:cs="Arial"/>
          <w:bCs/>
          <w:color w:val="003768"/>
          <w:sz w:val="20"/>
          <w:szCs w:val="20"/>
          <w:lang w:val="fr-FR"/>
        </w:rPr>
        <w:t>L'impôt sur le revenu se monte à 668 millions d'euros pour 2013, contre 553 millions d'euros en 2012.</w:t>
      </w:r>
    </w:p>
    <w:p w:rsidR="00EB3BE3" w:rsidRPr="00EB3BE3" w:rsidRDefault="00EB3BE3" w:rsidP="00EB3BE3">
      <w:pPr>
        <w:autoSpaceDE w:val="0"/>
        <w:autoSpaceDN w:val="0"/>
        <w:adjustRightInd w:val="0"/>
        <w:spacing w:after="120" w:line="240" w:lineRule="auto"/>
        <w:ind w:left="992" w:right="6"/>
        <w:jc w:val="both"/>
        <w:rPr>
          <w:rFonts w:cs="Arial"/>
          <w:b/>
          <w:bCs/>
          <w:color w:val="003768"/>
          <w:sz w:val="20"/>
          <w:szCs w:val="20"/>
          <w:lang w:val="fr-FR"/>
        </w:rPr>
      </w:pPr>
      <w:r w:rsidRPr="00EB3BE3">
        <w:rPr>
          <w:rFonts w:cs="Arial"/>
          <w:b/>
          <w:bCs/>
          <w:color w:val="003768"/>
          <w:sz w:val="20"/>
          <w:szCs w:val="20"/>
          <w:lang w:val="fr-FR"/>
        </w:rPr>
        <w:t xml:space="preserve">Incidence des activités </w:t>
      </w:r>
      <w:proofErr w:type="spellStart"/>
      <w:r w:rsidRPr="00EB3BE3">
        <w:rPr>
          <w:rFonts w:cs="Arial"/>
          <w:b/>
          <w:bCs/>
          <w:color w:val="003768"/>
          <w:sz w:val="20"/>
          <w:szCs w:val="20"/>
          <w:lang w:val="fr-FR"/>
        </w:rPr>
        <w:t>legacy</w:t>
      </w:r>
      <w:proofErr w:type="spellEnd"/>
      <w:r w:rsidRPr="00EB3BE3">
        <w:rPr>
          <w:rFonts w:cs="Arial"/>
          <w:b/>
          <w:bCs/>
          <w:color w:val="003768"/>
          <w:sz w:val="20"/>
          <w:szCs w:val="20"/>
          <w:lang w:val="fr-FR"/>
        </w:rPr>
        <w:t xml:space="preserve"> et des risques de crédit propres sur le résultat :</w:t>
      </w:r>
    </w:p>
    <w:p w:rsidR="00EB3BE3" w:rsidRPr="00EB3BE3" w:rsidRDefault="00EB3BE3" w:rsidP="00EB3BE3">
      <w:pPr>
        <w:autoSpaceDE w:val="0"/>
        <w:autoSpaceDN w:val="0"/>
        <w:adjustRightInd w:val="0"/>
        <w:spacing w:after="60" w:line="240" w:lineRule="auto"/>
        <w:ind w:left="992" w:right="6"/>
        <w:jc w:val="both"/>
        <w:rPr>
          <w:rFonts w:cs="Arial"/>
          <w:bCs/>
          <w:color w:val="003768"/>
          <w:sz w:val="20"/>
          <w:szCs w:val="20"/>
          <w:lang w:val="fr-FR"/>
        </w:rPr>
      </w:pPr>
      <w:r w:rsidRPr="00EB3BE3">
        <w:rPr>
          <w:rFonts w:cs="Arial"/>
          <w:bCs/>
          <w:color w:val="003768"/>
          <w:sz w:val="20"/>
          <w:szCs w:val="20"/>
          <w:lang w:val="fr-FR"/>
        </w:rPr>
        <w:t xml:space="preserve">Afin de fournir un aperçu fiable des activités en cours, KBC publie des chiffres ajustés qui ne prennent pas en compte a) l'incidence des activités </w:t>
      </w:r>
      <w:proofErr w:type="spellStart"/>
      <w:r w:rsidRPr="00EB3BE3">
        <w:rPr>
          <w:rFonts w:cs="Arial"/>
          <w:bCs/>
          <w:color w:val="003768"/>
          <w:sz w:val="20"/>
          <w:szCs w:val="20"/>
          <w:lang w:val="fr-FR"/>
        </w:rPr>
        <w:t>legacy</w:t>
      </w:r>
      <w:proofErr w:type="spellEnd"/>
      <w:r w:rsidRPr="00EB3BE3">
        <w:rPr>
          <w:rFonts w:cs="Arial"/>
          <w:bCs/>
          <w:color w:val="003768"/>
          <w:sz w:val="20"/>
          <w:szCs w:val="20"/>
          <w:lang w:val="fr-FR"/>
        </w:rPr>
        <w:t>, c'est-à-dire la valorisation des CDO restantes en portefeuille (y compris les commissions pour le système de garantie y afférent conclu avec l'État belge) et l'impact des désinvestissements, et b) l'incidence de la valorisation de nos propres risques de crédit. Pendant le trimestre sous revue, ces éléments ont eu l'influence suivante :</w:t>
      </w:r>
    </w:p>
    <w:p w:rsidR="00EB3BE3" w:rsidRPr="00EB3BE3" w:rsidRDefault="00EB3BE3" w:rsidP="00EB3BE3">
      <w:pPr>
        <w:pStyle w:val="ListParagraph"/>
        <w:numPr>
          <w:ilvl w:val="0"/>
          <w:numId w:val="9"/>
        </w:numPr>
        <w:autoSpaceDE w:val="0"/>
        <w:autoSpaceDN w:val="0"/>
        <w:adjustRightInd w:val="0"/>
        <w:spacing w:after="60" w:line="240" w:lineRule="auto"/>
        <w:ind w:right="6"/>
        <w:contextualSpacing w:val="0"/>
        <w:jc w:val="both"/>
        <w:rPr>
          <w:rFonts w:cs="Arial"/>
          <w:bCs/>
          <w:color w:val="003768"/>
          <w:sz w:val="20"/>
          <w:szCs w:val="20"/>
          <w:lang w:val="fr-FR"/>
        </w:rPr>
      </w:pPr>
      <w:r w:rsidRPr="00EB3BE3">
        <w:rPr>
          <w:rFonts w:cs="Arial"/>
          <w:bCs/>
          <w:color w:val="003768"/>
          <w:sz w:val="20"/>
          <w:szCs w:val="20"/>
          <w:lang w:val="fr-FR"/>
        </w:rPr>
        <w:t xml:space="preserve">CDO : en 2013, poursuivant la tendance des trimestres précédents, les différentiels de crédit </w:t>
      </w:r>
      <w:proofErr w:type="spellStart"/>
      <w:r w:rsidRPr="00EB3BE3">
        <w:rPr>
          <w:rFonts w:cs="Arial"/>
          <w:bCs/>
          <w:color w:val="003768"/>
          <w:sz w:val="20"/>
          <w:szCs w:val="20"/>
          <w:lang w:val="fr-FR"/>
        </w:rPr>
        <w:t>corporate</w:t>
      </w:r>
      <w:proofErr w:type="spellEnd"/>
      <w:r w:rsidRPr="00EB3BE3">
        <w:rPr>
          <w:rFonts w:cs="Arial"/>
          <w:bCs/>
          <w:color w:val="003768"/>
          <w:sz w:val="20"/>
          <w:szCs w:val="20"/>
          <w:lang w:val="fr-FR"/>
        </w:rPr>
        <w:t xml:space="preserve"> et ABS se sont encore resserrés. Si l'on prend en compte l'impact de la commission pour le système de garantie des CDO convenu avec le gouvernement fédéral belge, ainsi que les coûts de résiliation anticipée ou de liquidation, l’impact positif après impôts s'élève à 446 millions d’euros.</w:t>
      </w:r>
    </w:p>
    <w:p w:rsidR="00EB3BE3" w:rsidRPr="00EB3BE3" w:rsidRDefault="00EB3BE3" w:rsidP="00EB3BE3">
      <w:pPr>
        <w:pStyle w:val="ListParagraph"/>
        <w:numPr>
          <w:ilvl w:val="0"/>
          <w:numId w:val="9"/>
        </w:numPr>
        <w:autoSpaceDE w:val="0"/>
        <w:autoSpaceDN w:val="0"/>
        <w:adjustRightInd w:val="0"/>
        <w:spacing w:after="60" w:line="240" w:lineRule="auto"/>
        <w:ind w:right="6"/>
        <w:contextualSpacing w:val="0"/>
        <w:jc w:val="both"/>
        <w:rPr>
          <w:rFonts w:cs="Arial"/>
          <w:bCs/>
          <w:color w:val="003768"/>
          <w:sz w:val="20"/>
          <w:szCs w:val="20"/>
          <w:lang w:val="fr-FR"/>
        </w:rPr>
      </w:pPr>
      <w:r w:rsidRPr="00EB3BE3">
        <w:rPr>
          <w:rFonts w:cs="Arial"/>
          <w:bCs/>
          <w:color w:val="003768"/>
          <w:sz w:val="20"/>
          <w:szCs w:val="20"/>
          <w:lang w:val="fr-FR"/>
        </w:rPr>
        <w:t xml:space="preserve">Désinvestissements restants : l'impact négatif après impôts atteint 348 millions d'euros au total pour 2013. Il résulte principalement des désinvestissements de KBC Banka, </w:t>
      </w:r>
      <w:proofErr w:type="spellStart"/>
      <w:r w:rsidRPr="00EB3BE3">
        <w:rPr>
          <w:rFonts w:cs="Arial"/>
          <w:bCs/>
          <w:color w:val="003768"/>
          <w:sz w:val="20"/>
          <w:szCs w:val="20"/>
          <w:lang w:val="fr-FR"/>
        </w:rPr>
        <w:t>Absolut</w:t>
      </w:r>
      <w:proofErr w:type="spellEnd"/>
      <w:r w:rsidRPr="00EB3BE3">
        <w:rPr>
          <w:rFonts w:cs="Arial"/>
          <w:bCs/>
          <w:color w:val="003768"/>
          <w:sz w:val="20"/>
          <w:szCs w:val="20"/>
          <w:lang w:val="fr-FR"/>
        </w:rPr>
        <w:t xml:space="preserve"> Bank, Banque Diamantaire Anversoise, Nova </w:t>
      </w:r>
      <w:proofErr w:type="spellStart"/>
      <w:r w:rsidRPr="00EB3BE3">
        <w:rPr>
          <w:rFonts w:cs="Arial"/>
          <w:bCs/>
          <w:color w:val="003768"/>
          <w:sz w:val="20"/>
          <w:szCs w:val="20"/>
          <w:lang w:val="fr-FR"/>
        </w:rPr>
        <w:t>Ljubljanska</w:t>
      </w:r>
      <w:proofErr w:type="spellEnd"/>
      <w:r w:rsidRPr="00EB3BE3">
        <w:rPr>
          <w:rFonts w:cs="Arial"/>
          <w:bCs/>
          <w:color w:val="003768"/>
          <w:sz w:val="20"/>
          <w:szCs w:val="20"/>
          <w:lang w:val="fr-FR"/>
        </w:rPr>
        <w:t xml:space="preserve"> </w:t>
      </w:r>
      <w:proofErr w:type="spellStart"/>
      <w:r w:rsidRPr="00EB3BE3">
        <w:rPr>
          <w:rFonts w:cs="Arial"/>
          <w:bCs/>
          <w:color w:val="003768"/>
          <w:sz w:val="20"/>
          <w:szCs w:val="20"/>
          <w:lang w:val="fr-FR"/>
        </w:rPr>
        <w:t>banka</w:t>
      </w:r>
      <w:proofErr w:type="spellEnd"/>
      <w:r w:rsidRPr="00EB3BE3">
        <w:rPr>
          <w:rFonts w:cs="Arial"/>
          <w:bCs/>
          <w:color w:val="003768"/>
          <w:sz w:val="20"/>
          <w:szCs w:val="20"/>
          <w:lang w:val="fr-FR"/>
        </w:rPr>
        <w:t xml:space="preserve">, Bank </w:t>
      </w:r>
      <w:proofErr w:type="spellStart"/>
      <w:r w:rsidRPr="00EB3BE3">
        <w:rPr>
          <w:rFonts w:cs="Arial"/>
          <w:bCs/>
          <w:color w:val="003768"/>
          <w:sz w:val="20"/>
          <w:szCs w:val="20"/>
          <w:lang w:val="fr-FR"/>
        </w:rPr>
        <w:t>Zachodni</w:t>
      </w:r>
      <w:proofErr w:type="spellEnd"/>
      <w:r w:rsidRPr="00EB3BE3">
        <w:rPr>
          <w:rFonts w:cs="Arial"/>
          <w:bCs/>
          <w:color w:val="003768"/>
          <w:sz w:val="20"/>
          <w:szCs w:val="20"/>
          <w:lang w:val="fr-FR"/>
        </w:rPr>
        <w:t>, ainsi que des coûts liés à la réduction des prêts aux actionnaires.</w:t>
      </w:r>
    </w:p>
    <w:p w:rsidR="00EB3BE3" w:rsidRPr="00EB3BE3" w:rsidRDefault="00EB3BE3" w:rsidP="00EB3BE3">
      <w:pPr>
        <w:pStyle w:val="ListParagraph"/>
        <w:numPr>
          <w:ilvl w:val="0"/>
          <w:numId w:val="9"/>
        </w:numPr>
        <w:autoSpaceDE w:val="0"/>
        <w:autoSpaceDN w:val="0"/>
        <w:adjustRightInd w:val="0"/>
        <w:spacing w:after="120" w:line="240" w:lineRule="auto"/>
        <w:ind w:left="1706" w:right="6" w:hanging="357"/>
        <w:contextualSpacing w:val="0"/>
        <w:jc w:val="both"/>
        <w:rPr>
          <w:rFonts w:cs="Arial"/>
          <w:bCs/>
          <w:color w:val="003768"/>
          <w:sz w:val="20"/>
          <w:szCs w:val="20"/>
          <w:lang w:val="fr-FR"/>
        </w:rPr>
      </w:pPr>
      <w:r w:rsidRPr="00EB3BE3">
        <w:rPr>
          <w:rFonts w:cs="Arial"/>
          <w:bCs/>
          <w:color w:val="003768"/>
          <w:sz w:val="20"/>
          <w:szCs w:val="20"/>
          <w:lang w:val="fr-FR"/>
        </w:rPr>
        <w:t xml:space="preserve">Incidence de la valorisation du risque de crédit propre : le resserrement des différentiels de crédit sur la dette de KBC en 2013 se traduit par un ajustement </w:t>
      </w:r>
      <w:proofErr w:type="spellStart"/>
      <w:r w:rsidRPr="00EB3BE3">
        <w:rPr>
          <w:rFonts w:cs="Arial"/>
          <w:bCs/>
          <w:color w:val="003768"/>
          <w:sz w:val="20"/>
          <w:szCs w:val="20"/>
          <w:lang w:val="fr-FR"/>
        </w:rPr>
        <w:t>marked</w:t>
      </w:r>
      <w:proofErr w:type="spellEnd"/>
      <w:r w:rsidRPr="00EB3BE3">
        <w:rPr>
          <w:rFonts w:cs="Arial"/>
          <w:bCs/>
          <w:color w:val="003768"/>
          <w:sz w:val="20"/>
          <w:szCs w:val="20"/>
          <w:lang w:val="fr-FR"/>
        </w:rPr>
        <w:t>-to-</w:t>
      </w:r>
      <w:proofErr w:type="spellStart"/>
      <w:r w:rsidRPr="00EB3BE3">
        <w:rPr>
          <w:rFonts w:cs="Arial"/>
          <w:bCs/>
          <w:color w:val="003768"/>
          <w:sz w:val="20"/>
          <w:szCs w:val="20"/>
          <w:lang w:val="fr-FR"/>
        </w:rPr>
        <w:t>market</w:t>
      </w:r>
      <w:proofErr w:type="spellEnd"/>
      <w:r w:rsidRPr="00EB3BE3">
        <w:rPr>
          <w:rFonts w:cs="Arial"/>
          <w:bCs/>
          <w:color w:val="003768"/>
          <w:sz w:val="20"/>
          <w:szCs w:val="20"/>
          <w:lang w:val="fr-FR"/>
        </w:rPr>
        <w:t xml:space="preserve"> négatif de 43 millions d'euros (après impôts), mais est sans incidence sur le capital réglementaire.</w:t>
      </w:r>
    </w:p>
    <w:p w:rsidR="00D24657" w:rsidRDefault="00D24657">
      <w:pPr>
        <w:spacing w:after="0" w:line="240" w:lineRule="auto"/>
        <w:rPr>
          <w:rFonts w:cs="Arial"/>
          <w:b/>
          <w:bCs/>
          <w:color w:val="003768"/>
          <w:sz w:val="20"/>
          <w:szCs w:val="20"/>
          <w:lang w:val="fr-FR"/>
        </w:rPr>
      </w:pPr>
      <w:r>
        <w:rPr>
          <w:rFonts w:cs="Arial"/>
          <w:b/>
          <w:bCs/>
          <w:color w:val="003768"/>
          <w:sz w:val="20"/>
          <w:szCs w:val="20"/>
          <w:lang w:val="fr-FR"/>
        </w:rPr>
        <w:br w:type="page"/>
      </w:r>
    </w:p>
    <w:p w:rsidR="00EB3BE3" w:rsidRPr="00EB3BE3" w:rsidRDefault="00EB3BE3" w:rsidP="00EB3BE3">
      <w:pPr>
        <w:autoSpaceDE w:val="0"/>
        <w:autoSpaceDN w:val="0"/>
        <w:adjustRightInd w:val="0"/>
        <w:spacing w:after="120" w:line="240" w:lineRule="auto"/>
        <w:ind w:left="992" w:right="6"/>
        <w:jc w:val="both"/>
        <w:rPr>
          <w:rFonts w:cs="Arial"/>
          <w:b/>
          <w:bCs/>
          <w:color w:val="003768"/>
          <w:sz w:val="20"/>
          <w:szCs w:val="20"/>
          <w:lang w:val="fr-FR"/>
        </w:rPr>
      </w:pPr>
      <w:r w:rsidRPr="00EB3BE3">
        <w:rPr>
          <w:rFonts w:cs="Arial"/>
          <w:b/>
          <w:bCs/>
          <w:color w:val="003768"/>
          <w:sz w:val="20"/>
          <w:szCs w:val="20"/>
          <w:lang w:val="fr-FR"/>
        </w:rPr>
        <w:lastRenderedPageBreak/>
        <w:t>Capitaux propres et solvabilité</w:t>
      </w:r>
    </w:p>
    <w:p w:rsidR="00EB3BE3" w:rsidRPr="00EB3BE3" w:rsidRDefault="00EB3BE3" w:rsidP="00EB3BE3">
      <w:pPr>
        <w:pStyle w:val="ListParagraph"/>
        <w:numPr>
          <w:ilvl w:val="0"/>
          <w:numId w:val="10"/>
        </w:numPr>
        <w:autoSpaceDE w:val="0"/>
        <w:autoSpaceDN w:val="0"/>
        <w:adjustRightInd w:val="0"/>
        <w:spacing w:after="60" w:line="240" w:lineRule="auto"/>
        <w:ind w:left="1706" w:right="6" w:hanging="357"/>
        <w:contextualSpacing w:val="0"/>
        <w:jc w:val="both"/>
        <w:rPr>
          <w:rFonts w:cs="Arial"/>
          <w:bCs/>
          <w:color w:val="003768"/>
          <w:sz w:val="20"/>
          <w:szCs w:val="20"/>
          <w:lang w:val="fr-FR"/>
        </w:rPr>
      </w:pPr>
      <w:r w:rsidRPr="00EB3BE3">
        <w:rPr>
          <w:rFonts w:cs="Arial"/>
          <w:bCs/>
          <w:color w:val="003768"/>
          <w:sz w:val="20"/>
          <w:szCs w:val="20"/>
          <w:lang w:val="fr-FR"/>
        </w:rPr>
        <w:t>Fin 2013, le total des capitaux propres s’élevait à 14,5 milliards d’euros, en recul de 1,4 milliard d’euros par rapport à son niveau de début d’année, principalement en raison du paiement du dividende (-0,4 milliard d’euros), du paiement du coupon sur les titres de capital de base sans droit de vote souscrits par le gouvernement belge et le gouvernement flamand (-0,5 milliard d’euros) et du remboursement de 1,17 milliard d’euros (plus 50% de pénalité) d’aide publique au gouvernement flamand (-1,8 milliard d’euros), partiellement compensés toutefois par l'inclusion des résultats de 2013 (1 milliard d'euros) et les modifications de la réserve pour actifs disponibles à la vente et de la réserve pour flux de trésorerie (chiffre combiné de 0,2 milliard d'euros)</w:t>
      </w:r>
    </w:p>
    <w:p w:rsidR="00EB3BE3" w:rsidRPr="00EB3BE3" w:rsidRDefault="00EB3BE3" w:rsidP="00EB3BE3">
      <w:pPr>
        <w:pStyle w:val="ListParagraph"/>
        <w:numPr>
          <w:ilvl w:val="0"/>
          <w:numId w:val="10"/>
        </w:numPr>
        <w:autoSpaceDE w:val="0"/>
        <w:autoSpaceDN w:val="0"/>
        <w:adjustRightInd w:val="0"/>
        <w:spacing w:after="60" w:line="240" w:lineRule="auto"/>
        <w:ind w:left="1706" w:right="6" w:hanging="357"/>
        <w:contextualSpacing w:val="0"/>
        <w:jc w:val="both"/>
        <w:rPr>
          <w:rFonts w:cs="Arial"/>
          <w:bCs/>
          <w:color w:val="003768"/>
          <w:sz w:val="20"/>
          <w:szCs w:val="20"/>
          <w:lang w:val="fr-FR"/>
        </w:rPr>
      </w:pPr>
      <w:r w:rsidRPr="00EB3BE3">
        <w:rPr>
          <w:rFonts w:cs="Arial"/>
          <w:bCs/>
          <w:color w:val="003768"/>
          <w:sz w:val="20"/>
          <w:szCs w:val="20"/>
          <w:lang w:val="fr-FR"/>
        </w:rPr>
        <w:t xml:space="preserve">Le ratio </w:t>
      </w:r>
      <w:proofErr w:type="spellStart"/>
      <w:r w:rsidRPr="00EB3BE3">
        <w:rPr>
          <w:rFonts w:cs="Arial"/>
          <w:bCs/>
          <w:color w:val="003768"/>
          <w:sz w:val="20"/>
          <w:szCs w:val="20"/>
          <w:lang w:val="fr-FR"/>
        </w:rPr>
        <w:t>Tier</w:t>
      </w:r>
      <w:proofErr w:type="spellEnd"/>
      <w:r w:rsidRPr="00EB3BE3">
        <w:rPr>
          <w:rFonts w:cs="Arial"/>
          <w:bCs/>
          <w:color w:val="003768"/>
          <w:sz w:val="20"/>
          <w:szCs w:val="20"/>
          <w:lang w:val="fr-FR"/>
        </w:rPr>
        <w:t xml:space="preserve"> 1 du groupe (selon Bâle II) atteint le niveau favorable de 15,8% au 31 décembre 2013 (ratio </w:t>
      </w:r>
      <w:proofErr w:type="spellStart"/>
      <w:r w:rsidRPr="00EB3BE3">
        <w:rPr>
          <w:rFonts w:cs="Arial"/>
          <w:bCs/>
          <w:color w:val="003768"/>
          <w:sz w:val="20"/>
          <w:szCs w:val="20"/>
          <w:lang w:val="fr-FR"/>
        </w:rPr>
        <w:t>Core</w:t>
      </w:r>
      <w:proofErr w:type="spellEnd"/>
      <w:r w:rsidRPr="00EB3BE3">
        <w:rPr>
          <w:rFonts w:cs="Arial"/>
          <w:bCs/>
          <w:color w:val="003768"/>
          <w:sz w:val="20"/>
          <w:szCs w:val="20"/>
          <w:lang w:val="fr-FR"/>
        </w:rPr>
        <w:t xml:space="preserve"> </w:t>
      </w:r>
      <w:proofErr w:type="spellStart"/>
      <w:r w:rsidRPr="00EB3BE3">
        <w:rPr>
          <w:rFonts w:cs="Arial"/>
          <w:bCs/>
          <w:color w:val="003768"/>
          <w:sz w:val="20"/>
          <w:szCs w:val="20"/>
          <w:lang w:val="fr-FR"/>
        </w:rPr>
        <w:t>Tier</w:t>
      </w:r>
      <w:proofErr w:type="spellEnd"/>
      <w:r w:rsidRPr="00EB3BE3">
        <w:rPr>
          <w:rFonts w:cs="Arial"/>
          <w:bCs/>
          <w:color w:val="003768"/>
          <w:sz w:val="20"/>
          <w:szCs w:val="20"/>
          <w:lang w:val="fr-FR"/>
        </w:rPr>
        <w:t xml:space="preserve"> 1 de 13,5%). En tenant compte de l'impact des accords de désinvestissement signés pour KBC Bank </w:t>
      </w:r>
      <w:proofErr w:type="spellStart"/>
      <w:r w:rsidRPr="00EB3BE3">
        <w:rPr>
          <w:rFonts w:cs="Arial"/>
          <w:bCs/>
          <w:color w:val="003768"/>
          <w:sz w:val="20"/>
          <w:szCs w:val="20"/>
          <w:lang w:val="fr-FR"/>
        </w:rPr>
        <w:t>Deutschland</w:t>
      </w:r>
      <w:proofErr w:type="spellEnd"/>
      <w:r w:rsidRPr="00EB3BE3">
        <w:rPr>
          <w:rFonts w:cs="Arial"/>
          <w:bCs/>
          <w:color w:val="003768"/>
          <w:sz w:val="20"/>
          <w:szCs w:val="20"/>
          <w:lang w:val="fr-FR"/>
        </w:rPr>
        <w:t xml:space="preserve"> et la Banque Diamantaire Anversoise, ainsi que du remboursement de la deuxième tranche de l'aide reçue du gouvernement flamand, le ratio </w:t>
      </w:r>
      <w:proofErr w:type="spellStart"/>
      <w:r w:rsidRPr="00EB3BE3">
        <w:rPr>
          <w:rFonts w:cs="Arial"/>
          <w:bCs/>
          <w:color w:val="003768"/>
          <w:sz w:val="20"/>
          <w:szCs w:val="20"/>
          <w:lang w:val="fr-FR"/>
        </w:rPr>
        <w:t>Tier</w:t>
      </w:r>
      <w:proofErr w:type="spellEnd"/>
      <w:r w:rsidRPr="00EB3BE3">
        <w:rPr>
          <w:rFonts w:cs="Arial"/>
          <w:bCs/>
          <w:color w:val="003768"/>
          <w:sz w:val="20"/>
          <w:szCs w:val="20"/>
          <w:lang w:val="fr-FR"/>
        </w:rPr>
        <w:t xml:space="preserve"> 1 du groupe (sous Bâle II) s'établit solidement à 15,6% (ratio </w:t>
      </w:r>
      <w:proofErr w:type="spellStart"/>
      <w:r w:rsidRPr="00EB3BE3">
        <w:rPr>
          <w:rFonts w:cs="Arial"/>
          <w:bCs/>
          <w:color w:val="003768"/>
          <w:sz w:val="20"/>
          <w:szCs w:val="20"/>
          <w:lang w:val="fr-FR"/>
        </w:rPr>
        <w:t>Core</w:t>
      </w:r>
      <w:proofErr w:type="spellEnd"/>
      <w:r w:rsidRPr="00EB3BE3">
        <w:rPr>
          <w:rFonts w:cs="Arial"/>
          <w:bCs/>
          <w:color w:val="003768"/>
          <w:sz w:val="20"/>
          <w:szCs w:val="20"/>
          <w:lang w:val="fr-FR"/>
        </w:rPr>
        <w:t xml:space="preserve"> </w:t>
      </w:r>
      <w:proofErr w:type="spellStart"/>
      <w:r w:rsidRPr="00EB3BE3">
        <w:rPr>
          <w:rFonts w:cs="Arial"/>
          <w:bCs/>
          <w:color w:val="003768"/>
          <w:sz w:val="20"/>
          <w:szCs w:val="20"/>
          <w:lang w:val="fr-FR"/>
        </w:rPr>
        <w:t>Tier</w:t>
      </w:r>
      <w:proofErr w:type="spellEnd"/>
      <w:r w:rsidRPr="00EB3BE3">
        <w:rPr>
          <w:rFonts w:cs="Arial"/>
          <w:bCs/>
          <w:color w:val="003768"/>
          <w:sz w:val="20"/>
          <w:szCs w:val="20"/>
          <w:lang w:val="fr-FR"/>
        </w:rPr>
        <w:t xml:space="preserve"> 1 de 13,2%). Le ratio de solvabilité de KBC Assurances s'inscrit à 281% au 31 décembre 2013, un excellent résultat, quelque peu inférieur au niveau très élevé de 322% enregistré fin 2012. </w:t>
      </w:r>
    </w:p>
    <w:p w:rsidR="00EB3BE3" w:rsidRPr="00EB3BE3" w:rsidRDefault="00EB3BE3" w:rsidP="00EB3BE3">
      <w:pPr>
        <w:pStyle w:val="ListParagraph"/>
        <w:numPr>
          <w:ilvl w:val="0"/>
          <w:numId w:val="10"/>
        </w:numPr>
        <w:autoSpaceDE w:val="0"/>
        <w:autoSpaceDN w:val="0"/>
        <w:adjustRightInd w:val="0"/>
        <w:spacing w:after="120" w:line="240" w:lineRule="auto"/>
        <w:ind w:left="1706" w:right="6" w:hanging="357"/>
        <w:contextualSpacing w:val="0"/>
        <w:jc w:val="both"/>
        <w:rPr>
          <w:rFonts w:cs="Arial"/>
          <w:bCs/>
          <w:color w:val="003768"/>
          <w:sz w:val="20"/>
          <w:szCs w:val="20"/>
          <w:lang w:val="fr-FR"/>
        </w:rPr>
      </w:pPr>
      <w:r w:rsidRPr="00EB3BE3">
        <w:rPr>
          <w:rFonts w:cs="Arial"/>
          <w:bCs/>
          <w:color w:val="003768"/>
          <w:sz w:val="20"/>
          <w:szCs w:val="20"/>
          <w:lang w:val="fr-FR"/>
        </w:rPr>
        <w:t xml:space="preserve">Le ratio </w:t>
      </w:r>
      <w:proofErr w:type="spellStart"/>
      <w:r w:rsidRPr="00EB3BE3">
        <w:rPr>
          <w:rFonts w:cs="Arial"/>
          <w:bCs/>
          <w:color w:val="003768"/>
          <w:sz w:val="20"/>
          <w:szCs w:val="20"/>
          <w:lang w:val="fr-FR"/>
        </w:rPr>
        <w:t>common</w:t>
      </w:r>
      <w:proofErr w:type="spellEnd"/>
      <w:r w:rsidRPr="00EB3BE3">
        <w:rPr>
          <w:rFonts w:cs="Arial"/>
          <w:bCs/>
          <w:color w:val="003768"/>
          <w:sz w:val="20"/>
          <w:szCs w:val="20"/>
          <w:lang w:val="fr-FR"/>
        </w:rPr>
        <w:t xml:space="preserve"> </w:t>
      </w:r>
      <w:proofErr w:type="spellStart"/>
      <w:r w:rsidRPr="00EB3BE3">
        <w:rPr>
          <w:rFonts w:cs="Arial"/>
          <w:bCs/>
          <w:color w:val="003768"/>
          <w:sz w:val="20"/>
          <w:szCs w:val="20"/>
          <w:lang w:val="fr-FR"/>
        </w:rPr>
        <w:t>equity</w:t>
      </w:r>
      <w:proofErr w:type="spellEnd"/>
      <w:r w:rsidRPr="00EB3BE3">
        <w:rPr>
          <w:rFonts w:cs="Arial"/>
          <w:bCs/>
          <w:color w:val="003768"/>
          <w:sz w:val="20"/>
          <w:szCs w:val="20"/>
          <w:lang w:val="fr-FR"/>
        </w:rPr>
        <w:t xml:space="preserve"> (pro forma) selon Bâle III s'inscrit à 12,5% à la clôture du quatrième trimestre 2013 (à pleine charge, mais avec le restant de l'aide de la région flamande, l'impact des accords de désinvestissement signés pour KBC Bank </w:t>
      </w:r>
      <w:proofErr w:type="spellStart"/>
      <w:r w:rsidRPr="00EB3BE3">
        <w:rPr>
          <w:rFonts w:cs="Arial"/>
          <w:bCs/>
          <w:color w:val="003768"/>
          <w:sz w:val="20"/>
          <w:szCs w:val="20"/>
          <w:lang w:val="fr-FR"/>
        </w:rPr>
        <w:t>Deutschland</w:t>
      </w:r>
      <w:proofErr w:type="spellEnd"/>
      <w:r w:rsidRPr="00EB3BE3">
        <w:rPr>
          <w:rFonts w:cs="Arial"/>
          <w:bCs/>
          <w:color w:val="003768"/>
          <w:sz w:val="20"/>
          <w:szCs w:val="20"/>
          <w:lang w:val="fr-FR"/>
        </w:rPr>
        <w:t xml:space="preserve"> et la Banque Diamantaire Anversoise, ainsi que le remboursement de 500 millions d'euros au gouvernement flamand), soit nettement au-dessus du ratio </w:t>
      </w:r>
      <w:proofErr w:type="spellStart"/>
      <w:r w:rsidRPr="00EB3BE3">
        <w:rPr>
          <w:rFonts w:cs="Arial"/>
          <w:bCs/>
          <w:color w:val="003768"/>
          <w:sz w:val="20"/>
          <w:szCs w:val="20"/>
          <w:lang w:val="fr-FR"/>
        </w:rPr>
        <w:t>common</w:t>
      </w:r>
      <w:proofErr w:type="spellEnd"/>
      <w:r w:rsidRPr="00EB3BE3">
        <w:rPr>
          <w:rFonts w:cs="Arial"/>
          <w:bCs/>
          <w:color w:val="003768"/>
          <w:sz w:val="20"/>
          <w:szCs w:val="20"/>
          <w:lang w:val="fr-FR"/>
        </w:rPr>
        <w:t xml:space="preserve"> </w:t>
      </w:r>
      <w:proofErr w:type="spellStart"/>
      <w:r w:rsidRPr="00EB3BE3">
        <w:rPr>
          <w:rFonts w:cs="Arial"/>
          <w:bCs/>
          <w:color w:val="003768"/>
          <w:sz w:val="20"/>
          <w:szCs w:val="20"/>
          <w:lang w:val="fr-FR"/>
        </w:rPr>
        <w:t>equity</w:t>
      </w:r>
      <w:proofErr w:type="spellEnd"/>
      <w:r w:rsidRPr="00EB3BE3">
        <w:rPr>
          <w:rFonts w:cs="Arial"/>
          <w:bCs/>
          <w:color w:val="003768"/>
          <w:sz w:val="20"/>
          <w:szCs w:val="20"/>
          <w:lang w:val="fr-FR"/>
        </w:rPr>
        <w:t xml:space="preserve"> visé de 10% selon Bâle III (à pleine charge).</w:t>
      </w:r>
    </w:p>
    <w:p w:rsidR="00EB3BE3" w:rsidRPr="00EB3BE3" w:rsidRDefault="00EB3BE3" w:rsidP="00EB3BE3">
      <w:pPr>
        <w:autoSpaceDE w:val="0"/>
        <w:autoSpaceDN w:val="0"/>
        <w:adjustRightInd w:val="0"/>
        <w:spacing w:after="120" w:line="240" w:lineRule="auto"/>
        <w:ind w:left="992" w:right="6"/>
        <w:jc w:val="both"/>
        <w:rPr>
          <w:rFonts w:cs="Arial"/>
          <w:b/>
          <w:bCs/>
          <w:color w:val="003768"/>
          <w:sz w:val="20"/>
          <w:szCs w:val="20"/>
          <w:lang w:val="fr-FR"/>
        </w:rPr>
      </w:pPr>
      <w:r w:rsidRPr="00EB3BE3">
        <w:rPr>
          <w:rFonts w:cs="Arial"/>
          <w:b/>
          <w:bCs/>
          <w:color w:val="003768"/>
          <w:sz w:val="20"/>
          <w:szCs w:val="20"/>
          <w:lang w:val="fr-FR"/>
        </w:rPr>
        <w:t>Liquidité</w:t>
      </w:r>
    </w:p>
    <w:p w:rsidR="00EB3BE3" w:rsidRDefault="00EB3BE3" w:rsidP="00EB3BE3">
      <w:pPr>
        <w:pStyle w:val="ListParagraph"/>
        <w:numPr>
          <w:ilvl w:val="0"/>
          <w:numId w:val="11"/>
        </w:numPr>
        <w:autoSpaceDE w:val="0"/>
        <w:autoSpaceDN w:val="0"/>
        <w:adjustRightInd w:val="0"/>
        <w:spacing w:after="120" w:line="240" w:lineRule="auto"/>
        <w:ind w:right="6"/>
        <w:jc w:val="both"/>
        <w:rPr>
          <w:rFonts w:cs="Arial"/>
          <w:bCs/>
          <w:color w:val="003768"/>
          <w:sz w:val="20"/>
          <w:szCs w:val="20"/>
          <w:lang w:val="fr-FR"/>
        </w:rPr>
      </w:pPr>
      <w:r w:rsidRPr="00EB3BE3">
        <w:rPr>
          <w:rFonts w:cs="Arial"/>
          <w:bCs/>
          <w:color w:val="003768"/>
          <w:sz w:val="20"/>
          <w:szCs w:val="20"/>
          <w:lang w:val="fr-FR"/>
        </w:rPr>
        <w:t>La liquidité du groupe demeure excellente, avec un ratio LCR de 131% et un ratio NSFR de 111% à l'issue du quatrième trimestre.</w:t>
      </w:r>
    </w:p>
    <w:p w:rsidR="00EB3BE3" w:rsidRDefault="00EB3BE3">
      <w:pPr>
        <w:spacing w:after="0" w:line="240" w:lineRule="auto"/>
        <w:rPr>
          <w:rFonts w:cs="Arial"/>
          <w:bCs/>
          <w:color w:val="003768"/>
          <w:sz w:val="20"/>
          <w:szCs w:val="20"/>
          <w:lang w:val="fr-FR"/>
        </w:rPr>
      </w:pPr>
      <w:r>
        <w:rPr>
          <w:rFonts w:cs="Arial"/>
          <w:bCs/>
          <w:color w:val="003768"/>
          <w:sz w:val="20"/>
          <w:szCs w:val="20"/>
          <w:lang w:val="fr-FR"/>
        </w:rPr>
        <w:br w:type="page"/>
      </w:r>
    </w:p>
    <w:p w:rsidR="00EB3BE3" w:rsidRDefault="00EB3BE3" w:rsidP="00EB3BE3">
      <w:pPr>
        <w:autoSpaceDE w:val="0"/>
        <w:autoSpaceDN w:val="0"/>
        <w:adjustRightInd w:val="0"/>
        <w:spacing w:after="120" w:line="240" w:lineRule="auto"/>
        <w:ind w:left="992" w:right="6"/>
        <w:jc w:val="both"/>
        <w:rPr>
          <w:rFonts w:cs="Arial"/>
          <w:bCs/>
          <w:color w:val="003768"/>
          <w:sz w:val="20"/>
          <w:szCs w:val="20"/>
          <w:lang w:val="fr-FR"/>
        </w:rPr>
      </w:pPr>
      <w:r>
        <w:rPr>
          <w:rFonts w:cs="Arial"/>
          <w:bCs/>
          <w:noProof/>
          <w:color w:val="003768"/>
          <w:sz w:val="20"/>
          <w:szCs w:val="20"/>
          <w:lang w:val="nl-BE" w:eastAsia="nl-BE"/>
        </w:rPr>
        <w:lastRenderedPageBreak/>
        <w:drawing>
          <wp:inline distT="0" distB="0" distL="0" distR="0" wp14:anchorId="0AEB7FE9">
            <wp:extent cx="6450330" cy="530225"/>
            <wp:effectExtent l="0" t="0" r="7620" b="317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50330" cy="530225"/>
                    </a:xfrm>
                    <a:prstGeom prst="rect">
                      <a:avLst/>
                    </a:prstGeom>
                    <a:noFill/>
                  </pic:spPr>
                </pic:pic>
              </a:graphicData>
            </a:graphic>
          </wp:inline>
        </w:drawing>
      </w:r>
    </w:p>
    <w:tbl>
      <w:tblPr>
        <w:tblW w:w="10008" w:type="dxa"/>
        <w:tblInd w:w="1238" w:type="dxa"/>
        <w:tblLook w:val="01E0" w:firstRow="1" w:lastRow="1" w:firstColumn="1" w:lastColumn="1" w:noHBand="0" w:noVBand="0"/>
      </w:tblPr>
      <w:tblGrid>
        <w:gridCol w:w="3686"/>
        <w:gridCol w:w="794"/>
        <w:gridCol w:w="794"/>
        <w:gridCol w:w="794"/>
        <w:gridCol w:w="794"/>
        <w:gridCol w:w="794"/>
        <w:gridCol w:w="794"/>
        <w:gridCol w:w="764"/>
        <w:gridCol w:w="794"/>
      </w:tblGrid>
      <w:tr w:rsidR="00EB3BE3" w:rsidRPr="00EB3BE3" w:rsidTr="00EB3BE3">
        <w:tc>
          <w:tcPr>
            <w:tcW w:w="3686" w:type="dxa"/>
            <w:shd w:val="clear" w:color="auto" w:fill="365F91" w:themeFill="accent1" w:themeFillShade="BF"/>
            <w:vAlign w:val="center"/>
            <w:hideMark/>
          </w:tcPr>
          <w:p w:rsidR="00EB3BE3" w:rsidRPr="00EB3BE3" w:rsidRDefault="00EB3BE3" w:rsidP="00EB3BE3">
            <w:pPr>
              <w:snapToGrid w:val="0"/>
              <w:spacing w:after="0"/>
              <w:rPr>
                <w:rFonts w:ascii="Arial" w:eastAsia="Times New Roman" w:hAnsi="Arial"/>
                <w:bCs/>
                <w:color w:val="FFFFFF" w:themeColor="background1"/>
                <w:sz w:val="14"/>
                <w:szCs w:val="14"/>
                <w:lang w:val="fr-FR"/>
              </w:rPr>
            </w:pPr>
            <w:r w:rsidRPr="00EB3BE3">
              <w:rPr>
                <w:rFonts w:ascii="Arial" w:eastAsia="Times New Roman" w:hAnsi="Arial"/>
                <w:bCs/>
                <w:color w:val="FFFFFF" w:themeColor="background1"/>
                <w:sz w:val="14"/>
                <w:szCs w:val="14"/>
                <w:lang w:val="fr-FR"/>
              </w:rPr>
              <w:t xml:space="preserve">Chiffres clés du bilan consolidé,  </w:t>
            </w:r>
            <w:r w:rsidRPr="00EB3BE3">
              <w:rPr>
                <w:rFonts w:ascii="Arial" w:eastAsia="Times New Roman" w:hAnsi="Arial"/>
                <w:bCs/>
                <w:color w:val="FFFFFF" w:themeColor="background1"/>
                <w:sz w:val="14"/>
                <w:szCs w:val="14"/>
                <w:lang w:val="fr-FR"/>
              </w:rPr>
              <w:br/>
              <w:t>KBC Groupe (en millions d’EUR)</w:t>
            </w:r>
          </w:p>
        </w:tc>
        <w:tc>
          <w:tcPr>
            <w:tcW w:w="794" w:type="dxa"/>
            <w:shd w:val="clear" w:color="auto" w:fill="365F91" w:themeFill="accent1" w:themeFillShade="BF"/>
            <w:vAlign w:val="center"/>
            <w:hideMark/>
          </w:tcPr>
          <w:p w:rsidR="00EB3BE3" w:rsidRPr="00EB3BE3" w:rsidRDefault="00EB3BE3" w:rsidP="00EB3BE3">
            <w:pPr>
              <w:snapToGrid w:val="0"/>
              <w:spacing w:after="0"/>
              <w:jc w:val="right"/>
              <w:rPr>
                <w:rFonts w:ascii="Arial" w:eastAsia="Times New Roman" w:hAnsi="Arial"/>
                <w:bCs/>
                <w:color w:val="FFFFFF" w:themeColor="background1"/>
                <w:sz w:val="14"/>
                <w:szCs w:val="14"/>
                <w:lang w:val="fr-FR"/>
              </w:rPr>
            </w:pPr>
            <w:r w:rsidRPr="00EB3BE3">
              <w:rPr>
                <w:rFonts w:ascii="Arial" w:eastAsia="Times New Roman" w:hAnsi="Arial"/>
                <w:bCs/>
                <w:color w:val="FFFFFF" w:themeColor="background1"/>
                <w:sz w:val="14"/>
                <w:szCs w:val="14"/>
                <w:lang w:val="fr-FR"/>
              </w:rPr>
              <w:t>31-03-2012</w:t>
            </w:r>
          </w:p>
        </w:tc>
        <w:tc>
          <w:tcPr>
            <w:tcW w:w="794" w:type="dxa"/>
            <w:shd w:val="clear" w:color="auto" w:fill="365F91" w:themeFill="accent1" w:themeFillShade="BF"/>
            <w:vAlign w:val="center"/>
            <w:hideMark/>
          </w:tcPr>
          <w:p w:rsidR="00EB3BE3" w:rsidRPr="00EB3BE3" w:rsidRDefault="00EB3BE3" w:rsidP="00EB3BE3">
            <w:pPr>
              <w:snapToGrid w:val="0"/>
              <w:spacing w:after="0"/>
              <w:jc w:val="right"/>
              <w:rPr>
                <w:rFonts w:ascii="Arial" w:eastAsia="Times New Roman" w:hAnsi="Arial"/>
                <w:bCs/>
                <w:color w:val="FFFFFF" w:themeColor="background1"/>
                <w:sz w:val="14"/>
                <w:szCs w:val="14"/>
                <w:lang w:val="fr-FR"/>
              </w:rPr>
            </w:pPr>
            <w:r w:rsidRPr="00EB3BE3">
              <w:rPr>
                <w:rFonts w:ascii="Arial" w:eastAsia="Times New Roman" w:hAnsi="Arial"/>
                <w:bCs/>
                <w:color w:val="FFFFFF" w:themeColor="background1"/>
                <w:sz w:val="14"/>
                <w:szCs w:val="14"/>
                <w:lang w:val="fr-FR"/>
              </w:rPr>
              <w:t>30-06-2012</w:t>
            </w:r>
          </w:p>
        </w:tc>
        <w:tc>
          <w:tcPr>
            <w:tcW w:w="794" w:type="dxa"/>
            <w:shd w:val="clear" w:color="auto" w:fill="365F91" w:themeFill="accent1" w:themeFillShade="BF"/>
            <w:vAlign w:val="center"/>
            <w:hideMark/>
          </w:tcPr>
          <w:p w:rsidR="00EB3BE3" w:rsidRPr="00EB3BE3" w:rsidRDefault="00EB3BE3" w:rsidP="00EB3BE3">
            <w:pPr>
              <w:snapToGrid w:val="0"/>
              <w:spacing w:after="0"/>
              <w:jc w:val="right"/>
              <w:rPr>
                <w:rFonts w:ascii="Arial" w:eastAsia="Times New Roman" w:hAnsi="Arial"/>
                <w:bCs/>
                <w:color w:val="FFFFFF" w:themeColor="background1"/>
                <w:sz w:val="14"/>
                <w:szCs w:val="14"/>
                <w:lang w:val="fr-FR"/>
              </w:rPr>
            </w:pPr>
            <w:r w:rsidRPr="00EB3BE3">
              <w:rPr>
                <w:rFonts w:ascii="Arial" w:eastAsia="Times New Roman" w:hAnsi="Arial"/>
                <w:bCs/>
                <w:color w:val="FFFFFF" w:themeColor="background1"/>
                <w:sz w:val="14"/>
                <w:szCs w:val="14"/>
                <w:lang w:val="fr-FR"/>
              </w:rPr>
              <w:t>30-09-2012</w:t>
            </w:r>
          </w:p>
        </w:tc>
        <w:tc>
          <w:tcPr>
            <w:tcW w:w="794" w:type="dxa"/>
            <w:shd w:val="clear" w:color="auto" w:fill="365F91" w:themeFill="accent1" w:themeFillShade="BF"/>
            <w:vAlign w:val="center"/>
            <w:hideMark/>
          </w:tcPr>
          <w:p w:rsidR="00EB3BE3" w:rsidRPr="00EB3BE3" w:rsidRDefault="00EB3BE3" w:rsidP="00EB3BE3">
            <w:pPr>
              <w:snapToGrid w:val="0"/>
              <w:spacing w:after="0"/>
              <w:jc w:val="right"/>
              <w:rPr>
                <w:rFonts w:ascii="Arial" w:eastAsia="Times New Roman" w:hAnsi="Arial"/>
                <w:bCs/>
                <w:color w:val="FFFFFF" w:themeColor="background1"/>
                <w:sz w:val="14"/>
                <w:szCs w:val="14"/>
                <w:lang w:val="fr-FR"/>
              </w:rPr>
            </w:pPr>
            <w:r w:rsidRPr="00EB3BE3">
              <w:rPr>
                <w:rFonts w:ascii="Arial" w:eastAsia="Times New Roman" w:hAnsi="Arial"/>
                <w:bCs/>
                <w:color w:val="FFFFFF" w:themeColor="background1"/>
                <w:sz w:val="14"/>
                <w:szCs w:val="14"/>
                <w:lang w:val="fr-FR"/>
              </w:rPr>
              <w:t>31-12-2012</w:t>
            </w:r>
          </w:p>
        </w:tc>
        <w:tc>
          <w:tcPr>
            <w:tcW w:w="794" w:type="dxa"/>
            <w:shd w:val="clear" w:color="auto" w:fill="365F91" w:themeFill="accent1" w:themeFillShade="BF"/>
            <w:vAlign w:val="center"/>
            <w:hideMark/>
          </w:tcPr>
          <w:p w:rsidR="00EB3BE3" w:rsidRPr="00EB3BE3" w:rsidRDefault="00EB3BE3" w:rsidP="00EB3BE3">
            <w:pPr>
              <w:snapToGrid w:val="0"/>
              <w:spacing w:after="0"/>
              <w:jc w:val="right"/>
              <w:rPr>
                <w:rFonts w:ascii="Arial" w:eastAsia="Times New Roman" w:hAnsi="Arial"/>
                <w:bCs/>
                <w:color w:val="FFFFFF" w:themeColor="background1"/>
                <w:sz w:val="14"/>
                <w:szCs w:val="14"/>
                <w:lang w:val="fr-FR"/>
              </w:rPr>
            </w:pPr>
            <w:r w:rsidRPr="00EB3BE3">
              <w:rPr>
                <w:rFonts w:ascii="Arial" w:eastAsia="Times New Roman" w:hAnsi="Arial"/>
                <w:bCs/>
                <w:color w:val="FFFFFF" w:themeColor="background1"/>
                <w:sz w:val="14"/>
                <w:szCs w:val="14"/>
                <w:lang w:val="fr-FR"/>
              </w:rPr>
              <w:t>31-03-2013</w:t>
            </w:r>
          </w:p>
        </w:tc>
        <w:tc>
          <w:tcPr>
            <w:tcW w:w="794" w:type="dxa"/>
            <w:shd w:val="clear" w:color="auto" w:fill="365F91" w:themeFill="accent1" w:themeFillShade="BF"/>
            <w:vAlign w:val="center"/>
            <w:hideMark/>
          </w:tcPr>
          <w:p w:rsidR="00EB3BE3" w:rsidRPr="00EB3BE3" w:rsidRDefault="00EB3BE3" w:rsidP="00EB3BE3">
            <w:pPr>
              <w:snapToGrid w:val="0"/>
              <w:spacing w:after="0"/>
              <w:jc w:val="right"/>
              <w:rPr>
                <w:rFonts w:ascii="Arial" w:eastAsia="Times New Roman" w:hAnsi="Arial"/>
                <w:bCs/>
                <w:color w:val="FFFFFF" w:themeColor="background1"/>
                <w:sz w:val="14"/>
                <w:szCs w:val="14"/>
                <w:lang w:val="fr-FR"/>
              </w:rPr>
            </w:pPr>
            <w:r w:rsidRPr="00EB3BE3">
              <w:rPr>
                <w:rFonts w:ascii="Arial" w:eastAsia="Times New Roman" w:hAnsi="Arial"/>
                <w:bCs/>
                <w:color w:val="FFFFFF" w:themeColor="background1"/>
                <w:sz w:val="14"/>
                <w:szCs w:val="14"/>
                <w:lang w:val="fr-FR"/>
              </w:rPr>
              <w:t>30-06-2013</w:t>
            </w:r>
          </w:p>
        </w:tc>
        <w:tc>
          <w:tcPr>
            <w:tcW w:w="764" w:type="dxa"/>
            <w:shd w:val="clear" w:color="auto" w:fill="365F91" w:themeFill="accent1" w:themeFillShade="BF"/>
            <w:vAlign w:val="center"/>
            <w:hideMark/>
          </w:tcPr>
          <w:p w:rsidR="00EB3BE3" w:rsidRPr="00EB3BE3" w:rsidRDefault="00EB3BE3" w:rsidP="00EB3BE3">
            <w:pPr>
              <w:snapToGrid w:val="0"/>
              <w:spacing w:after="0"/>
              <w:jc w:val="right"/>
              <w:rPr>
                <w:rFonts w:ascii="Arial" w:eastAsia="Times New Roman" w:hAnsi="Arial"/>
                <w:bCs/>
                <w:color w:val="FFFFFF" w:themeColor="background1"/>
                <w:sz w:val="14"/>
                <w:szCs w:val="14"/>
                <w:lang w:val="fr-FR"/>
              </w:rPr>
            </w:pPr>
            <w:r w:rsidRPr="00EB3BE3">
              <w:rPr>
                <w:rFonts w:ascii="Arial" w:eastAsia="Times New Roman" w:hAnsi="Arial"/>
                <w:bCs/>
                <w:color w:val="FFFFFF" w:themeColor="background1"/>
                <w:sz w:val="14"/>
                <w:szCs w:val="14"/>
                <w:lang w:val="fr-FR"/>
              </w:rPr>
              <w:t>30-09-2013</w:t>
            </w:r>
          </w:p>
        </w:tc>
        <w:tc>
          <w:tcPr>
            <w:tcW w:w="794" w:type="dxa"/>
            <w:shd w:val="clear" w:color="auto" w:fill="365F91" w:themeFill="accent1" w:themeFillShade="BF"/>
            <w:vAlign w:val="center"/>
            <w:hideMark/>
          </w:tcPr>
          <w:p w:rsidR="00EB3BE3" w:rsidRPr="00EB3BE3" w:rsidRDefault="00EB3BE3" w:rsidP="00EB3BE3">
            <w:pPr>
              <w:snapToGrid w:val="0"/>
              <w:spacing w:after="0"/>
              <w:jc w:val="right"/>
              <w:rPr>
                <w:rFonts w:ascii="Arial" w:eastAsia="Times New Roman" w:hAnsi="Arial"/>
                <w:bCs/>
                <w:color w:val="FFFFFF" w:themeColor="background1"/>
                <w:sz w:val="14"/>
                <w:szCs w:val="14"/>
                <w:lang w:val="fr-FR"/>
              </w:rPr>
            </w:pPr>
            <w:r w:rsidRPr="00EB3BE3">
              <w:rPr>
                <w:rFonts w:ascii="Arial" w:eastAsia="Times New Roman" w:hAnsi="Arial"/>
                <w:bCs/>
                <w:color w:val="FFFFFF" w:themeColor="background1"/>
                <w:sz w:val="14"/>
                <w:szCs w:val="14"/>
                <w:lang w:val="fr-FR"/>
              </w:rPr>
              <w:t>31-12-2013</w:t>
            </w:r>
          </w:p>
        </w:tc>
      </w:tr>
      <w:tr w:rsidR="00EB3BE3" w:rsidRPr="00EB3BE3" w:rsidTr="00EB3BE3">
        <w:trPr>
          <w:trHeight w:val="284"/>
        </w:trPr>
        <w:tc>
          <w:tcPr>
            <w:tcW w:w="3686" w:type="dxa"/>
            <w:vAlign w:val="center"/>
            <w:hideMark/>
          </w:tcPr>
          <w:p w:rsidR="00EB3BE3" w:rsidRPr="00EB3BE3" w:rsidRDefault="00EB3BE3" w:rsidP="00EB3BE3">
            <w:pPr>
              <w:snapToGrid w:val="0"/>
              <w:spacing w:after="0"/>
              <w:rPr>
                <w:rFonts w:ascii="Arial" w:eastAsia="Times New Roman" w:hAnsi="Arial"/>
                <w:bCs/>
                <w:sz w:val="14"/>
                <w:szCs w:val="14"/>
                <w:lang w:val="fr-FR"/>
              </w:rPr>
            </w:pPr>
            <w:r w:rsidRPr="00EB3BE3">
              <w:rPr>
                <w:rFonts w:ascii="Arial" w:eastAsia="Times New Roman" w:hAnsi="Arial"/>
                <w:bCs/>
                <w:sz w:val="14"/>
                <w:szCs w:val="14"/>
                <w:lang w:val="fr-FR"/>
              </w:rPr>
              <w:t>Total du bilan</w:t>
            </w:r>
          </w:p>
        </w:tc>
        <w:tc>
          <w:tcPr>
            <w:tcW w:w="79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290 635</w:t>
            </w:r>
          </w:p>
        </w:tc>
        <w:tc>
          <w:tcPr>
            <w:tcW w:w="79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285 848</w:t>
            </w:r>
          </w:p>
        </w:tc>
        <w:tc>
          <w:tcPr>
            <w:tcW w:w="79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270 010</w:t>
            </w:r>
          </w:p>
        </w:tc>
        <w:tc>
          <w:tcPr>
            <w:tcW w:w="79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256 928°</w:t>
            </w:r>
          </w:p>
        </w:tc>
        <w:tc>
          <w:tcPr>
            <w:tcW w:w="79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258 567</w:t>
            </w:r>
          </w:p>
        </w:tc>
        <w:tc>
          <w:tcPr>
            <w:tcW w:w="79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253 297</w:t>
            </w:r>
          </w:p>
        </w:tc>
        <w:tc>
          <w:tcPr>
            <w:tcW w:w="76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250 260</w:t>
            </w:r>
          </w:p>
        </w:tc>
        <w:tc>
          <w:tcPr>
            <w:tcW w:w="794" w:type="dxa"/>
            <w:shd w:val="clear" w:color="auto" w:fill="DBE5F1" w:themeFill="accent1" w:themeFillTint="33"/>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241 306</w:t>
            </w:r>
          </w:p>
        </w:tc>
      </w:tr>
      <w:tr w:rsidR="00EB3BE3" w:rsidRPr="00EB3BE3" w:rsidTr="00EB3BE3">
        <w:trPr>
          <w:trHeight w:val="284"/>
        </w:trPr>
        <w:tc>
          <w:tcPr>
            <w:tcW w:w="3686" w:type="dxa"/>
            <w:vAlign w:val="center"/>
            <w:hideMark/>
          </w:tcPr>
          <w:p w:rsidR="00EB3BE3" w:rsidRPr="00EB3BE3" w:rsidRDefault="00EB3BE3" w:rsidP="00EB3BE3">
            <w:pPr>
              <w:snapToGrid w:val="0"/>
              <w:spacing w:after="0"/>
              <w:rPr>
                <w:rFonts w:ascii="Arial" w:eastAsia="Times New Roman" w:hAnsi="Arial"/>
                <w:bCs/>
                <w:sz w:val="14"/>
                <w:szCs w:val="14"/>
                <w:lang w:val="fr-FR"/>
              </w:rPr>
            </w:pPr>
            <w:r w:rsidRPr="00EB3BE3">
              <w:rPr>
                <w:rFonts w:ascii="Arial" w:eastAsia="Times New Roman" w:hAnsi="Arial"/>
                <w:bCs/>
                <w:sz w:val="14"/>
                <w:szCs w:val="14"/>
                <w:lang w:val="fr-FR"/>
              </w:rPr>
              <w:t>Prêts et avances à la clientèle*</w:t>
            </w:r>
          </w:p>
        </w:tc>
        <w:tc>
          <w:tcPr>
            <w:tcW w:w="79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135 980</w:t>
            </w:r>
          </w:p>
        </w:tc>
        <w:tc>
          <w:tcPr>
            <w:tcW w:w="79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133 326</w:t>
            </w:r>
          </w:p>
        </w:tc>
        <w:tc>
          <w:tcPr>
            <w:tcW w:w="79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131 048</w:t>
            </w:r>
          </w:p>
        </w:tc>
        <w:tc>
          <w:tcPr>
            <w:tcW w:w="79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128 492</w:t>
            </w:r>
          </w:p>
        </w:tc>
        <w:tc>
          <w:tcPr>
            <w:tcW w:w="79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129 753</w:t>
            </w:r>
          </w:p>
        </w:tc>
        <w:tc>
          <w:tcPr>
            <w:tcW w:w="79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131 769</w:t>
            </w:r>
          </w:p>
        </w:tc>
        <w:tc>
          <w:tcPr>
            <w:tcW w:w="76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128 377</w:t>
            </w:r>
          </w:p>
        </w:tc>
        <w:tc>
          <w:tcPr>
            <w:tcW w:w="794" w:type="dxa"/>
            <w:shd w:val="clear" w:color="auto" w:fill="DBE5F1" w:themeFill="accent1" w:themeFillTint="33"/>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122 790</w:t>
            </w:r>
          </w:p>
        </w:tc>
      </w:tr>
      <w:tr w:rsidR="00EB3BE3" w:rsidRPr="00EB3BE3" w:rsidTr="00EB3BE3">
        <w:trPr>
          <w:trHeight w:val="284"/>
        </w:trPr>
        <w:tc>
          <w:tcPr>
            <w:tcW w:w="3686" w:type="dxa"/>
            <w:vAlign w:val="center"/>
            <w:hideMark/>
          </w:tcPr>
          <w:p w:rsidR="00EB3BE3" w:rsidRPr="00EB3BE3" w:rsidRDefault="00EB3BE3" w:rsidP="00EB3BE3">
            <w:pPr>
              <w:snapToGrid w:val="0"/>
              <w:spacing w:after="0"/>
              <w:rPr>
                <w:rFonts w:ascii="Arial" w:eastAsia="Times New Roman" w:hAnsi="Arial"/>
                <w:bCs/>
                <w:sz w:val="14"/>
                <w:szCs w:val="14"/>
                <w:lang w:val="fr-FR"/>
              </w:rPr>
            </w:pPr>
            <w:r w:rsidRPr="00EB3BE3">
              <w:rPr>
                <w:rFonts w:ascii="Arial" w:eastAsia="Times New Roman" w:hAnsi="Arial"/>
                <w:bCs/>
                <w:sz w:val="14"/>
                <w:szCs w:val="14"/>
                <w:lang w:val="fr-FR"/>
              </w:rPr>
              <w:t>Titres (actions et titres de créance)*</w:t>
            </w:r>
          </w:p>
        </w:tc>
        <w:tc>
          <w:tcPr>
            <w:tcW w:w="79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65 853</w:t>
            </w:r>
          </w:p>
        </w:tc>
        <w:tc>
          <w:tcPr>
            <w:tcW w:w="79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64 227</w:t>
            </w:r>
          </w:p>
        </w:tc>
        <w:tc>
          <w:tcPr>
            <w:tcW w:w="79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65 171</w:t>
            </w:r>
          </w:p>
        </w:tc>
        <w:tc>
          <w:tcPr>
            <w:tcW w:w="79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67 295</w:t>
            </w:r>
          </w:p>
        </w:tc>
        <w:tc>
          <w:tcPr>
            <w:tcW w:w="79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65 071</w:t>
            </w:r>
          </w:p>
        </w:tc>
        <w:tc>
          <w:tcPr>
            <w:tcW w:w="79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65 722</w:t>
            </w:r>
          </w:p>
        </w:tc>
        <w:tc>
          <w:tcPr>
            <w:tcW w:w="76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64 147</w:t>
            </w:r>
          </w:p>
        </w:tc>
        <w:tc>
          <w:tcPr>
            <w:tcW w:w="794" w:type="dxa"/>
            <w:shd w:val="clear" w:color="auto" w:fill="DBE5F1" w:themeFill="accent1" w:themeFillTint="33"/>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65 177</w:t>
            </w:r>
          </w:p>
        </w:tc>
      </w:tr>
      <w:tr w:rsidR="00EB3BE3" w:rsidRPr="00EB3BE3" w:rsidTr="00EB3BE3">
        <w:trPr>
          <w:trHeight w:val="284"/>
        </w:trPr>
        <w:tc>
          <w:tcPr>
            <w:tcW w:w="3686" w:type="dxa"/>
            <w:vAlign w:val="center"/>
            <w:hideMark/>
          </w:tcPr>
          <w:p w:rsidR="00EB3BE3" w:rsidRPr="00EB3BE3" w:rsidRDefault="00EB3BE3" w:rsidP="00EB3BE3">
            <w:pPr>
              <w:snapToGrid w:val="0"/>
              <w:spacing w:after="0"/>
              <w:rPr>
                <w:rFonts w:ascii="Arial" w:eastAsia="Times New Roman" w:hAnsi="Arial"/>
                <w:bCs/>
                <w:sz w:val="14"/>
                <w:szCs w:val="14"/>
                <w:lang w:val="fr-FR"/>
              </w:rPr>
            </w:pPr>
            <w:r w:rsidRPr="00EB3BE3">
              <w:rPr>
                <w:rFonts w:ascii="Arial" w:eastAsia="Times New Roman" w:hAnsi="Arial"/>
                <w:bCs/>
                <w:sz w:val="14"/>
                <w:szCs w:val="14"/>
                <w:lang w:val="fr-FR"/>
              </w:rPr>
              <w:t>Dépôts de la clientèle et titres de créance*</w:t>
            </w:r>
          </w:p>
        </w:tc>
        <w:tc>
          <w:tcPr>
            <w:tcW w:w="79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166 551</w:t>
            </w:r>
          </w:p>
        </w:tc>
        <w:tc>
          <w:tcPr>
            <w:tcW w:w="79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163 685</w:t>
            </w:r>
          </w:p>
        </w:tc>
        <w:tc>
          <w:tcPr>
            <w:tcW w:w="79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160 945</w:t>
            </w:r>
          </w:p>
        </w:tc>
        <w:tc>
          <w:tcPr>
            <w:tcW w:w="79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159 632</w:t>
            </w:r>
          </w:p>
        </w:tc>
        <w:tc>
          <w:tcPr>
            <w:tcW w:w="79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167 994</w:t>
            </w:r>
          </w:p>
        </w:tc>
        <w:tc>
          <w:tcPr>
            <w:tcW w:w="79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167 414</w:t>
            </w:r>
          </w:p>
        </w:tc>
        <w:tc>
          <w:tcPr>
            <w:tcW w:w="76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169 413</w:t>
            </w:r>
          </w:p>
        </w:tc>
        <w:tc>
          <w:tcPr>
            <w:tcW w:w="794" w:type="dxa"/>
            <w:shd w:val="clear" w:color="auto" w:fill="DBE5F1" w:themeFill="accent1" w:themeFillTint="33"/>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164 141</w:t>
            </w:r>
          </w:p>
        </w:tc>
      </w:tr>
      <w:tr w:rsidR="00EB3BE3" w:rsidRPr="00EB3BE3" w:rsidTr="00EB3BE3">
        <w:trPr>
          <w:trHeight w:val="74"/>
        </w:trPr>
        <w:tc>
          <w:tcPr>
            <w:tcW w:w="3686" w:type="dxa"/>
            <w:vAlign w:val="center"/>
            <w:hideMark/>
          </w:tcPr>
          <w:p w:rsidR="00EB3BE3" w:rsidRPr="00EB3BE3" w:rsidRDefault="00EB3BE3" w:rsidP="00EB3BE3">
            <w:pPr>
              <w:snapToGrid w:val="0"/>
              <w:spacing w:before="120" w:after="0"/>
              <w:rPr>
                <w:rFonts w:ascii="Arial" w:eastAsia="Times New Roman" w:hAnsi="Arial"/>
                <w:bCs/>
                <w:sz w:val="14"/>
                <w:szCs w:val="14"/>
                <w:lang w:val="fr-FR"/>
              </w:rPr>
            </w:pPr>
            <w:r w:rsidRPr="00EB3BE3">
              <w:rPr>
                <w:rFonts w:ascii="Arial" w:eastAsia="Times New Roman" w:hAnsi="Arial"/>
                <w:bCs/>
                <w:sz w:val="14"/>
                <w:szCs w:val="14"/>
                <w:lang w:val="fr-FR"/>
              </w:rPr>
              <w:t>Provisions techniques avant réassurance*</w:t>
            </w:r>
          </w:p>
        </w:tc>
        <w:tc>
          <w:tcPr>
            <w:tcW w:w="79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19 925</w:t>
            </w:r>
          </w:p>
        </w:tc>
        <w:tc>
          <w:tcPr>
            <w:tcW w:w="79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19 539</w:t>
            </w:r>
          </w:p>
        </w:tc>
        <w:tc>
          <w:tcPr>
            <w:tcW w:w="79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19 637</w:t>
            </w:r>
          </w:p>
        </w:tc>
        <w:tc>
          <w:tcPr>
            <w:tcW w:w="79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19 205</w:t>
            </w:r>
          </w:p>
        </w:tc>
        <w:tc>
          <w:tcPr>
            <w:tcW w:w="79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18 836</w:t>
            </w:r>
          </w:p>
        </w:tc>
        <w:tc>
          <w:tcPr>
            <w:tcW w:w="79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18 805</w:t>
            </w:r>
          </w:p>
        </w:tc>
        <w:tc>
          <w:tcPr>
            <w:tcW w:w="76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18 803</w:t>
            </w:r>
          </w:p>
        </w:tc>
        <w:tc>
          <w:tcPr>
            <w:tcW w:w="794" w:type="dxa"/>
            <w:shd w:val="clear" w:color="auto" w:fill="DBE5F1" w:themeFill="accent1" w:themeFillTint="33"/>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18 701</w:t>
            </w:r>
          </w:p>
        </w:tc>
      </w:tr>
      <w:tr w:rsidR="00EB3BE3" w:rsidRPr="00EB3BE3" w:rsidTr="00EB3BE3">
        <w:trPr>
          <w:trHeight w:val="284"/>
        </w:trPr>
        <w:tc>
          <w:tcPr>
            <w:tcW w:w="3686" w:type="dxa"/>
            <w:vAlign w:val="center"/>
            <w:hideMark/>
          </w:tcPr>
          <w:p w:rsidR="00EB3BE3" w:rsidRPr="00EB3BE3" w:rsidRDefault="00EB3BE3" w:rsidP="00EB3BE3">
            <w:pPr>
              <w:snapToGrid w:val="0"/>
              <w:spacing w:before="120" w:after="0"/>
              <w:rPr>
                <w:rFonts w:ascii="Arial" w:eastAsia="Times New Roman" w:hAnsi="Arial"/>
                <w:bCs/>
                <w:sz w:val="14"/>
                <w:szCs w:val="14"/>
                <w:lang w:val="fr-FR"/>
              </w:rPr>
            </w:pPr>
            <w:r w:rsidRPr="00EB3BE3">
              <w:rPr>
                <w:rFonts w:ascii="Arial" w:eastAsia="Times New Roman" w:hAnsi="Arial"/>
                <w:bCs/>
                <w:sz w:val="14"/>
                <w:szCs w:val="14"/>
                <w:lang w:val="fr-FR"/>
              </w:rPr>
              <w:t>Dettes de contrats d'investissement, assurance*</w:t>
            </w:r>
          </w:p>
        </w:tc>
        <w:tc>
          <w:tcPr>
            <w:tcW w:w="79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7 871</w:t>
            </w:r>
          </w:p>
        </w:tc>
        <w:tc>
          <w:tcPr>
            <w:tcW w:w="79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8 856</w:t>
            </w:r>
          </w:p>
        </w:tc>
        <w:tc>
          <w:tcPr>
            <w:tcW w:w="79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9 680</w:t>
            </w:r>
          </w:p>
        </w:tc>
        <w:tc>
          <w:tcPr>
            <w:tcW w:w="79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10 853</w:t>
            </w:r>
          </w:p>
        </w:tc>
        <w:tc>
          <w:tcPr>
            <w:tcW w:w="79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11 664</w:t>
            </w:r>
          </w:p>
        </w:tc>
        <w:tc>
          <w:tcPr>
            <w:tcW w:w="79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11 606</w:t>
            </w:r>
          </w:p>
        </w:tc>
        <w:tc>
          <w:tcPr>
            <w:tcW w:w="76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11 684</w:t>
            </w:r>
          </w:p>
        </w:tc>
        <w:tc>
          <w:tcPr>
            <w:tcW w:w="794" w:type="dxa"/>
            <w:shd w:val="clear" w:color="auto" w:fill="DBE5F1" w:themeFill="accent1" w:themeFillTint="33"/>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11 787</w:t>
            </w:r>
          </w:p>
        </w:tc>
      </w:tr>
      <w:tr w:rsidR="00EB3BE3" w:rsidRPr="00EB3BE3" w:rsidTr="00EB3BE3">
        <w:trPr>
          <w:trHeight w:val="284"/>
        </w:trPr>
        <w:tc>
          <w:tcPr>
            <w:tcW w:w="3686" w:type="dxa"/>
            <w:vAlign w:val="center"/>
            <w:hideMark/>
          </w:tcPr>
          <w:p w:rsidR="00EB3BE3" w:rsidRPr="00EB3BE3" w:rsidRDefault="00EB3BE3" w:rsidP="00EB3BE3">
            <w:pPr>
              <w:snapToGrid w:val="0"/>
              <w:spacing w:before="120" w:after="0"/>
              <w:rPr>
                <w:rFonts w:ascii="Arial" w:eastAsia="Times New Roman" w:hAnsi="Arial"/>
                <w:bCs/>
                <w:sz w:val="14"/>
                <w:szCs w:val="14"/>
                <w:lang w:val="fr-FR"/>
              </w:rPr>
            </w:pPr>
            <w:r w:rsidRPr="00EB3BE3">
              <w:rPr>
                <w:rFonts w:ascii="Arial" w:eastAsia="Times New Roman" w:hAnsi="Arial"/>
                <w:bCs/>
                <w:sz w:val="14"/>
                <w:szCs w:val="14"/>
                <w:lang w:val="fr-FR"/>
              </w:rPr>
              <w:t>Capitaux propres de la société mère</w:t>
            </w:r>
          </w:p>
        </w:tc>
        <w:tc>
          <w:tcPr>
            <w:tcW w:w="79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10 949</w:t>
            </w:r>
          </w:p>
        </w:tc>
        <w:tc>
          <w:tcPr>
            <w:tcW w:w="79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9 687</w:t>
            </w:r>
          </w:p>
        </w:tc>
        <w:tc>
          <w:tcPr>
            <w:tcW w:w="79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10 629</w:t>
            </w:r>
          </w:p>
        </w:tc>
        <w:tc>
          <w:tcPr>
            <w:tcW w:w="79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12 017°</w:t>
            </w:r>
          </w:p>
        </w:tc>
        <w:tc>
          <w:tcPr>
            <w:tcW w:w="79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12 505</w:t>
            </w:r>
          </w:p>
        </w:tc>
        <w:tc>
          <w:tcPr>
            <w:tcW w:w="79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12 119</w:t>
            </w:r>
          </w:p>
        </w:tc>
        <w:tc>
          <w:tcPr>
            <w:tcW w:w="76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11 895</w:t>
            </w:r>
          </w:p>
        </w:tc>
        <w:tc>
          <w:tcPr>
            <w:tcW w:w="794" w:type="dxa"/>
            <w:shd w:val="clear" w:color="auto" w:fill="DBE5F1" w:themeFill="accent1" w:themeFillTint="33"/>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11 826</w:t>
            </w:r>
          </w:p>
        </w:tc>
      </w:tr>
      <w:tr w:rsidR="00EB3BE3" w:rsidRPr="00EB3BE3" w:rsidTr="00EB3BE3">
        <w:trPr>
          <w:trHeight w:val="284"/>
        </w:trPr>
        <w:tc>
          <w:tcPr>
            <w:tcW w:w="3686" w:type="dxa"/>
            <w:tcBorders>
              <w:top w:val="nil"/>
              <w:left w:val="nil"/>
              <w:bottom w:val="single" w:sz="8" w:space="0" w:color="1F497D" w:themeColor="text2"/>
              <w:right w:val="nil"/>
            </w:tcBorders>
            <w:vAlign w:val="center"/>
            <w:hideMark/>
          </w:tcPr>
          <w:p w:rsidR="00EB3BE3" w:rsidRPr="00EB3BE3" w:rsidRDefault="00EB3BE3" w:rsidP="00EB3BE3">
            <w:pPr>
              <w:snapToGrid w:val="0"/>
              <w:spacing w:before="120" w:after="0"/>
              <w:rPr>
                <w:rFonts w:ascii="Arial" w:eastAsia="Times New Roman" w:hAnsi="Arial"/>
                <w:bCs/>
                <w:sz w:val="14"/>
                <w:szCs w:val="14"/>
                <w:lang w:val="fr-FR"/>
              </w:rPr>
            </w:pPr>
            <w:r w:rsidRPr="00EB3BE3">
              <w:rPr>
                <w:rFonts w:ascii="Arial" w:eastAsia="Times New Roman" w:hAnsi="Arial"/>
                <w:bCs/>
                <w:sz w:val="14"/>
                <w:szCs w:val="14"/>
                <w:lang w:val="fr-FR"/>
              </w:rPr>
              <w:t>Titres de capital de base sans droit de vote</w:t>
            </w:r>
          </w:p>
        </w:tc>
        <w:tc>
          <w:tcPr>
            <w:tcW w:w="794" w:type="dxa"/>
            <w:tcBorders>
              <w:top w:val="nil"/>
              <w:left w:val="nil"/>
              <w:bottom w:val="single" w:sz="8" w:space="0" w:color="1F497D" w:themeColor="text2"/>
              <w:right w:val="nil"/>
            </w:tcBorders>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6 500</w:t>
            </w:r>
          </w:p>
        </w:tc>
        <w:tc>
          <w:tcPr>
            <w:tcW w:w="794" w:type="dxa"/>
            <w:tcBorders>
              <w:top w:val="nil"/>
              <w:left w:val="nil"/>
              <w:bottom w:val="single" w:sz="8" w:space="0" w:color="1F497D" w:themeColor="text2"/>
              <w:right w:val="nil"/>
            </w:tcBorders>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6 500</w:t>
            </w:r>
          </w:p>
        </w:tc>
        <w:tc>
          <w:tcPr>
            <w:tcW w:w="794" w:type="dxa"/>
            <w:tcBorders>
              <w:top w:val="nil"/>
              <w:left w:val="nil"/>
              <w:bottom w:val="single" w:sz="8" w:space="0" w:color="1F497D" w:themeColor="text2"/>
              <w:right w:val="nil"/>
            </w:tcBorders>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6 500</w:t>
            </w:r>
          </w:p>
        </w:tc>
        <w:tc>
          <w:tcPr>
            <w:tcW w:w="794" w:type="dxa"/>
            <w:tcBorders>
              <w:top w:val="nil"/>
              <w:left w:val="nil"/>
              <w:bottom w:val="single" w:sz="8" w:space="0" w:color="1F497D" w:themeColor="text2"/>
              <w:right w:val="nil"/>
            </w:tcBorders>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3 500</w:t>
            </w:r>
          </w:p>
        </w:tc>
        <w:tc>
          <w:tcPr>
            <w:tcW w:w="794" w:type="dxa"/>
            <w:tcBorders>
              <w:top w:val="nil"/>
              <w:left w:val="nil"/>
              <w:bottom w:val="single" w:sz="8" w:space="0" w:color="1F497D" w:themeColor="text2"/>
              <w:right w:val="nil"/>
            </w:tcBorders>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3 500</w:t>
            </w:r>
          </w:p>
        </w:tc>
        <w:tc>
          <w:tcPr>
            <w:tcW w:w="794" w:type="dxa"/>
            <w:tcBorders>
              <w:top w:val="nil"/>
              <w:left w:val="nil"/>
              <w:bottom w:val="single" w:sz="8" w:space="0" w:color="1F497D" w:themeColor="text2"/>
              <w:right w:val="nil"/>
            </w:tcBorders>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3 500</w:t>
            </w:r>
          </w:p>
        </w:tc>
        <w:tc>
          <w:tcPr>
            <w:tcW w:w="764" w:type="dxa"/>
            <w:tcBorders>
              <w:top w:val="nil"/>
              <w:left w:val="nil"/>
              <w:bottom w:val="single" w:sz="8" w:space="0" w:color="1F497D" w:themeColor="text2"/>
              <w:right w:val="nil"/>
            </w:tcBorders>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2 333</w:t>
            </w:r>
          </w:p>
        </w:tc>
        <w:tc>
          <w:tcPr>
            <w:tcW w:w="794" w:type="dxa"/>
            <w:tcBorders>
              <w:top w:val="nil"/>
              <w:left w:val="nil"/>
              <w:bottom w:val="single" w:sz="8" w:space="0" w:color="1F497D" w:themeColor="text2"/>
              <w:right w:val="nil"/>
            </w:tcBorders>
            <w:shd w:val="clear" w:color="auto" w:fill="DBE5F1" w:themeFill="accent1" w:themeFillTint="33"/>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2 333</w:t>
            </w:r>
          </w:p>
        </w:tc>
      </w:tr>
      <w:tr w:rsidR="00EB3BE3" w:rsidRPr="00EB3BE3" w:rsidTr="00EB3BE3">
        <w:trPr>
          <w:trHeight w:val="339"/>
        </w:trPr>
        <w:tc>
          <w:tcPr>
            <w:tcW w:w="10008" w:type="dxa"/>
            <w:gridSpan w:val="9"/>
            <w:tcBorders>
              <w:top w:val="single" w:sz="8" w:space="0" w:color="1F497D" w:themeColor="text2"/>
              <w:left w:val="nil"/>
              <w:bottom w:val="nil"/>
              <w:right w:val="nil"/>
            </w:tcBorders>
            <w:vAlign w:val="center"/>
          </w:tcPr>
          <w:p w:rsidR="00EB3BE3" w:rsidRPr="00EB3BE3" w:rsidRDefault="00EB3BE3" w:rsidP="00EB3BE3">
            <w:pPr>
              <w:spacing w:after="0"/>
              <w:ind w:left="88" w:hanging="88"/>
              <w:outlineLvl w:val="8"/>
              <w:rPr>
                <w:rFonts w:ascii="Arial" w:eastAsia="Times New Roman" w:hAnsi="Arial"/>
                <w:bCs/>
                <w:sz w:val="12"/>
                <w:szCs w:val="12"/>
                <w:lang w:val="fr-FR"/>
              </w:rPr>
            </w:pPr>
            <w:r w:rsidRPr="00EB3BE3">
              <w:rPr>
                <w:rFonts w:ascii="Arial" w:eastAsia="Times New Roman" w:hAnsi="Arial"/>
                <w:bCs/>
                <w:sz w:val="12"/>
                <w:szCs w:val="12"/>
                <w:lang w:val="fr-FR"/>
              </w:rPr>
              <w:t>* Conformément à l'IFRS 5, les actifs et passifs d’un certain nombre de désinvestissements ont été réattribués aux postes « Actifs non courants détenus en vue de la vente et groupes destinés à être cédés » et « Passifs liés à des groupes d'actifs destinés à être cédés », ce qui fausse légèrement la comparaison entre périodes.</w:t>
            </w:r>
          </w:p>
          <w:p w:rsidR="00EB3BE3" w:rsidRPr="00EB3BE3" w:rsidRDefault="00EB3BE3" w:rsidP="00EB3BE3">
            <w:pPr>
              <w:spacing w:after="0"/>
              <w:ind w:left="88" w:hanging="88"/>
              <w:outlineLvl w:val="8"/>
              <w:rPr>
                <w:rFonts w:ascii="Arial" w:eastAsia="Times New Roman" w:hAnsi="Arial"/>
                <w:bCs/>
                <w:sz w:val="12"/>
                <w:szCs w:val="12"/>
                <w:lang w:val="fr-FR"/>
              </w:rPr>
            </w:pPr>
            <w:r w:rsidRPr="00EB3BE3">
              <w:rPr>
                <w:rFonts w:ascii="Arial" w:eastAsia="Times New Roman" w:hAnsi="Arial"/>
                <w:bCs/>
                <w:sz w:val="12"/>
                <w:szCs w:val="12"/>
                <w:lang w:val="fr-FR"/>
              </w:rPr>
              <w:t>° Chiffre redressé pour refléter les modifications à l'IAS 19 en vigueur depuis le 1er janvier 2013.</w:t>
            </w:r>
          </w:p>
          <w:p w:rsidR="00EB3BE3" w:rsidRPr="00EB3BE3" w:rsidRDefault="00EB3BE3" w:rsidP="00EB3BE3">
            <w:pPr>
              <w:spacing w:after="0"/>
              <w:ind w:left="88" w:hanging="88"/>
              <w:outlineLvl w:val="8"/>
              <w:rPr>
                <w:rFonts w:ascii="Times New Roman" w:eastAsia="Times New Roman" w:hAnsi="Times New Roman"/>
                <w:sz w:val="14"/>
                <w:szCs w:val="14"/>
                <w:lang w:val="fr-FR"/>
              </w:rPr>
            </w:pPr>
          </w:p>
        </w:tc>
      </w:tr>
    </w:tbl>
    <w:p w:rsidR="00EB3BE3" w:rsidRDefault="00EB3BE3" w:rsidP="00EB3BE3">
      <w:pPr>
        <w:autoSpaceDE w:val="0"/>
        <w:autoSpaceDN w:val="0"/>
        <w:adjustRightInd w:val="0"/>
        <w:spacing w:after="120" w:line="240" w:lineRule="auto"/>
        <w:ind w:left="992" w:right="6"/>
        <w:jc w:val="both"/>
        <w:rPr>
          <w:rFonts w:cs="Arial"/>
          <w:bCs/>
          <w:color w:val="003768"/>
          <w:sz w:val="20"/>
          <w:szCs w:val="20"/>
          <w:lang w:val="fr-FR"/>
        </w:rPr>
      </w:pPr>
    </w:p>
    <w:p w:rsidR="00EB3BE3" w:rsidRDefault="00EB3BE3" w:rsidP="00EB3BE3">
      <w:pPr>
        <w:autoSpaceDE w:val="0"/>
        <w:autoSpaceDN w:val="0"/>
        <w:adjustRightInd w:val="0"/>
        <w:spacing w:after="120" w:line="240" w:lineRule="auto"/>
        <w:ind w:left="992" w:right="6"/>
        <w:jc w:val="both"/>
        <w:rPr>
          <w:rFonts w:cs="Arial"/>
          <w:bCs/>
          <w:color w:val="003768"/>
          <w:sz w:val="20"/>
          <w:szCs w:val="20"/>
          <w:lang w:val="fr-FR"/>
        </w:rPr>
      </w:pPr>
      <w:r>
        <w:rPr>
          <w:rFonts w:cs="Arial"/>
          <w:bCs/>
          <w:noProof/>
          <w:color w:val="003768"/>
          <w:sz w:val="20"/>
          <w:szCs w:val="20"/>
          <w:lang w:val="nl-BE" w:eastAsia="nl-BE"/>
        </w:rPr>
        <w:drawing>
          <wp:inline distT="0" distB="0" distL="0" distR="0" wp14:anchorId="434762C0">
            <wp:extent cx="6450330" cy="530225"/>
            <wp:effectExtent l="0" t="0" r="7620" b="317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50330" cy="530225"/>
                    </a:xfrm>
                    <a:prstGeom prst="rect">
                      <a:avLst/>
                    </a:prstGeom>
                    <a:noFill/>
                  </pic:spPr>
                </pic:pic>
              </a:graphicData>
            </a:graphic>
          </wp:inline>
        </w:drawing>
      </w:r>
    </w:p>
    <w:tbl>
      <w:tblPr>
        <w:tblW w:w="10065" w:type="dxa"/>
        <w:tblInd w:w="1283" w:type="dxa"/>
        <w:tblLook w:val="01E0" w:firstRow="1" w:lastRow="1" w:firstColumn="1" w:lastColumn="1" w:noHBand="0" w:noVBand="0"/>
      </w:tblPr>
      <w:tblGrid>
        <w:gridCol w:w="5954"/>
        <w:gridCol w:w="1843"/>
        <w:gridCol w:w="1134"/>
        <w:gridCol w:w="1134"/>
      </w:tblGrid>
      <w:tr w:rsidR="00EB3BE3" w:rsidRPr="00EB3BE3" w:rsidTr="00EB3BE3">
        <w:tc>
          <w:tcPr>
            <w:tcW w:w="5954" w:type="dxa"/>
            <w:shd w:val="clear" w:color="auto" w:fill="1F497D" w:themeFill="text2"/>
            <w:vAlign w:val="center"/>
            <w:hideMark/>
          </w:tcPr>
          <w:p w:rsidR="00EB3BE3" w:rsidRPr="00EB3BE3" w:rsidRDefault="00EB3BE3" w:rsidP="00EB3BE3">
            <w:pPr>
              <w:snapToGrid w:val="0"/>
              <w:spacing w:after="0"/>
              <w:rPr>
                <w:rFonts w:ascii="Arial" w:eastAsia="Times New Roman" w:hAnsi="Arial"/>
                <w:bCs/>
                <w:color w:val="FFFFFF" w:themeColor="background1"/>
                <w:sz w:val="14"/>
                <w:szCs w:val="14"/>
                <w:lang w:val="fr-FR"/>
              </w:rPr>
            </w:pPr>
            <w:r w:rsidRPr="00EB3BE3">
              <w:rPr>
                <w:rFonts w:ascii="Arial" w:eastAsia="Times New Roman" w:hAnsi="Arial"/>
                <w:bCs/>
                <w:color w:val="FFFFFF" w:themeColor="background1"/>
                <w:sz w:val="14"/>
                <w:szCs w:val="14"/>
                <w:lang w:val="fr-FR"/>
              </w:rPr>
              <w:t>Ratios sélectionnés</w:t>
            </w:r>
          </w:p>
          <w:p w:rsidR="00EB3BE3" w:rsidRPr="00EB3BE3" w:rsidRDefault="00EB3BE3" w:rsidP="00EB3BE3">
            <w:pPr>
              <w:snapToGrid w:val="0"/>
              <w:spacing w:after="0"/>
              <w:rPr>
                <w:rFonts w:ascii="Arial" w:eastAsia="Times New Roman" w:hAnsi="Arial"/>
                <w:bCs/>
                <w:color w:val="FFFFFF" w:themeColor="background1"/>
                <w:sz w:val="14"/>
                <w:szCs w:val="14"/>
                <w:lang w:val="fr-FR"/>
              </w:rPr>
            </w:pPr>
            <w:r w:rsidRPr="00EB3BE3">
              <w:rPr>
                <w:rFonts w:ascii="Arial" w:eastAsia="Times New Roman" w:hAnsi="Arial"/>
                <w:bCs/>
                <w:color w:val="FFFFFF" w:themeColor="background1"/>
                <w:sz w:val="14"/>
                <w:szCs w:val="14"/>
                <w:lang w:val="fr-FR"/>
              </w:rPr>
              <w:t>KBC Groupe (consolidé)</w:t>
            </w:r>
          </w:p>
        </w:tc>
        <w:tc>
          <w:tcPr>
            <w:tcW w:w="1843" w:type="dxa"/>
            <w:shd w:val="clear" w:color="auto" w:fill="1F497D" w:themeFill="text2"/>
            <w:vAlign w:val="center"/>
          </w:tcPr>
          <w:p w:rsidR="00EB3BE3" w:rsidRPr="00EB3BE3" w:rsidRDefault="00EB3BE3" w:rsidP="00EB3BE3">
            <w:pPr>
              <w:snapToGrid w:val="0"/>
              <w:spacing w:after="0"/>
              <w:jc w:val="right"/>
              <w:rPr>
                <w:rFonts w:ascii="Arial" w:eastAsia="Times New Roman" w:hAnsi="Arial"/>
                <w:bCs/>
                <w:color w:val="FFFFFF" w:themeColor="background1"/>
                <w:sz w:val="14"/>
                <w:szCs w:val="14"/>
                <w:lang w:val="fr-FR"/>
              </w:rPr>
            </w:pPr>
          </w:p>
        </w:tc>
        <w:tc>
          <w:tcPr>
            <w:tcW w:w="1134" w:type="dxa"/>
            <w:shd w:val="clear" w:color="auto" w:fill="1F497D" w:themeFill="text2"/>
            <w:vAlign w:val="center"/>
            <w:hideMark/>
          </w:tcPr>
          <w:p w:rsidR="00EB3BE3" w:rsidRPr="00EB3BE3" w:rsidRDefault="00EB3BE3" w:rsidP="00EB3BE3">
            <w:pPr>
              <w:snapToGrid w:val="0"/>
              <w:spacing w:after="0"/>
              <w:jc w:val="right"/>
              <w:rPr>
                <w:rFonts w:ascii="Arial" w:eastAsia="Times New Roman" w:hAnsi="Arial"/>
                <w:bCs/>
                <w:color w:val="FFFFFF" w:themeColor="background1"/>
                <w:sz w:val="14"/>
                <w:szCs w:val="14"/>
                <w:lang w:val="fr-FR"/>
              </w:rPr>
            </w:pPr>
            <w:r w:rsidRPr="00EB3BE3">
              <w:rPr>
                <w:rFonts w:ascii="Arial" w:eastAsia="Times New Roman" w:hAnsi="Arial"/>
                <w:bCs/>
                <w:color w:val="FFFFFF" w:themeColor="background1"/>
                <w:sz w:val="14"/>
                <w:szCs w:val="14"/>
                <w:lang w:val="fr-FR"/>
              </w:rPr>
              <w:t>Exercice 2012</w:t>
            </w:r>
          </w:p>
        </w:tc>
        <w:tc>
          <w:tcPr>
            <w:tcW w:w="1134" w:type="dxa"/>
            <w:shd w:val="clear" w:color="auto" w:fill="1F497D" w:themeFill="text2"/>
            <w:vAlign w:val="center"/>
            <w:hideMark/>
          </w:tcPr>
          <w:p w:rsidR="00EB3BE3" w:rsidRPr="00EB3BE3" w:rsidRDefault="00EB3BE3" w:rsidP="00EB3BE3">
            <w:pPr>
              <w:snapToGrid w:val="0"/>
              <w:spacing w:after="0"/>
              <w:jc w:val="right"/>
              <w:rPr>
                <w:rFonts w:ascii="Arial" w:eastAsia="Times New Roman" w:hAnsi="Arial"/>
                <w:bCs/>
                <w:color w:val="FFFFFF" w:themeColor="background1"/>
                <w:sz w:val="14"/>
                <w:szCs w:val="14"/>
                <w:lang w:val="fr-FR"/>
              </w:rPr>
            </w:pPr>
            <w:r w:rsidRPr="00EB3BE3">
              <w:rPr>
                <w:rFonts w:ascii="Arial" w:eastAsia="Times New Roman" w:hAnsi="Arial"/>
                <w:bCs/>
                <w:color w:val="FFFFFF" w:themeColor="background1"/>
                <w:sz w:val="14"/>
                <w:szCs w:val="14"/>
                <w:lang w:val="fr-FR"/>
              </w:rPr>
              <w:t>Exercice 2013</w:t>
            </w:r>
          </w:p>
        </w:tc>
      </w:tr>
      <w:tr w:rsidR="00EB3BE3" w:rsidRPr="00EB3BE3" w:rsidTr="00EB3BE3">
        <w:trPr>
          <w:trHeight w:val="227"/>
        </w:trPr>
        <w:tc>
          <w:tcPr>
            <w:tcW w:w="5954" w:type="dxa"/>
            <w:tcBorders>
              <w:top w:val="nil"/>
              <w:left w:val="nil"/>
              <w:bottom w:val="single" w:sz="8" w:space="0" w:color="365F91" w:themeColor="accent1" w:themeShade="BF"/>
              <w:right w:val="nil"/>
            </w:tcBorders>
            <w:vAlign w:val="center"/>
            <w:hideMark/>
          </w:tcPr>
          <w:p w:rsidR="00EB3BE3" w:rsidRPr="00EB3BE3" w:rsidRDefault="00EB3BE3" w:rsidP="00EB3BE3">
            <w:pPr>
              <w:snapToGrid w:val="0"/>
              <w:spacing w:after="0"/>
              <w:rPr>
                <w:rFonts w:ascii="Arial" w:eastAsia="Times New Roman" w:hAnsi="Arial"/>
                <w:bCs/>
                <w:sz w:val="14"/>
                <w:szCs w:val="14"/>
                <w:lang w:val="fr-FR"/>
              </w:rPr>
            </w:pPr>
            <w:r w:rsidRPr="00EB3BE3">
              <w:rPr>
                <w:rFonts w:ascii="Arial" w:eastAsia="Times New Roman" w:hAnsi="Arial"/>
                <w:bCs/>
                <w:sz w:val="14"/>
                <w:szCs w:val="14"/>
                <w:lang w:val="fr-FR"/>
              </w:rPr>
              <w:t>Rentabilité et efficacité (basées sur le résultat net ajusté)</w:t>
            </w:r>
          </w:p>
        </w:tc>
        <w:tc>
          <w:tcPr>
            <w:tcW w:w="1843" w:type="dxa"/>
            <w:tcBorders>
              <w:top w:val="nil"/>
              <w:left w:val="nil"/>
              <w:bottom w:val="single" w:sz="8" w:space="0" w:color="365F91" w:themeColor="accent1" w:themeShade="BF"/>
              <w:right w:val="nil"/>
            </w:tcBorders>
            <w:vAlign w:val="center"/>
          </w:tcPr>
          <w:p w:rsidR="00EB3BE3" w:rsidRPr="00EB3BE3" w:rsidRDefault="00EB3BE3" w:rsidP="00EB3BE3">
            <w:pPr>
              <w:snapToGrid w:val="0"/>
              <w:spacing w:after="0"/>
              <w:jc w:val="right"/>
              <w:rPr>
                <w:rFonts w:ascii="Arial" w:eastAsia="Times New Roman" w:hAnsi="Arial"/>
                <w:bCs/>
                <w:sz w:val="14"/>
                <w:szCs w:val="14"/>
                <w:lang w:val="fr-FR"/>
              </w:rPr>
            </w:pPr>
          </w:p>
        </w:tc>
        <w:tc>
          <w:tcPr>
            <w:tcW w:w="1134" w:type="dxa"/>
            <w:tcBorders>
              <w:top w:val="nil"/>
              <w:left w:val="nil"/>
              <w:bottom w:val="single" w:sz="8" w:space="0" w:color="365F91" w:themeColor="accent1" w:themeShade="BF"/>
              <w:right w:val="nil"/>
            </w:tcBorders>
            <w:vAlign w:val="center"/>
          </w:tcPr>
          <w:p w:rsidR="00EB3BE3" w:rsidRPr="00EB3BE3" w:rsidRDefault="00EB3BE3" w:rsidP="00EB3BE3">
            <w:pPr>
              <w:snapToGrid w:val="0"/>
              <w:spacing w:after="0"/>
              <w:jc w:val="right"/>
              <w:rPr>
                <w:rFonts w:ascii="Arial" w:eastAsia="Times New Roman" w:hAnsi="Arial"/>
                <w:bCs/>
                <w:sz w:val="14"/>
                <w:szCs w:val="14"/>
                <w:lang w:val="fr-FR"/>
              </w:rPr>
            </w:pPr>
          </w:p>
        </w:tc>
        <w:tc>
          <w:tcPr>
            <w:tcW w:w="1134" w:type="dxa"/>
            <w:tcBorders>
              <w:top w:val="nil"/>
              <w:left w:val="nil"/>
              <w:bottom w:val="single" w:sz="8" w:space="0" w:color="365F91" w:themeColor="accent1" w:themeShade="BF"/>
              <w:right w:val="nil"/>
            </w:tcBorders>
            <w:shd w:val="clear" w:color="auto" w:fill="DBE5F1" w:themeFill="accent1" w:themeFillTint="33"/>
            <w:vAlign w:val="center"/>
          </w:tcPr>
          <w:p w:rsidR="00EB3BE3" w:rsidRPr="00EB3BE3" w:rsidRDefault="00EB3BE3" w:rsidP="00EB3BE3">
            <w:pPr>
              <w:snapToGrid w:val="0"/>
              <w:spacing w:after="0"/>
              <w:jc w:val="right"/>
              <w:rPr>
                <w:rFonts w:ascii="Arial" w:eastAsia="Times New Roman" w:hAnsi="Arial"/>
                <w:bCs/>
                <w:sz w:val="14"/>
                <w:szCs w:val="14"/>
                <w:lang w:val="fr-FR"/>
              </w:rPr>
            </w:pPr>
          </w:p>
        </w:tc>
      </w:tr>
      <w:tr w:rsidR="00EB3BE3" w:rsidRPr="00EB3BE3" w:rsidTr="00EB3BE3">
        <w:trPr>
          <w:trHeight w:val="227"/>
        </w:trPr>
        <w:tc>
          <w:tcPr>
            <w:tcW w:w="5954" w:type="dxa"/>
            <w:tcBorders>
              <w:top w:val="single" w:sz="8" w:space="0" w:color="365F91" w:themeColor="accent1" w:themeShade="BF"/>
              <w:left w:val="nil"/>
              <w:bottom w:val="nil"/>
              <w:right w:val="nil"/>
            </w:tcBorders>
            <w:vAlign w:val="center"/>
            <w:hideMark/>
          </w:tcPr>
          <w:p w:rsidR="00EB3BE3" w:rsidRPr="00EB3BE3" w:rsidRDefault="00EB3BE3" w:rsidP="00EB3BE3">
            <w:pPr>
              <w:snapToGrid w:val="0"/>
              <w:spacing w:after="0"/>
              <w:rPr>
                <w:rFonts w:ascii="Arial" w:eastAsia="Times New Roman" w:hAnsi="Arial"/>
                <w:bCs/>
                <w:sz w:val="14"/>
                <w:szCs w:val="14"/>
                <w:lang w:val="fr-FR"/>
              </w:rPr>
            </w:pPr>
            <w:r w:rsidRPr="00EB3BE3">
              <w:rPr>
                <w:rFonts w:ascii="Arial" w:eastAsia="Times New Roman" w:hAnsi="Arial"/>
                <w:bCs/>
                <w:sz w:val="14"/>
                <w:szCs w:val="14"/>
                <w:lang w:val="fr-FR"/>
              </w:rPr>
              <w:t xml:space="preserve">    Rendement des capitaux propres*  </w:t>
            </w:r>
          </w:p>
        </w:tc>
        <w:tc>
          <w:tcPr>
            <w:tcW w:w="1843" w:type="dxa"/>
            <w:tcBorders>
              <w:top w:val="single" w:sz="8" w:space="0" w:color="365F91" w:themeColor="accent1" w:themeShade="BF"/>
              <w:left w:val="nil"/>
              <w:bottom w:val="nil"/>
              <w:right w:val="nil"/>
            </w:tcBorders>
            <w:vAlign w:val="center"/>
          </w:tcPr>
          <w:p w:rsidR="00EB3BE3" w:rsidRPr="00EB3BE3" w:rsidRDefault="00EB3BE3" w:rsidP="00EB3BE3">
            <w:pPr>
              <w:snapToGrid w:val="0"/>
              <w:spacing w:after="0"/>
              <w:jc w:val="right"/>
              <w:rPr>
                <w:rFonts w:ascii="Arial" w:eastAsia="Times New Roman" w:hAnsi="Arial"/>
                <w:bCs/>
                <w:sz w:val="14"/>
                <w:szCs w:val="14"/>
                <w:lang w:val="fr-FR"/>
              </w:rPr>
            </w:pPr>
          </w:p>
        </w:tc>
        <w:tc>
          <w:tcPr>
            <w:tcW w:w="1134" w:type="dxa"/>
            <w:tcBorders>
              <w:top w:val="single" w:sz="8" w:space="0" w:color="365F91" w:themeColor="accent1" w:themeShade="BF"/>
              <w:left w:val="nil"/>
              <w:bottom w:val="nil"/>
              <w:right w:val="nil"/>
            </w:tcBorders>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9%</w:t>
            </w:r>
          </w:p>
        </w:tc>
        <w:tc>
          <w:tcPr>
            <w:tcW w:w="1134" w:type="dxa"/>
            <w:tcBorders>
              <w:top w:val="single" w:sz="8" w:space="0" w:color="365F91" w:themeColor="accent1" w:themeShade="BF"/>
              <w:left w:val="nil"/>
              <w:bottom w:val="nil"/>
              <w:right w:val="nil"/>
            </w:tcBorders>
            <w:shd w:val="clear" w:color="auto" w:fill="DBE5F1" w:themeFill="accent1" w:themeFillTint="33"/>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9%</w:t>
            </w:r>
          </w:p>
        </w:tc>
      </w:tr>
      <w:tr w:rsidR="00EB3BE3" w:rsidRPr="00EB3BE3" w:rsidTr="00EB3BE3">
        <w:trPr>
          <w:trHeight w:val="227"/>
        </w:trPr>
        <w:tc>
          <w:tcPr>
            <w:tcW w:w="5954" w:type="dxa"/>
            <w:vAlign w:val="center"/>
            <w:hideMark/>
          </w:tcPr>
          <w:p w:rsidR="00EB3BE3" w:rsidRPr="00EB3BE3" w:rsidRDefault="00EB3BE3" w:rsidP="00EB3BE3">
            <w:pPr>
              <w:snapToGrid w:val="0"/>
              <w:spacing w:after="0"/>
              <w:rPr>
                <w:rFonts w:ascii="Arial" w:eastAsia="Times New Roman" w:hAnsi="Arial"/>
                <w:bCs/>
                <w:sz w:val="14"/>
                <w:szCs w:val="14"/>
                <w:lang w:val="fr-FR"/>
              </w:rPr>
            </w:pPr>
            <w:r w:rsidRPr="00EB3BE3">
              <w:rPr>
                <w:rFonts w:ascii="Arial" w:eastAsia="Times New Roman" w:hAnsi="Arial"/>
                <w:bCs/>
                <w:sz w:val="14"/>
                <w:szCs w:val="14"/>
                <w:lang w:val="fr-FR"/>
              </w:rPr>
              <w:t xml:space="preserve">    Ratio charges/produits, activités bancaires</w:t>
            </w:r>
          </w:p>
        </w:tc>
        <w:tc>
          <w:tcPr>
            <w:tcW w:w="1843" w:type="dxa"/>
            <w:vAlign w:val="center"/>
          </w:tcPr>
          <w:p w:rsidR="00EB3BE3" w:rsidRPr="00EB3BE3" w:rsidRDefault="00EB3BE3" w:rsidP="00EB3BE3">
            <w:pPr>
              <w:snapToGrid w:val="0"/>
              <w:spacing w:after="0"/>
              <w:jc w:val="right"/>
              <w:rPr>
                <w:rFonts w:ascii="Arial" w:eastAsia="Times New Roman" w:hAnsi="Arial"/>
                <w:bCs/>
                <w:sz w:val="14"/>
                <w:szCs w:val="14"/>
                <w:lang w:val="fr-FR"/>
              </w:rPr>
            </w:pPr>
          </w:p>
        </w:tc>
        <w:tc>
          <w:tcPr>
            <w:tcW w:w="113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57%</w:t>
            </w:r>
          </w:p>
        </w:tc>
        <w:tc>
          <w:tcPr>
            <w:tcW w:w="1134" w:type="dxa"/>
            <w:shd w:val="clear" w:color="auto" w:fill="DBE5F1" w:themeFill="accent1" w:themeFillTint="33"/>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52%</w:t>
            </w:r>
          </w:p>
        </w:tc>
      </w:tr>
      <w:tr w:rsidR="00EB3BE3" w:rsidRPr="00EB3BE3" w:rsidTr="00EB3BE3">
        <w:trPr>
          <w:trHeight w:val="227"/>
        </w:trPr>
        <w:tc>
          <w:tcPr>
            <w:tcW w:w="5954" w:type="dxa"/>
            <w:tcBorders>
              <w:top w:val="nil"/>
              <w:left w:val="nil"/>
              <w:bottom w:val="single" w:sz="8" w:space="0" w:color="365F91" w:themeColor="accent1" w:themeShade="BF"/>
              <w:right w:val="nil"/>
            </w:tcBorders>
            <w:vAlign w:val="center"/>
            <w:hideMark/>
          </w:tcPr>
          <w:p w:rsidR="00EB3BE3" w:rsidRPr="00EB3BE3" w:rsidRDefault="00EB3BE3" w:rsidP="00EB3BE3">
            <w:pPr>
              <w:snapToGrid w:val="0"/>
              <w:spacing w:after="0"/>
              <w:rPr>
                <w:rFonts w:ascii="Arial" w:eastAsia="Times New Roman" w:hAnsi="Arial"/>
                <w:bCs/>
                <w:sz w:val="14"/>
                <w:szCs w:val="14"/>
                <w:lang w:val="fr-FR"/>
              </w:rPr>
            </w:pPr>
            <w:r w:rsidRPr="00EB3BE3">
              <w:rPr>
                <w:rFonts w:ascii="Arial" w:eastAsia="Times New Roman" w:hAnsi="Arial"/>
                <w:bCs/>
                <w:sz w:val="14"/>
                <w:szCs w:val="14"/>
                <w:lang w:val="fr-FR"/>
              </w:rPr>
              <w:t xml:space="preserve">    Ratio combiné, assurances dommages</w:t>
            </w:r>
          </w:p>
        </w:tc>
        <w:tc>
          <w:tcPr>
            <w:tcW w:w="1843" w:type="dxa"/>
            <w:tcBorders>
              <w:top w:val="nil"/>
              <w:left w:val="nil"/>
              <w:bottom w:val="single" w:sz="8" w:space="0" w:color="365F91" w:themeColor="accent1" w:themeShade="BF"/>
              <w:right w:val="nil"/>
            </w:tcBorders>
            <w:vAlign w:val="center"/>
          </w:tcPr>
          <w:p w:rsidR="00EB3BE3" w:rsidRPr="00EB3BE3" w:rsidRDefault="00EB3BE3" w:rsidP="00EB3BE3">
            <w:pPr>
              <w:snapToGrid w:val="0"/>
              <w:spacing w:after="0"/>
              <w:jc w:val="right"/>
              <w:rPr>
                <w:rFonts w:ascii="Arial" w:eastAsia="Times New Roman" w:hAnsi="Arial"/>
                <w:bCs/>
                <w:sz w:val="14"/>
                <w:szCs w:val="14"/>
                <w:lang w:val="fr-FR"/>
              </w:rPr>
            </w:pPr>
          </w:p>
        </w:tc>
        <w:tc>
          <w:tcPr>
            <w:tcW w:w="1134" w:type="dxa"/>
            <w:tcBorders>
              <w:top w:val="nil"/>
              <w:left w:val="nil"/>
              <w:bottom w:val="single" w:sz="8" w:space="0" w:color="365F91" w:themeColor="accent1" w:themeShade="BF"/>
              <w:right w:val="nil"/>
            </w:tcBorders>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95%</w:t>
            </w:r>
          </w:p>
        </w:tc>
        <w:tc>
          <w:tcPr>
            <w:tcW w:w="1134" w:type="dxa"/>
            <w:tcBorders>
              <w:top w:val="nil"/>
              <w:left w:val="nil"/>
              <w:bottom w:val="single" w:sz="8" w:space="0" w:color="365F91" w:themeColor="accent1" w:themeShade="BF"/>
              <w:right w:val="nil"/>
            </w:tcBorders>
            <w:shd w:val="clear" w:color="auto" w:fill="DBE5F1" w:themeFill="accent1" w:themeFillTint="33"/>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94%</w:t>
            </w:r>
          </w:p>
        </w:tc>
      </w:tr>
      <w:tr w:rsidR="00EB3BE3" w:rsidRPr="00EB3BE3" w:rsidTr="00EB3BE3">
        <w:trPr>
          <w:trHeight w:val="227"/>
        </w:trPr>
        <w:tc>
          <w:tcPr>
            <w:tcW w:w="5954" w:type="dxa"/>
            <w:tcBorders>
              <w:top w:val="single" w:sz="8" w:space="0" w:color="365F91" w:themeColor="accent1" w:themeShade="BF"/>
              <w:left w:val="nil"/>
              <w:bottom w:val="single" w:sz="8" w:space="0" w:color="1F497D" w:themeColor="text2"/>
              <w:right w:val="nil"/>
            </w:tcBorders>
            <w:vAlign w:val="center"/>
            <w:hideMark/>
          </w:tcPr>
          <w:p w:rsidR="00EB3BE3" w:rsidRPr="00EB3BE3" w:rsidRDefault="00EB3BE3" w:rsidP="00EB3BE3">
            <w:pPr>
              <w:snapToGrid w:val="0"/>
              <w:spacing w:after="0"/>
              <w:rPr>
                <w:rFonts w:ascii="Arial" w:eastAsia="Times New Roman" w:hAnsi="Arial"/>
                <w:bCs/>
                <w:sz w:val="14"/>
                <w:szCs w:val="14"/>
                <w:lang w:val="fr-FR"/>
              </w:rPr>
            </w:pPr>
            <w:r w:rsidRPr="00EB3BE3">
              <w:rPr>
                <w:rFonts w:ascii="Arial" w:eastAsia="Times New Roman" w:hAnsi="Arial"/>
                <w:bCs/>
                <w:sz w:val="14"/>
                <w:szCs w:val="14"/>
                <w:lang w:val="fr-FR"/>
              </w:rPr>
              <w:t>Solvabilité</w:t>
            </w:r>
          </w:p>
        </w:tc>
        <w:tc>
          <w:tcPr>
            <w:tcW w:w="1843" w:type="dxa"/>
            <w:tcBorders>
              <w:top w:val="single" w:sz="8" w:space="0" w:color="365F91" w:themeColor="accent1" w:themeShade="BF"/>
              <w:left w:val="nil"/>
              <w:bottom w:val="single" w:sz="8" w:space="0" w:color="1F497D" w:themeColor="text2"/>
              <w:right w:val="nil"/>
            </w:tcBorders>
            <w:vAlign w:val="center"/>
          </w:tcPr>
          <w:p w:rsidR="00EB3BE3" w:rsidRPr="00EB3BE3" w:rsidRDefault="00EB3BE3" w:rsidP="00EB3BE3">
            <w:pPr>
              <w:snapToGrid w:val="0"/>
              <w:spacing w:after="0"/>
              <w:jc w:val="right"/>
              <w:rPr>
                <w:rFonts w:ascii="Arial" w:eastAsia="Times New Roman" w:hAnsi="Arial"/>
                <w:bCs/>
                <w:sz w:val="14"/>
                <w:szCs w:val="14"/>
                <w:lang w:val="fr-FR"/>
              </w:rPr>
            </w:pPr>
          </w:p>
        </w:tc>
        <w:tc>
          <w:tcPr>
            <w:tcW w:w="1134" w:type="dxa"/>
            <w:tcBorders>
              <w:top w:val="single" w:sz="8" w:space="0" w:color="365F91" w:themeColor="accent1" w:themeShade="BF"/>
              <w:left w:val="nil"/>
              <w:bottom w:val="single" w:sz="8" w:space="0" w:color="1F497D" w:themeColor="text2"/>
              <w:right w:val="nil"/>
            </w:tcBorders>
            <w:vAlign w:val="center"/>
          </w:tcPr>
          <w:p w:rsidR="00EB3BE3" w:rsidRPr="00EB3BE3" w:rsidRDefault="00EB3BE3" w:rsidP="00EB3BE3">
            <w:pPr>
              <w:snapToGrid w:val="0"/>
              <w:spacing w:after="0"/>
              <w:jc w:val="right"/>
              <w:rPr>
                <w:rFonts w:ascii="Arial" w:eastAsia="Times New Roman" w:hAnsi="Arial"/>
                <w:bCs/>
                <w:sz w:val="14"/>
                <w:szCs w:val="14"/>
                <w:lang w:val="fr-FR"/>
              </w:rPr>
            </w:pPr>
          </w:p>
        </w:tc>
        <w:tc>
          <w:tcPr>
            <w:tcW w:w="1134" w:type="dxa"/>
            <w:tcBorders>
              <w:top w:val="single" w:sz="8" w:space="0" w:color="365F91" w:themeColor="accent1" w:themeShade="BF"/>
              <w:left w:val="nil"/>
              <w:bottom w:val="single" w:sz="8" w:space="0" w:color="365F91" w:themeColor="accent1" w:themeShade="BF"/>
              <w:right w:val="nil"/>
            </w:tcBorders>
            <w:shd w:val="clear" w:color="auto" w:fill="DBE5F1" w:themeFill="accent1" w:themeFillTint="33"/>
            <w:vAlign w:val="center"/>
          </w:tcPr>
          <w:p w:rsidR="00EB3BE3" w:rsidRPr="00EB3BE3" w:rsidRDefault="00EB3BE3" w:rsidP="00EB3BE3">
            <w:pPr>
              <w:snapToGrid w:val="0"/>
              <w:spacing w:after="0"/>
              <w:jc w:val="right"/>
              <w:rPr>
                <w:rFonts w:ascii="Arial" w:eastAsia="Times New Roman" w:hAnsi="Arial"/>
                <w:bCs/>
                <w:sz w:val="14"/>
                <w:szCs w:val="14"/>
                <w:lang w:val="fr-FR"/>
              </w:rPr>
            </w:pPr>
          </w:p>
        </w:tc>
      </w:tr>
      <w:tr w:rsidR="00EB3BE3" w:rsidRPr="00EB3BE3" w:rsidTr="00EB3BE3">
        <w:trPr>
          <w:trHeight w:val="227"/>
        </w:trPr>
        <w:tc>
          <w:tcPr>
            <w:tcW w:w="5954" w:type="dxa"/>
            <w:tcBorders>
              <w:top w:val="single" w:sz="8" w:space="0" w:color="1F497D" w:themeColor="text2"/>
              <w:left w:val="nil"/>
              <w:bottom w:val="nil"/>
              <w:right w:val="nil"/>
            </w:tcBorders>
            <w:vAlign w:val="center"/>
            <w:hideMark/>
          </w:tcPr>
          <w:p w:rsidR="00EB3BE3" w:rsidRPr="00EB3BE3" w:rsidRDefault="00EB3BE3" w:rsidP="00EB3BE3">
            <w:pPr>
              <w:snapToGrid w:val="0"/>
              <w:spacing w:after="0"/>
              <w:rPr>
                <w:rFonts w:ascii="Arial" w:eastAsia="Times New Roman" w:hAnsi="Arial"/>
                <w:bCs/>
                <w:sz w:val="14"/>
                <w:szCs w:val="14"/>
                <w:lang w:val="fr-FR"/>
              </w:rPr>
            </w:pPr>
            <w:r w:rsidRPr="00EB3BE3">
              <w:rPr>
                <w:rFonts w:ascii="Arial" w:eastAsia="Times New Roman" w:hAnsi="Arial"/>
                <w:bCs/>
                <w:sz w:val="14"/>
                <w:szCs w:val="14"/>
                <w:lang w:val="fr-FR"/>
              </w:rPr>
              <w:t xml:space="preserve">    Ratio </w:t>
            </w:r>
            <w:proofErr w:type="spellStart"/>
            <w:r w:rsidRPr="00EB3BE3">
              <w:rPr>
                <w:rFonts w:ascii="Arial" w:eastAsia="Times New Roman" w:hAnsi="Arial"/>
                <w:bCs/>
                <w:sz w:val="14"/>
                <w:szCs w:val="14"/>
                <w:lang w:val="fr-FR"/>
              </w:rPr>
              <w:t>Tier</w:t>
            </w:r>
            <w:proofErr w:type="spellEnd"/>
            <w:r w:rsidRPr="00EB3BE3">
              <w:rPr>
                <w:rFonts w:ascii="Arial" w:eastAsia="Times New Roman" w:hAnsi="Arial"/>
                <w:bCs/>
                <w:sz w:val="14"/>
                <w:szCs w:val="14"/>
                <w:lang w:val="fr-FR"/>
              </w:rPr>
              <w:t xml:space="preserve"> 1 (Bâle II)**</w:t>
            </w:r>
          </w:p>
        </w:tc>
        <w:tc>
          <w:tcPr>
            <w:tcW w:w="1843" w:type="dxa"/>
            <w:tcBorders>
              <w:top w:val="single" w:sz="8" w:space="0" w:color="1F497D" w:themeColor="text2"/>
              <w:left w:val="nil"/>
              <w:bottom w:val="nil"/>
              <w:right w:val="nil"/>
            </w:tcBorders>
            <w:vAlign w:val="center"/>
          </w:tcPr>
          <w:p w:rsidR="00EB3BE3" w:rsidRPr="00EB3BE3" w:rsidRDefault="00EB3BE3" w:rsidP="00EB3BE3">
            <w:pPr>
              <w:snapToGrid w:val="0"/>
              <w:spacing w:after="0"/>
              <w:jc w:val="right"/>
              <w:rPr>
                <w:rFonts w:ascii="Arial" w:eastAsia="Times New Roman" w:hAnsi="Arial"/>
                <w:bCs/>
                <w:sz w:val="14"/>
                <w:szCs w:val="14"/>
                <w:lang w:val="fr-FR"/>
              </w:rPr>
            </w:pPr>
          </w:p>
        </w:tc>
        <w:tc>
          <w:tcPr>
            <w:tcW w:w="1134" w:type="dxa"/>
            <w:tcBorders>
              <w:top w:val="single" w:sz="8" w:space="0" w:color="1F497D" w:themeColor="text2"/>
              <w:left w:val="nil"/>
              <w:bottom w:val="nil"/>
              <w:right w:val="nil"/>
            </w:tcBorders>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13.8%</w:t>
            </w:r>
          </w:p>
        </w:tc>
        <w:tc>
          <w:tcPr>
            <w:tcW w:w="1134" w:type="dxa"/>
            <w:tcBorders>
              <w:top w:val="single" w:sz="8" w:space="0" w:color="365F91" w:themeColor="accent1" w:themeShade="BF"/>
              <w:left w:val="nil"/>
              <w:bottom w:val="nil"/>
              <w:right w:val="nil"/>
            </w:tcBorders>
            <w:shd w:val="clear" w:color="auto" w:fill="DBE5F1" w:themeFill="accent1" w:themeFillTint="33"/>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15.8%</w:t>
            </w:r>
          </w:p>
        </w:tc>
      </w:tr>
      <w:tr w:rsidR="00EB3BE3" w:rsidRPr="00EB3BE3" w:rsidTr="00EB3BE3">
        <w:trPr>
          <w:trHeight w:val="227"/>
        </w:trPr>
        <w:tc>
          <w:tcPr>
            <w:tcW w:w="5954" w:type="dxa"/>
            <w:vAlign w:val="center"/>
            <w:hideMark/>
          </w:tcPr>
          <w:p w:rsidR="00EB3BE3" w:rsidRPr="00EB3BE3" w:rsidRDefault="00EB3BE3" w:rsidP="00EB3BE3">
            <w:pPr>
              <w:snapToGrid w:val="0"/>
              <w:spacing w:after="0"/>
              <w:rPr>
                <w:rFonts w:ascii="Arial" w:eastAsia="Times New Roman" w:hAnsi="Arial"/>
                <w:bCs/>
                <w:sz w:val="14"/>
                <w:szCs w:val="14"/>
                <w:lang w:val="fr-FR"/>
              </w:rPr>
            </w:pPr>
            <w:r w:rsidRPr="00EB3BE3">
              <w:rPr>
                <w:rFonts w:ascii="Arial" w:eastAsia="Times New Roman" w:hAnsi="Arial"/>
                <w:bCs/>
                <w:sz w:val="14"/>
                <w:szCs w:val="14"/>
                <w:lang w:val="fr-FR"/>
              </w:rPr>
              <w:t xml:space="preserve">    Ratio </w:t>
            </w:r>
            <w:proofErr w:type="spellStart"/>
            <w:r w:rsidRPr="00EB3BE3">
              <w:rPr>
                <w:rFonts w:ascii="Arial" w:eastAsia="Times New Roman" w:hAnsi="Arial"/>
                <w:bCs/>
                <w:sz w:val="14"/>
                <w:szCs w:val="14"/>
                <w:lang w:val="fr-FR"/>
              </w:rPr>
              <w:t>Core</w:t>
            </w:r>
            <w:proofErr w:type="spellEnd"/>
            <w:r w:rsidRPr="00EB3BE3">
              <w:rPr>
                <w:rFonts w:ascii="Arial" w:eastAsia="Times New Roman" w:hAnsi="Arial"/>
                <w:bCs/>
                <w:sz w:val="14"/>
                <w:szCs w:val="14"/>
                <w:lang w:val="fr-FR"/>
              </w:rPr>
              <w:t xml:space="preserve"> </w:t>
            </w:r>
            <w:proofErr w:type="spellStart"/>
            <w:r w:rsidRPr="00EB3BE3">
              <w:rPr>
                <w:rFonts w:ascii="Arial" w:eastAsia="Times New Roman" w:hAnsi="Arial"/>
                <w:bCs/>
                <w:sz w:val="14"/>
                <w:szCs w:val="14"/>
                <w:lang w:val="fr-FR"/>
              </w:rPr>
              <w:t>Tier</w:t>
            </w:r>
            <w:proofErr w:type="spellEnd"/>
            <w:r w:rsidRPr="00EB3BE3">
              <w:rPr>
                <w:rFonts w:ascii="Arial" w:eastAsia="Times New Roman" w:hAnsi="Arial"/>
                <w:bCs/>
                <w:sz w:val="14"/>
                <w:szCs w:val="14"/>
                <w:lang w:val="fr-FR"/>
              </w:rPr>
              <w:t xml:space="preserve"> 1 (Bâle II)**</w:t>
            </w:r>
          </w:p>
        </w:tc>
        <w:tc>
          <w:tcPr>
            <w:tcW w:w="1843" w:type="dxa"/>
            <w:vAlign w:val="center"/>
          </w:tcPr>
          <w:p w:rsidR="00EB3BE3" w:rsidRPr="00EB3BE3" w:rsidRDefault="00EB3BE3" w:rsidP="00EB3BE3">
            <w:pPr>
              <w:snapToGrid w:val="0"/>
              <w:spacing w:after="0"/>
              <w:jc w:val="right"/>
              <w:rPr>
                <w:rFonts w:ascii="Arial" w:eastAsia="Times New Roman" w:hAnsi="Arial"/>
                <w:bCs/>
                <w:sz w:val="14"/>
                <w:szCs w:val="14"/>
                <w:lang w:val="fr-FR"/>
              </w:rPr>
            </w:pPr>
          </w:p>
        </w:tc>
        <w:tc>
          <w:tcPr>
            <w:tcW w:w="1134" w:type="dxa"/>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11.7%</w:t>
            </w:r>
          </w:p>
        </w:tc>
        <w:tc>
          <w:tcPr>
            <w:tcW w:w="1134" w:type="dxa"/>
            <w:shd w:val="clear" w:color="auto" w:fill="DBE5F1" w:themeFill="accent1" w:themeFillTint="33"/>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13.5%</w:t>
            </w:r>
          </w:p>
        </w:tc>
      </w:tr>
      <w:tr w:rsidR="00EB3BE3" w:rsidRPr="00EB3BE3" w:rsidTr="00EB3BE3">
        <w:trPr>
          <w:trHeight w:val="227"/>
        </w:trPr>
        <w:tc>
          <w:tcPr>
            <w:tcW w:w="5954" w:type="dxa"/>
            <w:tcBorders>
              <w:top w:val="nil"/>
              <w:left w:val="nil"/>
              <w:bottom w:val="single" w:sz="8" w:space="0" w:color="365F91" w:themeColor="accent1" w:themeShade="BF"/>
              <w:right w:val="nil"/>
            </w:tcBorders>
            <w:vAlign w:val="center"/>
            <w:hideMark/>
          </w:tcPr>
          <w:p w:rsidR="00EB3BE3" w:rsidRPr="00EB3BE3" w:rsidRDefault="00EB3BE3" w:rsidP="00EB3BE3">
            <w:pPr>
              <w:snapToGrid w:val="0"/>
              <w:spacing w:after="0"/>
              <w:rPr>
                <w:rFonts w:ascii="Arial" w:eastAsia="Times New Roman" w:hAnsi="Arial"/>
                <w:bCs/>
                <w:sz w:val="14"/>
                <w:szCs w:val="14"/>
                <w:lang w:val="fr-FR"/>
              </w:rPr>
            </w:pPr>
            <w:r w:rsidRPr="00EB3BE3">
              <w:rPr>
                <w:rFonts w:ascii="Arial" w:eastAsia="Times New Roman" w:hAnsi="Arial"/>
                <w:bCs/>
                <w:sz w:val="14"/>
                <w:szCs w:val="14"/>
                <w:lang w:val="fr-FR"/>
              </w:rPr>
              <w:t xml:space="preserve">    Ratio </w:t>
            </w:r>
            <w:proofErr w:type="spellStart"/>
            <w:r w:rsidRPr="00EB3BE3">
              <w:rPr>
                <w:rFonts w:ascii="Arial" w:eastAsia="Times New Roman" w:hAnsi="Arial"/>
                <w:bCs/>
                <w:sz w:val="14"/>
                <w:szCs w:val="14"/>
                <w:lang w:val="fr-FR"/>
              </w:rPr>
              <w:t>common</w:t>
            </w:r>
            <w:proofErr w:type="spellEnd"/>
            <w:r w:rsidRPr="00EB3BE3">
              <w:rPr>
                <w:rFonts w:ascii="Arial" w:eastAsia="Times New Roman" w:hAnsi="Arial"/>
                <w:bCs/>
                <w:sz w:val="14"/>
                <w:szCs w:val="14"/>
                <w:lang w:val="fr-FR"/>
              </w:rPr>
              <w:t xml:space="preserve"> </w:t>
            </w:r>
            <w:proofErr w:type="spellStart"/>
            <w:r w:rsidRPr="00EB3BE3">
              <w:rPr>
                <w:rFonts w:ascii="Arial" w:eastAsia="Times New Roman" w:hAnsi="Arial"/>
                <w:bCs/>
                <w:sz w:val="14"/>
                <w:szCs w:val="14"/>
                <w:lang w:val="fr-FR"/>
              </w:rPr>
              <w:t>equity</w:t>
            </w:r>
            <w:proofErr w:type="spellEnd"/>
            <w:r w:rsidRPr="00EB3BE3">
              <w:rPr>
                <w:rFonts w:ascii="Arial" w:eastAsia="Times New Roman" w:hAnsi="Arial"/>
                <w:bCs/>
                <w:sz w:val="14"/>
                <w:szCs w:val="14"/>
                <w:lang w:val="fr-FR"/>
              </w:rPr>
              <w:t xml:space="preserve"> (Bâle III, à pleine charge, y compris l'aide publique restante)</w:t>
            </w:r>
          </w:p>
        </w:tc>
        <w:tc>
          <w:tcPr>
            <w:tcW w:w="1843" w:type="dxa"/>
            <w:tcBorders>
              <w:top w:val="nil"/>
              <w:left w:val="nil"/>
              <w:bottom w:val="single" w:sz="8" w:space="0" w:color="365F91" w:themeColor="accent1" w:themeShade="BF"/>
              <w:right w:val="nil"/>
            </w:tcBorders>
            <w:vAlign w:val="center"/>
          </w:tcPr>
          <w:p w:rsidR="00EB3BE3" w:rsidRPr="00EB3BE3" w:rsidRDefault="00EB3BE3" w:rsidP="00EB3BE3">
            <w:pPr>
              <w:snapToGrid w:val="0"/>
              <w:spacing w:after="0"/>
              <w:jc w:val="right"/>
              <w:rPr>
                <w:rFonts w:ascii="Arial" w:eastAsia="Times New Roman" w:hAnsi="Arial"/>
                <w:bCs/>
                <w:sz w:val="14"/>
                <w:szCs w:val="14"/>
                <w:lang w:val="fr-FR"/>
              </w:rPr>
            </w:pPr>
          </w:p>
        </w:tc>
        <w:tc>
          <w:tcPr>
            <w:tcW w:w="1134" w:type="dxa"/>
            <w:tcBorders>
              <w:top w:val="nil"/>
              <w:left w:val="nil"/>
              <w:bottom w:val="single" w:sz="8" w:space="0" w:color="365F91" w:themeColor="accent1" w:themeShade="BF"/>
              <w:right w:val="nil"/>
            </w:tcBorders>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10.8%</w:t>
            </w:r>
          </w:p>
        </w:tc>
        <w:tc>
          <w:tcPr>
            <w:tcW w:w="1134" w:type="dxa"/>
            <w:tcBorders>
              <w:top w:val="nil"/>
              <w:left w:val="nil"/>
              <w:bottom w:val="single" w:sz="8" w:space="0" w:color="365F91" w:themeColor="accent1" w:themeShade="BF"/>
              <w:right w:val="nil"/>
            </w:tcBorders>
            <w:shd w:val="clear" w:color="auto" w:fill="DBE5F1" w:themeFill="accent1" w:themeFillTint="33"/>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12.8%</w:t>
            </w:r>
          </w:p>
        </w:tc>
      </w:tr>
      <w:tr w:rsidR="00EB3BE3" w:rsidRPr="00EB3BE3" w:rsidTr="00EB3BE3">
        <w:trPr>
          <w:trHeight w:val="227"/>
        </w:trPr>
        <w:tc>
          <w:tcPr>
            <w:tcW w:w="5954" w:type="dxa"/>
            <w:tcBorders>
              <w:top w:val="single" w:sz="8" w:space="0" w:color="365F91" w:themeColor="accent1" w:themeShade="BF"/>
              <w:left w:val="nil"/>
              <w:bottom w:val="single" w:sz="8" w:space="0" w:color="365F91" w:themeColor="accent1" w:themeShade="BF"/>
              <w:right w:val="nil"/>
            </w:tcBorders>
            <w:vAlign w:val="center"/>
            <w:hideMark/>
          </w:tcPr>
          <w:p w:rsidR="00EB3BE3" w:rsidRPr="00EB3BE3" w:rsidRDefault="00EB3BE3" w:rsidP="00EB3BE3">
            <w:pPr>
              <w:snapToGrid w:val="0"/>
              <w:spacing w:after="0"/>
              <w:rPr>
                <w:rFonts w:ascii="Arial" w:eastAsia="Times New Roman" w:hAnsi="Arial"/>
                <w:bCs/>
                <w:sz w:val="14"/>
                <w:szCs w:val="14"/>
                <w:lang w:val="fr-FR"/>
              </w:rPr>
            </w:pPr>
            <w:r w:rsidRPr="00EB3BE3">
              <w:rPr>
                <w:rFonts w:ascii="Arial" w:eastAsia="Times New Roman" w:hAnsi="Arial"/>
                <w:bCs/>
                <w:sz w:val="14"/>
                <w:szCs w:val="14"/>
                <w:lang w:val="fr-FR"/>
              </w:rPr>
              <w:t>Risque de crédit</w:t>
            </w:r>
          </w:p>
        </w:tc>
        <w:tc>
          <w:tcPr>
            <w:tcW w:w="1843" w:type="dxa"/>
            <w:tcBorders>
              <w:top w:val="single" w:sz="8" w:space="0" w:color="365F91" w:themeColor="accent1" w:themeShade="BF"/>
              <w:left w:val="nil"/>
              <w:bottom w:val="single" w:sz="8" w:space="0" w:color="365F91" w:themeColor="accent1" w:themeShade="BF"/>
              <w:right w:val="nil"/>
            </w:tcBorders>
            <w:vAlign w:val="center"/>
          </w:tcPr>
          <w:p w:rsidR="00EB3BE3" w:rsidRPr="00EB3BE3" w:rsidRDefault="00EB3BE3" w:rsidP="00EB3BE3">
            <w:pPr>
              <w:snapToGrid w:val="0"/>
              <w:spacing w:after="0"/>
              <w:jc w:val="right"/>
              <w:rPr>
                <w:rFonts w:ascii="Arial" w:eastAsia="Times New Roman" w:hAnsi="Arial"/>
                <w:bCs/>
                <w:sz w:val="14"/>
                <w:szCs w:val="14"/>
                <w:lang w:val="fr-FR"/>
              </w:rPr>
            </w:pPr>
          </w:p>
        </w:tc>
        <w:tc>
          <w:tcPr>
            <w:tcW w:w="1134" w:type="dxa"/>
            <w:tcBorders>
              <w:top w:val="single" w:sz="8" w:space="0" w:color="365F91" w:themeColor="accent1" w:themeShade="BF"/>
              <w:left w:val="nil"/>
              <w:bottom w:val="single" w:sz="8" w:space="0" w:color="365F91" w:themeColor="accent1" w:themeShade="BF"/>
              <w:right w:val="nil"/>
            </w:tcBorders>
            <w:vAlign w:val="center"/>
          </w:tcPr>
          <w:p w:rsidR="00EB3BE3" w:rsidRPr="00EB3BE3" w:rsidRDefault="00EB3BE3" w:rsidP="00EB3BE3">
            <w:pPr>
              <w:snapToGrid w:val="0"/>
              <w:spacing w:after="0"/>
              <w:jc w:val="right"/>
              <w:rPr>
                <w:rFonts w:ascii="Arial" w:eastAsia="Times New Roman" w:hAnsi="Arial"/>
                <w:bCs/>
                <w:sz w:val="14"/>
                <w:szCs w:val="14"/>
                <w:lang w:val="fr-FR"/>
              </w:rPr>
            </w:pPr>
          </w:p>
        </w:tc>
        <w:tc>
          <w:tcPr>
            <w:tcW w:w="1134" w:type="dxa"/>
            <w:tcBorders>
              <w:top w:val="single" w:sz="8" w:space="0" w:color="365F91" w:themeColor="accent1" w:themeShade="BF"/>
              <w:left w:val="nil"/>
              <w:bottom w:val="single" w:sz="8" w:space="0" w:color="365F91" w:themeColor="accent1" w:themeShade="BF"/>
              <w:right w:val="nil"/>
            </w:tcBorders>
            <w:shd w:val="clear" w:color="auto" w:fill="DBE5F1" w:themeFill="accent1" w:themeFillTint="33"/>
            <w:vAlign w:val="center"/>
          </w:tcPr>
          <w:p w:rsidR="00EB3BE3" w:rsidRPr="00EB3BE3" w:rsidRDefault="00EB3BE3" w:rsidP="00EB3BE3">
            <w:pPr>
              <w:snapToGrid w:val="0"/>
              <w:spacing w:after="0"/>
              <w:jc w:val="right"/>
              <w:rPr>
                <w:rFonts w:ascii="Arial" w:eastAsia="Times New Roman" w:hAnsi="Arial"/>
                <w:bCs/>
                <w:sz w:val="14"/>
                <w:szCs w:val="14"/>
                <w:highlight w:val="darkGray"/>
                <w:lang w:val="fr-FR"/>
              </w:rPr>
            </w:pPr>
          </w:p>
        </w:tc>
      </w:tr>
      <w:tr w:rsidR="00EB3BE3" w:rsidRPr="00EB3BE3" w:rsidTr="00EB3BE3">
        <w:trPr>
          <w:trHeight w:val="227"/>
        </w:trPr>
        <w:tc>
          <w:tcPr>
            <w:tcW w:w="5954" w:type="dxa"/>
            <w:tcBorders>
              <w:top w:val="single" w:sz="8" w:space="0" w:color="365F91" w:themeColor="accent1" w:themeShade="BF"/>
              <w:left w:val="nil"/>
              <w:bottom w:val="nil"/>
              <w:right w:val="nil"/>
            </w:tcBorders>
            <w:vAlign w:val="center"/>
            <w:hideMark/>
          </w:tcPr>
          <w:p w:rsidR="00EB3BE3" w:rsidRPr="00EB3BE3" w:rsidRDefault="00EB3BE3" w:rsidP="00EB3BE3">
            <w:pPr>
              <w:snapToGrid w:val="0"/>
              <w:spacing w:after="0"/>
              <w:rPr>
                <w:rFonts w:ascii="Arial" w:eastAsia="Times New Roman" w:hAnsi="Arial"/>
                <w:bCs/>
                <w:sz w:val="14"/>
                <w:szCs w:val="14"/>
                <w:lang w:val="fr-FR"/>
              </w:rPr>
            </w:pPr>
            <w:r w:rsidRPr="00EB3BE3">
              <w:rPr>
                <w:rFonts w:ascii="Arial" w:eastAsia="Times New Roman" w:hAnsi="Arial"/>
                <w:bCs/>
                <w:sz w:val="14"/>
                <w:szCs w:val="14"/>
                <w:lang w:val="fr-FR"/>
              </w:rPr>
              <w:t xml:space="preserve">    Ratio de pertes sur crédits</w:t>
            </w:r>
          </w:p>
        </w:tc>
        <w:tc>
          <w:tcPr>
            <w:tcW w:w="1843" w:type="dxa"/>
            <w:tcBorders>
              <w:top w:val="single" w:sz="8" w:space="0" w:color="365F91" w:themeColor="accent1" w:themeShade="BF"/>
              <w:left w:val="nil"/>
              <w:bottom w:val="nil"/>
              <w:right w:val="nil"/>
            </w:tcBorders>
            <w:vAlign w:val="center"/>
          </w:tcPr>
          <w:p w:rsidR="00EB3BE3" w:rsidRPr="00EB3BE3" w:rsidRDefault="00EB3BE3" w:rsidP="00EB3BE3">
            <w:pPr>
              <w:snapToGrid w:val="0"/>
              <w:spacing w:after="0"/>
              <w:jc w:val="right"/>
              <w:rPr>
                <w:rFonts w:ascii="Arial" w:eastAsia="Times New Roman" w:hAnsi="Arial"/>
                <w:bCs/>
                <w:sz w:val="14"/>
                <w:szCs w:val="14"/>
                <w:lang w:val="fr-FR"/>
              </w:rPr>
            </w:pPr>
          </w:p>
        </w:tc>
        <w:tc>
          <w:tcPr>
            <w:tcW w:w="1134" w:type="dxa"/>
            <w:tcBorders>
              <w:top w:val="single" w:sz="8" w:space="0" w:color="365F91" w:themeColor="accent1" w:themeShade="BF"/>
              <w:left w:val="nil"/>
              <w:bottom w:val="nil"/>
              <w:right w:val="nil"/>
            </w:tcBorders>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0.71%</w:t>
            </w:r>
          </w:p>
        </w:tc>
        <w:tc>
          <w:tcPr>
            <w:tcW w:w="1134" w:type="dxa"/>
            <w:tcBorders>
              <w:top w:val="single" w:sz="8" w:space="0" w:color="365F91" w:themeColor="accent1" w:themeShade="BF"/>
              <w:left w:val="nil"/>
              <w:bottom w:val="nil"/>
              <w:right w:val="nil"/>
            </w:tcBorders>
            <w:shd w:val="clear" w:color="auto" w:fill="DBE5F1" w:themeFill="accent1" w:themeFillTint="33"/>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1.19%</w:t>
            </w:r>
          </w:p>
        </w:tc>
      </w:tr>
      <w:tr w:rsidR="00EB3BE3" w:rsidRPr="00EB3BE3" w:rsidTr="00EB3BE3">
        <w:trPr>
          <w:trHeight w:val="227"/>
        </w:trPr>
        <w:tc>
          <w:tcPr>
            <w:tcW w:w="5954" w:type="dxa"/>
            <w:tcBorders>
              <w:top w:val="nil"/>
              <w:left w:val="nil"/>
              <w:bottom w:val="single" w:sz="8" w:space="0" w:color="365F91" w:themeColor="accent1" w:themeShade="BF"/>
              <w:right w:val="nil"/>
            </w:tcBorders>
            <w:vAlign w:val="center"/>
            <w:hideMark/>
          </w:tcPr>
          <w:p w:rsidR="00EB3BE3" w:rsidRPr="00EB3BE3" w:rsidRDefault="00EB3BE3" w:rsidP="00EB3BE3">
            <w:pPr>
              <w:snapToGrid w:val="0"/>
              <w:spacing w:after="0"/>
              <w:rPr>
                <w:rFonts w:ascii="Arial" w:eastAsia="Times New Roman" w:hAnsi="Arial"/>
                <w:bCs/>
                <w:sz w:val="14"/>
                <w:szCs w:val="14"/>
                <w:lang w:val="fr-FR"/>
              </w:rPr>
            </w:pPr>
            <w:r w:rsidRPr="00EB3BE3">
              <w:rPr>
                <w:rFonts w:ascii="Arial" w:eastAsia="Times New Roman" w:hAnsi="Arial"/>
                <w:bCs/>
                <w:sz w:val="14"/>
                <w:szCs w:val="14"/>
                <w:lang w:val="fr-FR"/>
              </w:rPr>
              <w:t xml:space="preserve">    Ratio non-</w:t>
            </w:r>
            <w:proofErr w:type="spellStart"/>
            <w:r w:rsidRPr="00EB3BE3">
              <w:rPr>
                <w:rFonts w:ascii="Arial" w:eastAsia="Times New Roman" w:hAnsi="Arial"/>
                <w:bCs/>
                <w:sz w:val="14"/>
                <w:szCs w:val="14"/>
                <w:lang w:val="fr-FR"/>
              </w:rPr>
              <w:t>performing</w:t>
            </w:r>
            <w:proofErr w:type="spellEnd"/>
          </w:p>
        </w:tc>
        <w:tc>
          <w:tcPr>
            <w:tcW w:w="1843" w:type="dxa"/>
            <w:tcBorders>
              <w:top w:val="nil"/>
              <w:left w:val="nil"/>
              <w:bottom w:val="single" w:sz="8" w:space="0" w:color="365F91" w:themeColor="accent1" w:themeShade="BF"/>
              <w:right w:val="nil"/>
            </w:tcBorders>
            <w:vAlign w:val="center"/>
          </w:tcPr>
          <w:p w:rsidR="00EB3BE3" w:rsidRPr="00EB3BE3" w:rsidRDefault="00EB3BE3" w:rsidP="00EB3BE3">
            <w:pPr>
              <w:snapToGrid w:val="0"/>
              <w:spacing w:after="0"/>
              <w:jc w:val="right"/>
              <w:rPr>
                <w:rFonts w:ascii="Arial" w:eastAsia="Times New Roman" w:hAnsi="Arial"/>
                <w:bCs/>
                <w:sz w:val="14"/>
                <w:szCs w:val="14"/>
                <w:lang w:val="fr-FR"/>
              </w:rPr>
            </w:pPr>
          </w:p>
        </w:tc>
        <w:tc>
          <w:tcPr>
            <w:tcW w:w="1134" w:type="dxa"/>
            <w:tcBorders>
              <w:top w:val="nil"/>
              <w:left w:val="nil"/>
              <w:bottom w:val="single" w:sz="8" w:space="0" w:color="365F91" w:themeColor="accent1" w:themeShade="BF"/>
              <w:right w:val="nil"/>
            </w:tcBorders>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5.3%</w:t>
            </w:r>
          </w:p>
        </w:tc>
        <w:tc>
          <w:tcPr>
            <w:tcW w:w="1134" w:type="dxa"/>
            <w:tcBorders>
              <w:top w:val="nil"/>
              <w:left w:val="nil"/>
              <w:bottom w:val="single" w:sz="8" w:space="0" w:color="365F91" w:themeColor="accent1" w:themeShade="BF"/>
              <w:right w:val="nil"/>
            </w:tcBorders>
            <w:shd w:val="clear" w:color="auto" w:fill="DBE5F1" w:themeFill="accent1" w:themeFillTint="33"/>
            <w:vAlign w:val="center"/>
            <w:hideMark/>
          </w:tcPr>
          <w:p w:rsidR="00EB3BE3" w:rsidRPr="00EB3BE3" w:rsidRDefault="00EB3BE3" w:rsidP="00EB3BE3">
            <w:pPr>
              <w:snapToGrid w:val="0"/>
              <w:spacing w:after="0"/>
              <w:jc w:val="right"/>
              <w:rPr>
                <w:rFonts w:ascii="Arial" w:eastAsia="Times New Roman" w:hAnsi="Arial"/>
                <w:bCs/>
                <w:sz w:val="14"/>
                <w:szCs w:val="14"/>
                <w:lang w:val="fr-FR"/>
              </w:rPr>
            </w:pPr>
            <w:r w:rsidRPr="00EB3BE3">
              <w:rPr>
                <w:rFonts w:ascii="Arial" w:eastAsia="Times New Roman" w:hAnsi="Arial"/>
                <w:bCs/>
                <w:sz w:val="14"/>
                <w:szCs w:val="14"/>
                <w:lang w:val="fr-FR"/>
              </w:rPr>
              <w:t>5.9%</w:t>
            </w:r>
          </w:p>
        </w:tc>
      </w:tr>
      <w:tr w:rsidR="00EB3BE3" w:rsidRPr="00EB3BE3" w:rsidTr="00EB3BE3">
        <w:trPr>
          <w:trHeight w:val="217"/>
        </w:trPr>
        <w:tc>
          <w:tcPr>
            <w:tcW w:w="10065" w:type="dxa"/>
            <w:gridSpan w:val="4"/>
            <w:tcBorders>
              <w:top w:val="single" w:sz="8" w:space="0" w:color="365F91" w:themeColor="accent1" w:themeShade="BF"/>
              <w:left w:val="nil"/>
              <w:bottom w:val="nil"/>
              <w:right w:val="nil"/>
            </w:tcBorders>
            <w:vAlign w:val="center"/>
          </w:tcPr>
          <w:p w:rsidR="00EB3BE3" w:rsidRPr="00EB3BE3" w:rsidRDefault="00EB3BE3" w:rsidP="00EB3BE3">
            <w:pPr>
              <w:snapToGrid w:val="0"/>
              <w:spacing w:after="0"/>
              <w:ind w:left="88" w:hanging="88"/>
              <w:rPr>
                <w:rFonts w:ascii="Arial" w:eastAsia="Times New Roman" w:hAnsi="Arial" w:cs="Arial"/>
                <w:bCs/>
                <w:color w:val="000000"/>
                <w:sz w:val="12"/>
                <w:szCs w:val="12"/>
                <w:lang w:val="fr-FR"/>
              </w:rPr>
            </w:pPr>
            <w:r w:rsidRPr="00EB3BE3">
              <w:rPr>
                <w:rFonts w:ascii="Arial" w:eastAsia="Times New Roman" w:hAnsi="Arial"/>
                <w:bCs/>
                <w:sz w:val="12"/>
                <w:szCs w:val="12"/>
                <w:lang w:val="fr-FR"/>
              </w:rPr>
              <w:t xml:space="preserve">* En </w:t>
            </w:r>
            <w:r w:rsidRPr="00EB3BE3">
              <w:rPr>
                <w:rFonts w:ascii="Arial" w:eastAsia="Times New Roman" w:hAnsi="Arial"/>
                <w:bCs/>
                <w:color w:val="000000"/>
                <w:sz w:val="12"/>
                <w:szCs w:val="12"/>
                <w:lang w:val="fr-FR"/>
              </w:rPr>
              <w:t>cas de paiement</w:t>
            </w:r>
            <w:r w:rsidRPr="00EB3BE3">
              <w:rPr>
                <w:rFonts w:ascii="Arial" w:eastAsia="Times New Roman" w:hAnsi="Arial"/>
                <w:bCs/>
                <w:sz w:val="12"/>
                <w:szCs w:val="12"/>
                <w:lang w:val="fr-FR"/>
              </w:rPr>
              <w:t xml:space="preserve"> d'un coupon sur les titres de capital de base vendus aux gouvernement belge et flamand, il sera déduit du numérateur (</w:t>
            </w:r>
            <w:r w:rsidRPr="00EB3BE3">
              <w:rPr>
                <w:rFonts w:ascii="Arial" w:eastAsia="Times New Roman" w:hAnsi="Arial"/>
                <w:bCs/>
                <w:i/>
                <w:sz w:val="12"/>
                <w:szCs w:val="12"/>
                <w:lang w:val="fr-FR"/>
              </w:rPr>
              <w:t>au prorata</w:t>
            </w:r>
            <w:r w:rsidRPr="00EB3BE3">
              <w:rPr>
                <w:rFonts w:ascii="Arial" w:eastAsia="Times New Roman" w:hAnsi="Arial"/>
                <w:bCs/>
                <w:sz w:val="12"/>
                <w:szCs w:val="12"/>
                <w:lang w:val="fr-FR"/>
              </w:rPr>
              <w:t>)</w:t>
            </w:r>
            <w:r w:rsidRPr="00EB3BE3">
              <w:rPr>
                <w:rFonts w:ascii="Arial" w:eastAsia="Times New Roman" w:hAnsi="Arial" w:cs="Arial"/>
                <w:bCs/>
                <w:color w:val="000000"/>
                <w:sz w:val="12"/>
                <w:szCs w:val="12"/>
                <w:lang w:val="fr-FR"/>
              </w:rPr>
              <w:t>.</w:t>
            </w:r>
          </w:p>
          <w:p w:rsidR="00EB3BE3" w:rsidRPr="00EB3BE3" w:rsidRDefault="00EB3BE3" w:rsidP="00EB3BE3">
            <w:pPr>
              <w:snapToGrid w:val="0"/>
              <w:spacing w:after="0"/>
              <w:ind w:left="88" w:hanging="88"/>
              <w:rPr>
                <w:rFonts w:ascii="Arial" w:eastAsia="Times New Roman" w:hAnsi="Arial" w:cs="Arial"/>
                <w:bCs/>
                <w:color w:val="000000"/>
                <w:sz w:val="12"/>
                <w:szCs w:val="12"/>
                <w:lang w:val="fr-FR"/>
              </w:rPr>
            </w:pPr>
            <w:r w:rsidRPr="00EB3BE3">
              <w:rPr>
                <w:rFonts w:ascii="Arial" w:eastAsia="Times New Roman" w:hAnsi="Arial" w:cs="Arial"/>
                <w:bCs/>
                <w:color w:val="000000"/>
                <w:sz w:val="12"/>
                <w:szCs w:val="12"/>
                <w:lang w:val="fr-FR"/>
              </w:rPr>
              <w:t>**</w:t>
            </w:r>
            <w:r w:rsidRPr="00EB3BE3">
              <w:rPr>
                <w:rFonts w:ascii="Arial" w:eastAsia="Times New Roman" w:hAnsi="Arial"/>
                <w:sz w:val="18"/>
                <w:szCs w:val="18"/>
                <w:lang w:val="fr-FR"/>
              </w:rPr>
              <w:t xml:space="preserve"> </w:t>
            </w:r>
            <w:r w:rsidRPr="00EB3BE3">
              <w:rPr>
                <w:rFonts w:ascii="Arial" w:eastAsia="Times New Roman" w:hAnsi="Arial" w:cs="Arial"/>
                <w:bCs/>
                <w:color w:val="000000"/>
                <w:sz w:val="12"/>
                <w:szCs w:val="12"/>
                <w:lang w:val="fr-FR"/>
              </w:rPr>
              <w:t xml:space="preserve">En tenant compte de l'impact des accords de désinvestissement signés pour KBC Bank </w:t>
            </w:r>
            <w:proofErr w:type="spellStart"/>
            <w:r w:rsidRPr="00EB3BE3">
              <w:rPr>
                <w:rFonts w:ascii="Arial" w:eastAsia="Times New Roman" w:hAnsi="Arial" w:cs="Arial"/>
                <w:bCs/>
                <w:color w:val="000000"/>
                <w:sz w:val="12"/>
                <w:szCs w:val="12"/>
                <w:lang w:val="fr-FR"/>
              </w:rPr>
              <w:t>Deutschland</w:t>
            </w:r>
            <w:proofErr w:type="spellEnd"/>
            <w:r w:rsidRPr="00EB3BE3">
              <w:rPr>
                <w:rFonts w:ascii="Arial" w:eastAsia="Times New Roman" w:hAnsi="Arial" w:cs="Arial"/>
                <w:bCs/>
                <w:color w:val="000000"/>
                <w:sz w:val="12"/>
                <w:szCs w:val="12"/>
                <w:lang w:val="fr-FR"/>
              </w:rPr>
              <w:t xml:space="preserve"> et la Banque Diamantaire Anversoise, ainsi que du remboursement de la deuxième tranche de l'aide reçue du gouvernement flamand, le ratio </w:t>
            </w:r>
            <w:proofErr w:type="spellStart"/>
            <w:r w:rsidRPr="00EB3BE3">
              <w:rPr>
                <w:rFonts w:ascii="Arial" w:eastAsia="Times New Roman" w:hAnsi="Arial" w:cs="Arial"/>
                <w:bCs/>
                <w:color w:val="000000"/>
                <w:sz w:val="12"/>
                <w:szCs w:val="12"/>
                <w:lang w:val="fr-FR"/>
              </w:rPr>
              <w:t>Tier</w:t>
            </w:r>
            <w:proofErr w:type="spellEnd"/>
            <w:r w:rsidRPr="00EB3BE3">
              <w:rPr>
                <w:rFonts w:ascii="Arial" w:eastAsia="Times New Roman" w:hAnsi="Arial" w:cs="Arial"/>
                <w:bCs/>
                <w:color w:val="000000"/>
                <w:sz w:val="12"/>
                <w:szCs w:val="12"/>
                <w:lang w:val="fr-FR"/>
              </w:rPr>
              <w:t xml:space="preserve"> 1 (sous Bâle II) s'établit à 15,6% au 31 décembre 2013 (ratio </w:t>
            </w:r>
            <w:proofErr w:type="spellStart"/>
            <w:r w:rsidRPr="00EB3BE3">
              <w:rPr>
                <w:rFonts w:ascii="Arial" w:eastAsia="Times New Roman" w:hAnsi="Arial" w:cs="Arial"/>
                <w:bCs/>
                <w:color w:val="000000"/>
                <w:sz w:val="12"/>
                <w:szCs w:val="12"/>
                <w:lang w:val="fr-FR"/>
              </w:rPr>
              <w:t>Core</w:t>
            </w:r>
            <w:proofErr w:type="spellEnd"/>
            <w:r w:rsidRPr="00EB3BE3">
              <w:rPr>
                <w:rFonts w:ascii="Arial" w:eastAsia="Times New Roman" w:hAnsi="Arial" w:cs="Arial"/>
                <w:bCs/>
                <w:color w:val="000000"/>
                <w:sz w:val="12"/>
                <w:szCs w:val="12"/>
                <w:lang w:val="fr-FR"/>
              </w:rPr>
              <w:t xml:space="preserve"> </w:t>
            </w:r>
            <w:proofErr w:type="spellStart"/>
            <w:r w:rsidRPr="00EB3BE3">
              <w:rPr>
                <w:rFonts w:ascii="Arial" w:eastAsia="Times New Roman" w:hAnsi="Arial" w:cs="Arial"/>
                <w:bCs/>
                <w:color w:val="000000"/>
                <w:sz w:val="12"/>
                <w:szCs w:val="12"/>
                <w:lang w:val="fr-FR"/>
              </w:rPr>
              <w:t>Tier</w:t>
            </w:r>
            <w:proofErr w:type="spellEnd"/>
            <w:r w:rsidRPr="00EB3BE3">
              <w:rPr>
                <w:rFonts w:ascii="Arial" w:eastAsia="Times New Roman" w:hAnsi="Arial" w:cs="Arial"/>
                <w:bCs/>
                <w:color w:val="000000"/>
                <w:sz w:val="12"/>
                <w:szCs w:val="12"/>
                <w:lang w:val="fr-FR"/>
              </w:rPr>
              <w:t xml:space="preserve"> 1 de 13,2%) ; ratio </w:t>
            </w:r>
            <w:proofErr w:type="spellStart"/>
            <w:r w:rsidRPr="00EB3BE3">
              <w:rPr>
                <w:rFonts w:ascii="Arial" w:eastAsia="Times New Roman" w:hAnsi="Arial" w:cs="Arial"/>
                <w:bCs/>
                <w:color w:val="000000"/>
                <w:sz w:val="12"/>
                <w:szCs w:val="12"/>
                <w:lang w:val="fr-FR"/>
              </w:rPr>
              <w:t>common</w:t>
            </w:r>
            <w:proofErr w:type="spellEnd"/>
            <w:r w:rsidRPr="00EB3BE3">
              <w:rPr>
                <w:rFonts w:ascii="Arial" w:eastAsia="Times New Roman" w:hAnsi="Arial" w:cs="Arial"/>
                <w:bCs/>
                <w:color w:val="000000"/>
                <w:sz w:val="12"/>
                <w:szCs w:val="12"/>
                <w:lang w:val="fr-FR"/>
              </w:rPr>
              <w:t xml:space="preserve"> </w:t>
            </w:r>
            <w:proofErr w:type="spellStart"/>
            <w:r w:rsidRPr="00EB3BE3">
              <w:rPr>
                <w:rFonts w:ascii="Arial" w:eastAsia="Times New Roman" w:hAnsi="Arial" w:cs="Arial"/>
                <w:bCs/>
                <w:color w:val="000000"/>
                <w:sz w:val="12"/>
                <w:szCs w:val="12"/>
                <w:lang w:val="fr-FR"/>
              </w:rPr>
              <w:t>equity</w:t>
            </w:r>
            <w:proofErr w:type="spellEnd"/>
            <w:r w:rsidRPr="00EB3BE3">
              <w:rPr>
                <w:rFonts w:ascii="Arial" w:eastAsia="Times New Roman" w:hAnsi="Arial" w:cs="Arial"/>
                <w:bCs/>
                <w:color w:val="000000"/>
                <w:sz w:val="12"/>
                <w:szCs w:val="12"/>
                <w:lang w:val="fr-FR"/>
              </w:rPr>
              <w:t xml:space="preserve"> de 12,5%.</w:t>
            </w:r>
          </w:p>
          <w:p w:rsidR="00EB3BE3" w:rsidRPr="00EB3BE3" w:rsidRDefault="00EB3BE3" w:rsidP="00EB3BE3">
            <w:pPr>
              <w:keepNext/>
              <w:snapToGrid w:val="0"/>
              <w:spacing w:after="0"/>
              <w:ind w:left="88" w:right="-290" w:hanging="88"/>
              <w:outlineLvl w:val="3"/>
              <w:rPr>
                <w:rFonts w:ascii="Arial" w:eastAsia="Times New Roman" w:hAnsi="Arial"/>
                <w:bCs/>
                <w:sz w:val="12"/>
                <w:szCs w:val="12"/>
                <w:lang w:val="fr-FR"/>
              </w:rPr>
            </w:pPr>
          </w:p>
        </w:tc>
      </w:tr>
    </w:tbl>
    <w:p w:rsidR="00EB3BE3" w:rsidRDefault="00EB3BE3">
      <w:pPr>
        <w:spacing w:after="0" w:line="240" w:lineRule="auto"/>
        <w:rPr>
          <w:rFonts w:cs="Arial"/>
          <w:bCs/>
          <w:color w:val="003768"/>
          <w:sz w:val="20"/>
          <w:szCs w:val="20"/>
          <w:lang w:val="fr-FR"/>
        </w:rPr>
      </w:pPr>
      <w:r>
        <w:rPr>
          <w:rFonts w:cs="Arial"/>
          <w:bCs/>
          <w:color w:val="003768"/>
          <w:sz w:val="20"/>
          <w:szCs w:val="20"/>
          <w:lang w:val="fr-FR"/>
        </w:rPr>
        <w:br w:type="page"/>
      </w:r>
    </w:p>
    <w:p w:rsidR="00EB3BE3" w:rsidRDefault="00EB3BE3" w:rsidP="00EB3BE3">
      <w:pPr>
        <w:autoSpaceDE w:val="0"/>
        <w:autoSpaceDN w:val="0"/>
        <w:adjustRightInd w:val="0"/>
        <w:spacing w:after="120" w:line="240" w:lineRule="auto"/>
        <w:ind w:left="992" w:right="6"/>
        <w:jc w:val="both"/>
        <w:rPr>
          <w:rFonts w:cs="Arial"/>
          <w:bCs/>
          <w:color w:val="003768"/>
          <w:sz w:val="20"/>
          <w:szCs w:val="20"/>
          <w:lang w:val="fr-FR"/>
        </w:rPr>
      </w:pPr>
      <w:r>
        <w:rPr>
          <w:rFonts w:cs="Arial"/>
          <w:bCs/>
          <w:noProof/>
          <w:color w:val="003768"/>
          <w:sz w:val="20"/>
          <w:szCs w:val="20"/>
          <w:lang w:val="nl-BE" w:eastAsia="nl-BE"/>
        </w:rPr>
        <w:lastRenderedPageBreak/>
        <w:drawing>
          <wp:inline distT="0" distB="0" distL="0" distR="0" wp14:anchorId="249D2A2F">
            <wp:extent cx="6517005" cy="530225"/>
            <wp:effectExtent l="0" t="0" r="0" b="317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17005" cy="530225"/>
                    </a:xfrm>
                    <a:prstGeom prst="rect">
                      <a:avLst/>
                    </a:prstGeom>
                    <a:noFill/>
                  </pic:spPr>
                </pic:pic>
              </a:graphicData>
            </a:graphic>
          </wp:inline>
        </w:drawing>
      </w:r>
    </w:p>
    <w:p w:rsidR="00EB3BE3" w:rsidRPr="00EB3BE3" w:rsidRDefault="00EB3BE3" w:rsidP="00EB3BE3">
      <w:pPr>
        <w:autoSpaceDE w:val="0"/>
        <w:autoSpaceDN w:val="0"/>
        <w:adjustRightInd w:val="0"/>
        <w:spacing w:after="120" w:line="240" w:lineRule="auto"/>
        <w:ind w:left="992" w:right="6"/>
        <w:jc w:val="both"/>
        <w:rPr>
          <w:rFonts w:ascii="Rockwell" w:hAnsi="Rockwell" w:cs="Arial"/>
          <w:b/>
          <w:bCs/>
          <w:color w:val="003366"/>
          <w:sz w:val="28"/>
          <w:szCs w:val="28"/>
        </w:rPr>
      </w:pPr>
      <w:r w:rsidRPr="00EB3BE3">
        <w:rPr>
          <w:rFonts w:ascii="Rockwell" w:hAnsi="Rockwell" w:cs="Arial"/>
          <w:b/>
          <w:bCs/>
          <w:color w:val="003366"/>
          <w:sz w:val="28"/>
          <w:szCs w:val="28"/>
        </w:rPr>
        <w:t xml:space="preserve">Stratégie et faits marquants </w:t>
      </w:r>
    </w:p>
    <w:p w:rsidR="00EB3BE3" w:rsidRPr="00EB3BE3" w:rsidRDefault="00EB3BE3" w:rsidP="00D1510A">
      <w:pPr>
        <w:pStyle w:val="ListParagraph"/>
        <w:numPr>
          <w:ilvl w:val="0"/>
          <w:numId w:val="11"/>
        </w:numPr>
        <w:autoSpaceDE w:val="0"/>
        <w:autoSpaceDN w:val="0"/>
        <w:adjustRightInd w:val="0"/>
        <w:spacing w:after="60" w:line="240" w:lineRule="auto"/>
        <w:ind w:right="6" w:hanging="357"/>
        <w:contextualSpacing w:val="0"/>
        <w:jc w:val="both"/>
        <w:rPr>
          <w:rFonts w:cs="Arial"/>
          <w:bCs/>
          <w:color w:val="003768"/>
          <w:sz w:val="20"/>
          <w:szCs w:val="20"/>
          <w:lang w:val="fr-FR"/>
        </w:rPr>
      </w:pPr>
      <w:r w:rsidRPr="00EB3BE3">
        <w:rPr>
          <w:rFonts w:cs="Arial"/>
          <w:bCs/>
          <w:color w:val="003768"/>
          <w:sz w:val="20"/>
          <w:szCs w:val="20"/>
          <w:lang w:val="fr-FR"/>
        </w:rPr>
        <w:t xml:space="preserve">La stratégie de base de KBC reste centrée sur la fourniture de produits et de services de bancassurance aux particuliers, aux PME et aux moyennes capitalisations en Belgique, en République tchèque, en Slovaquie, en Hongrie et en Bulgarie. Dans le droit fil de son plan stratégique, le groupe a pratiquement terminé la cession ou la cessation de certaines activités (non stratégiques) (voir ci-après). </w:t>
      </w:r>
    </w:p>
    <w:p w:rsidR="00EB3BE3" w:rsidRPr="00EB3BE3" w:rsidRDefault="00EB3BE3" w:rsidP="00D1510A">
      <w:pPr>
        <w:pStyle w:val="ListParagraph"/>
        <w:numPr>
          <w:ilvl w:val="0"/>
          <w:numId w:val="11"/>
        </w:numPr>
        <w:autoSpaceDE w:val="0"/>
        <w:autoSpaceDN w:val="0"/>
        <w:adjustRightInd w:val="0"/>
        <w:spacing w:after="60" w:line="240" w:lineRule="auto"/>
        <w:ind w:right="6" w:hanging="357"/>
        <w:contextualSpacing w:val="0"/>
        <w:jc w:val="both"/>
        <w:rPr>
          <w:rFonts w:cs="Arial"/>
          <w:bCs/>
          <w:color w:val="003768"/>
          <w:sz w:val="20"/>
          <w:szCs w:val="20"/>
          <w:lang w:val="fr-FR"/>
        </w:rPr>
      </w:pPr>
      <w:r w:rsidRPr="00EB3BE3">
        <w:rPr>
          <w:rFonts w:cs="Arial"/>
          <w:bCs/>
          <w:color w:val="003768"/>
          <w:sz w:val="20"/>
          <w:szCs w:val="20"/>
          <w:lang w:val="fr-FR"/>
        </w:rPr>
        <w:t>Dernières étapes du programme de désinvestissement (depuis le début du 4e trimestre) :</w:t>
      </w:r>
    </w:p>
    <w:p w:rsidR="00EB3BE3" w:rsidRPr="00EB3BE3" w:rsidRDefault="00EB3BE3" w:rsidP="00D1510A">
      <w:pPr>
        <w:pStyle w:val="ListParagraph"/>
        <w:numPr>
          <w:ilvl w:val="1"/>
          <w:numId w:val="11"/>
        </w:numPr>
        <w:autoSpaceDE w:val="0"/>
        <w:autoSpaceDN w:val="0"/>
        <w:adjustRightInd w:val="0"/>
        <w:spacing w:after="60" w:line="240" w:lineRule="auto"/>
        <w:ind w:right="6" w:hanging="357"/>
        <w:contextualSpacing w:val="0"/>
        <w:jc w:val="both"/>
        <w:rPr>
          <w:rFonts w:cs="Arial"/>
          <w:bCs/>
          <w:color w:val="003768"/>
          <w:sz w:val="20"/>
          <w:szCs w:val="20"/>
          <w:lang w:val="fr-FR"/>
        </w:rPr>
      </w:pPr>
      <w:r w:rsidRPr="00EB3BE3">
        <w:rPr>
          <w:rFonts w:cs="Arial"/>
          <w:bCs/>
          <w:color w:val="003768"/>
          <w:sz w:val="20"/>
          <w:szCs w:val="20"/>
          <w:lang w:val="fr-FR"/>
        </w:rPr>
        <w:t xml:space="preserve">Le 24 septembre 2013, KBC a annoncé la conclusion d’un accord portant sur la cession de KBC Bank </w:t>
      </w:r>
      <w:proofErr w:type="spellStart"/>
      <w:r w:rsidRPr="00EB3BE3">
        <w:rPr>
          <w:rFonts w:cs="Arial"/>
          <w:bCs/>
          <w:color w:val="003768"/>
          <w:sz w:val="20"/>
          <w:szCs w:val="20"/>
          <w:lang w:val="fr-FR"/>
        </w:rPr>
        <w:t>Deutschland</w:t>
      </w:r>
      <w:proofErr w:type="spellEnd"/>
      <w:r w:rsidRPr="00EB3BE3">
        <w:rPr>
          <w:rFonts w:cs="Arial"/>
          <w:bCs/>
          <w:color w:val="003768"/>
          <w:sz w:val="20"/>
          <w:szCs w:val="20"/>
          <w:lang w:val="fr-FR"/>
        </w:rPr>
        <w:t xml:space="preserve"> AG à plusieurs investisseurs parmi lesquels des affiliés de </w:t>
      </w:r>
      <w:proofErr w:type="spellStart"/>
      <w:r w:rsidRPr="00EB3BE3">
        <w:rPr>
          <w:rFonts w:cs="Arial"/>
          <w:bCs/>
          <w:color w:val="003768"/>
          <w:sz w:val="20"/>
          <w:szCs w:val="20"/>
          <w:lang w:val="fr-FR"/>
        </w:rPr>
        <w:t>Teacher</w:t>
      </w:r>
      <w:proofErr w:type="spellEnd"/>
      <w:r w:rsidRPr="00EB3BE3">
        <w:rPr>
          <w:rFonts w:cs="Arial"/>
          <w:bCs/>
          <w:color w:val="003768"/>
          <w:sz w:val="20"/>
          <w:szCs w:val="20"/>
          <w:lang w:val="fr-FR"/>
        </w:rPr>
        <w:t xml:space="preserve"> Retirement System of Texas, Apollo Global Management, Apollo Commercial Real </w:t>
      </w:r>
      <w:proofErr w:type="spellStart"/>
      <w:r w:rsidRPr="00EB3BE3">
        <w:rPr>
          <w:rFonts w:cs="Arial"/>
          <w:bCs/>
          <w:color w:val="003768"/>
          <w:sz w:val="20"/>
          <w:szCs w:val="20"/>
          <w:lang w:val="fr-FR"/>
        </w:rPr>
        <w:t>Estate</w:t>
      </w:r>
      <w:proofErr w:type="spellEnd"/>
      <w:r w:rsidRPr="00EB3BE3">
        <w:rPr>
          <w:rFonts w:cs="Arial"/>
          <w:bCs/>
          <w:color w:val="003768"/>
          <w:sz w:val="20"/>
          <w:szCs w:val="20"/>
          <w:lang w:val="fr-FR"/>
        </w:rPr>
        <w:t xml:space="preserve"> Finance et </w:t>
      </w:r>
      <w:proofErr w:type="spellStart"/>
      <w:r w:rsidRPr="00EB3BE3">
        <w:rPr>
          <w:rFonts w:cs="Arial"/>
          <w:bCs/>
          <w:color w:val="003768"/>
          <w:sz w:val="20"/>
          <w:szCs w:val="20"/>
          <w:lang w:val="fr-FR"/>
        </w:rPr>
        <w:t>Grovepoint</w:t>
      </w:r>
      <w:proofErr w:type="spellEnd"/>
      <w:r w:rsidRPr="00EB3BE3">
        <w:rPr>
          <w:rFonts w:cs="Arial"/>
          <w:bCs/>
          <w:color w:val="003768"/>
          <w:sz w:val="20"/>
          <w:szCs w:val="20"/>
          <w:lang w:val="fr-FR"/>
        </w:rPr>
        <w:t xml:space="preserve"> Capital. Cette transaction libérera environ 0,1 milliard d'euros de capital pour KBC, en réduisant principalement les actifs pondérés par le risque, et n'aura pas d'incidence notable sur les résultats financiers de KBC. L’opération permettra d'améliorer la solvabilité de KBC d’environ 15 points de base.</w:t>
      </w:r>
    </w:p>
    <w:p w:rsidR="00EB3BE3" w:rsidRPr="00EB3BE3" w:rsidRDefault="00EB3BE3" w:rsidP="00D1510A">
      <w:pPr>
        <w:pStyle w:val="ListParagraph"/>
        <w:numPr>
          <w:ilvl w:val="1"/>
          <w:numId w:val="11"/>
        </w:numPr>
        <w:autoSpaceDE w:val="0"/>
        <w:autoSpaceDN w:val="0"/>
        <w:adjustRightInd w:val="0"/>
        <w:spacing w:after="60" w:line="240" w:lineRule="auto"/>
        <w:ind w:right="6" w:hanging="357"/>
        <w:contextualSpacing w:val="0"/>
        <w:jc w:val="both"/>
        <w:rPr>
          <w:rFonts w:cs="Arial"/>
          <w:bCs/>
          <w:color w:val="003768"/>
          <w:sz w:val="20"/>
          <w:szCs w:val="20"/>
          <w:lang w:val="fr-FR"/>
        </w:rPr>
      </w:pPr>
      <w:r w:rsidRPr="00EB3BE3">
        <w:rPr>
          <w:rFonts w:cs="Arial"/>
          <w:bCs/>
          <w:color w:val="003768"/>
          <w:sz w:val="20"/>
          <w:szCs w:val="20"/>
          <w:lang w:val="fr-FR"/>
        </w:rPr>
        <w:t xml:space="preserve">Le 19 novembre 2013, 0,7 milliard d'euros de crédits accordés par KBC à </w:t>
      </w:r>
      <w:proofErr w:type="spellStart"/>
      <w:r w:rsidRPr="00EB3BE3">
        <w:rPr>
          <w:rFonts w:cs="Arial"/>
          <w:bCs/>
          <w:color w:val="003768"/>
          <w:sz w:val="20"/>
          <w:szCs w:val="20"/>
          <w:lang w:val="fr-FR"/>
        </w:rPr>
        <w:t>Cera</w:t>
      </w:r>
      <w:proofErr w:type="spellEnd"/>
      <w:r w:rsidRPr="00EB3BE3">
        <w:rPr>
          <w:rFonts w:cs="Arial"/>
          <w:bCs/>
          <w:color w:val="003768"/>
          <w:sz w:val="20"/>
          <w:szCs w:val="20"/>
          <w:lang w:val="fr-FR"/>
        </w:rPr>
        <w:t xml:space="preserve"> et KBC </w:t>
      </w:r>
      <w:proofErr w:type="spellStart"/>
      <w:r w:rsidRPr="00EB3BE3">
        <w:rPr>
          <w:rFonts w:cs="Arial"/>
          <w:bCs/>
          <w:color w:val="003768"/>
          <w:sz w:val="20"/>
          <w:szCs w:val="20"/>
          <w:lang w:val="fr-FR"/>
        </w:rPr>
        <w:t>Ancora</w:t>
      </w:r>
      <w:proofErr w:type="spellEnd"/>
      <w:r w:rsidRPr="00EB3BE3">
        <w:rPr>
          <w:rFonts w:cs="Arial"/>
          <w:bCs/>
          <w:color w:val="003768"/>
          <w:sz w:val="20"/>
          <w:szCs w:val="20"/>
          <w:lang w:val="fr-FR"/>
        </w:rPr>
        <w:t xml:space="preserve"> ont été remboursés. Le produit de la vente d'une partie des parts KBC Groupe détenues par ces deux entités a été affecté au financement de l'opération. Cette réduction a permis d'améliorer le capital réglementaire de 0,7 milliard d'euros et le ratio </w:t>
      </w:r>
      <w:proofErr w:type="spellStart"/>
      <w:r w:rsidRPr="00EB3BE3">
        <w:rPr>
          <w:rFonts w:cs="Arial"/>
          <w:bCs/>
          <w:color w:val="003768"/>
          <w:sz w:val="20"/>
          <w:szCs w:val="20"/>
          <w:lang w:val="fr-FR"/>
        </w:rPr>
        <w:t>common</w:t>
      </w:r>
      <w:proofErr w:type="spellEnd"/>
      <w:r w:rsidRPr="00EB3BE3">
        <w:rPr>
          <w:rFonts w:cs="Arial"/>
          <w:bCs/>
          <w:color w:val="003768"/>
          <w:sz w:val="20"/>
          <w:szCs w:val="20"/>
          <w:lang w:val="fr-FR"/>
        </w:rPr>
        <w:t xml:space="preserve"> </w:t>
      </w:r>
      <w:proofErr w:type="spellStart"/>
      <w:r w:rsidRPr="00EB3BE3">
        <w:rPr>
          <w:rFonts w:cs="Arial"/>
          <w:bCs/>
          <w:color w:val="003768"/>
          <w:sz w:val="20"/>
          <w:szCs w:val="20"/>
          <w:lang w:val="fr-FR"/>
        </w:rPr>
        <w:t>equity</w:t>
      </w:r>
      <w:proofErr w:type="spellEnd"/>
      <w:r w:rsidRPr="00EB3BE3">
        <w:rPr>
          <w:rFonts w:cs="Arial"/>
          <w:bCs/>
          <w:color w:val="003768"/>
          <w:sz w:val="20"/>
          <w:szCs w:val="20"/>
          <w:lang w:val="fr-FR"/>
        </w:rPr>
        <w:t xml:space="preserve"> (à pleine charge, selon Bâle III) de 0,7%.</w:t>
      </w:r>
    </w:p>
    <w:p w:rsidR="00EB3BE3" w:rsidRPr="00EB3BE3" w:rsidRDefault="00EB3BE3" w:rsidP="00D1510A">
      <w:pPr>
        <w:pStyle w:val="ListParagraph"/>
        <w:numPr>
          <w:ilvl w:val="1"/>
          <w:numId w:val="11"/>
        </w:numPr>
        <w:autoSpaceDE w:val="0"/>
        <w:autoSpaceDN w:val="0"/>
        <w:adjustRightInd w:val="0"/>
        <w:spacing w:after="60" w:line="240" w:lineRule="auto"/>
        <w:ind w:right="6" w:hanging="357"/>
        <w:contextualSpacing w:val="0"/>
        <w:jc w:val="both"/>
        <w:rPr>
          <w:rFonts w:cs="Arial"/>
          <w:bCs/>
          <w:color w:val="003768"/>
          <w:sz w:val="20"/>
          <w:szCs w:val="20"/>
          <w:lang w:val="fr-FR"/>
        </w:rPr>
      </w:pPr>
      <w:r w:rsidRPr="00EB3BE3">
        <w:rPr>
          <w:rFonts w:cs="Arial"/>
          <w:bCs/>
          <w:color w:val="003768"/>
          <w:sz w:val="20"/>
          <w:szCs w:val="20"/>
          <w:lang w:val="fr-FR"/>
        </w:rPr>
        <w:t xml:space="preserve">Le 19 décembre 2013, KBC a finalisé les accords conclus avec Société Générale </w:t>
      </w:r>
      <w:proofErr w:type="spellStart"/>
      <w:r w:rsidRPr="00EB3BE3">
        <w:rPr>
          <w:rFonts w:cs="Arial"/>
          <w:bCs/>
          <w:color w:val="003768"/>
          <w:sz w:val="20"/>
          <w:szCs w:val="20"/>
          <w:lang w:val="fr-FR"/>
        </w:rPr>
        <w:t>Srbija</w:t>
      </w:r>
      <w:proofErr w:type="spellEnd"/>
      <w:r w:rsidRPr="00EB3BE3">
        <w:rPr>
          <w:rFonts w:cs="Arial"/>
          <w:bCs/>
          <w:color w:val="003768"/>
          <w:sz w:val="20"/>
          <w:szCs w:val="20"/>
          <w:lang w:val="fr-FR"/>
        </w:rPr>
        <w:t xml:space="preserve"> et </w:t>
      </w:r>
      <w:proofErr w:type="spellStart"/>
      <w:r w:rsidRPr="00EB3BE3">
        <w:rPr>
          <w:rFonts w:cs="Arial"/>
          <w:bCs/>
          <w:color w:val="003768"/>
          <w:sz w:val="20"/>
          <w:szCs w:val="20"/>
          <w:lang w:val="fr-FR"/>
        </w:rPr>
        <w:t>Telenor</w:t>
      </w:r>
      <w:proofErr w:type="spellEnd"/>
      <w:r w:rsidRPr="00EB3BE3">
        <w:rPr>
          <w:rFonts w:cs="Arial"/>
          <w:bCs/>
          <w:color w:val="003768"/>
          <w:sz w:val="20"/>
          <w:szCs w:val="20"/>
          <w:lang w:val="fr-FR"/>
        </w:rPr>
        <w:t xml:space="preserve"> </w:t>
      </w:r>
      <w:proofErr w:type="spellStart"/>
      <w:r w:rsidRPr="00EB3BE3">
        <w:rPr>
          <w:rFonts w:cs="Arial"/>
          <w:bCs/>
          <w:color w:val="003768"/>
          <w:sz w:val="20"/>
          <w:szCs w:val="20"/>
          <w:lang w:val="fr-FR"/>
        </w:rPr>
        <w:t>Serbia</w:t>
      </w:r>
      <w:proofErr w:type="spellEnd"/>
      <w:r w:rsidRPr="00EB3BE3">
        <w:rPr>
          <w:rFonts w:cs="Arial"/>
          <w:bCs/>
          <w:color w:val="003768"/>
          <w:sz w:val="20"/>
          <w:szCs w:val="20"/>
          <w:lang w:val="fr-FR"/>
        </w:rPr>
        <w:t xml:space="preserve"> sur le désinvestissement de KBC Banka, l'entité bancaire de KBC en Serbie. L'impact sur les résultats financiers et sur le capital est négligeable.</w:t>
      </w:r>
    </w:p>
    <w:p w:rsidR="00EB3BE3" w:rsidRPr="00EB3BE3" w:rsidRDefault="00EB3BE3" w:rsidP="00D1510A">
      <w:pPr>
        <w:pStyle w:val="ListParagraph"/>
        <w:numPr>
          <w:ilvl w:val="1"/>
          <w:numId w:val="11"/>
        </w:numPr>
        <w:autoSpaceDE w:val="0"/>
        <w:autoSpaceDN w:val="0"/>
        <w:adjustRightInd w:val="0"/>
        <w:spacing w:after="60" w:line="240" w:lineRule="auto"/>
        <w:ind w:right="6" w:hanging="357"/>
        <w:contextualSpacing w:val="0"/>
        <w:jc w:val="both"/>
        <w:rPr>
          <w:rFonts w:cs="Arial"/>
          <w:bCs/>
          <w:color w:val="003768"/>
          <w:sz w:val="20"/>
          <w:szCs w:val="20"/>
          <w:lang w:val="fr-FR"/>
        </w:rPr>
      </w:pPr>
      <w:r w:rsidRPr="00EB3BE3">
        <w:rPr>
          <w:rFonts w:cs="Arial"/>
          <w:bCs/>
          <w:color w:val="003768"/>
          <w:sz w:val="20"/>
          <w:szCs w:val="20"/>
          <w:lang w:val="fr-FR"/>
        </w:rPr>
        <w:t xml:space="preserve">Le 19 décembre 2013, KBC a conclu un accord avec le groupe </w:t>
      </w:r>
      <w:proofErr w:type="spellStart"/>
      <w:r w:rsidRPr="00EB3BE3">
        <w:rPr>
          <w:rFonts w:cs="Arial"/>
          <w:bCs/>
          <w:color w:val="003768"/>
          <w:sz w:val="20"/>
          <w:szCs w:val="20"/>
          <w:lang w:val="fr-FR"/>
        </w:rPr>
        <w:t>Yinren</w:t>
      </w:r>
      <w:proofErr w:type="spellEnd"/>
      <w:r w:rsidRPr="00EB3BE3">
        <w:rPr>
          <w:rFonts w:cs="Arial"/>
          <w:bCs/>
          <w:color w:val="003768"/>
          <w:sz w:val="20"/>
          <w:szCs w:val="20"/>
          <w:lang w:val="fr-FR"/>
        </w:rPr>
        <w:t xml:space="preserve">, basé à Shanghai, concernant la vente de sa filiale Banque Diamantaire Anversoise. L'opération a un impact immédiat négligeable sur le bénéfice du groupe KBC. Elle libérera environ 0,1 milliard d'euros de capital pour KBC, en réduisant principalement les actifs pondérés par le risque, ce qui améliorera en définitive le ratio </w:t>
      </w:r>
      <w:proofErr w:type="spellStart"/>
      <w:r w:rsidRPr="00EB3BE3">
        <w:rPr>
          <w:rFonts w:cs="Arial"/>
          <w:bCs/>
          <w:color w:val="003768"/>
          <w:sz w:val="20"/>
          <w:szCs w:val="20"/>
          <w:lang w:val="fr-FR"/>
        </w:rPr>
        <w:t>Tier</w:t>
      </w:r>
      <w:proofErr w:type="spellEnd"/>
      <w:r w:rsidRPr="00EB3BE3">
        <w:rPr>
          <w:rFonts w:cs="Arial"/>
          <w:bCs/>
          <w:color w:val="003768"/>
          <w:sz w:val="20"/>
          <w:szCs w:val="20"/>
          <w:lang w:val="fr-FR"/>
        </w:rPr>
        <w:t xml:space="preserve"> 1 de KBC (Bâle II) de près de 0,2%. </w:t>
      </w:r>
    </w:p>
    <w:p w:rsidR="00EB3BE3" w:rsidRPr="00EB3BE3" w:rsidRDefault="00EB3BE3" w:rsidP="00D1510A">
      <w:pPr>
        <w:pStyle w:val="ListParagraph"/>
        <w:numPr>
          <w:ilvl w:val="1"/>
          <w:numId w:val="11"/>
        </w:numPr>
        <w:autoSpaceDE w:val="0"/>
        <w:autoSpaceDN w:val="0"/>
        <w:adjustRightInd w:val="0"/>
        <w:spacing w:after="60" w:line="240" w:lineRule="auto"/>
        <w:ind w:right="6" w:hanging="357"/>
        <w:contextualSpacing w:val="0"/>
        <w:jc w:val="both"/>
        <w:rPr>
          <w:rFonts w:cs="Arial"/>
          <w:bCs/>
          <w:color w:val="003768"/>
          <w:sz w:val="20"/>
          <w:szCs w:val="20"/>
          <w:lang w:val="fr-FR"/>
        </w:rPr>
      </w:pPr>
      <w:r w:rsidRPr="00EB3BE3">
        <w:rPr>
          <w:rFonts w:cs="Arial"/>
          <w:bCs/>
          <w:color w:val="003768"/>
          <w:sz w:val="20"/>
          <w:szCs w:val="20"/>
          <w:lang w:val="fr-FR"/>
        </w:rPr>
        <w:t>Le 8 janvier 2014, KBC a remboursé une seconde tranche de l'aide reçue du gouvernement flamand (0,5 milliard d'euros, soit 0,33 milliard d'euros en principal plus une pénalité de 50%). Ce remboursement était à nouveau en avance sur le plan convenu avec la Commission européenne et a été rendu possible par la robuste position de capital de KBC.</w:t>
      </w:r>
    </w:p>
    <w:p w:rsidR="00EB3BE3" w:rsidRPr="00D1510A" w:rsidRDefault="00EB3BE3" w:rsidP="00D1510A">
      <w:pPr>
        <w:pStyle w:val="ListParagraph"/>
        <w:numPr>
          <w:ilvl w:val="1"/>
          <w:numId w:val="11"/>
        </w:numPr>
        <w:autoSpaceDE w:val="0"/>
        <w:autoSpaceDN w:val="0"/>
        <w:adjustRightInd w:val="0"/>
        <w:spacing w:after="60" w:line="240" w:lineRule="auto"/>
        <w:ind w:right="6" w:hanging="357"/>
        <w:contextualSpacing w:val="0"/>
        <w:jc w:val="both"/>
        <w:rPr>
          <w:rFonts w:cs="Arial"/>
          <w:bCs/>
          <w:color w:val="003768"/>
          <w:sz w:val="20"/>
          <w:szCs w:val="20"/>
          <w:lang w:val="fr-FR"/>
        </w:rPr>
      </w:pPr>
      <w:r w:rsidRPr="00D1510A">
        <w:rPr>
          <w:rFonts w:cs="Arial"/>
          <w:bCs/>
          <w:color w:val="003768"/>
          <w:sz w:val="20"/>
          <w:szCs w:val="20"/>
          <w:lang w:val="fr-FR"/>
        </w:rPr>
        <w:t xml:space="preserve">En janvier 2014, l'exposition nette aux positions CDO </w:t>
      </w:r>
      <w:proofErr w:type="spellStart"/>
      <w:r w:rsidRPr="00D1510A">
        <w:rPr>
          <w:rFonts w:cs="Arial"/>
          <w:bCs/>
          <w:color w:val="003768"/>
          <w:sz w:val="20"/>
          <w:szCs w:val="20"/>
          <w:lang w:val="fr-FR"/>
        </w:rPr>
        <w:t>legacy</w:t>
      </w:r>
      <w:proofErr w:type="spellEnd"/>
      <w:r w:rsidRPr="00D1510A">
        <w:rPr>
          <w:rFonts w:cs="Arial"/>
          <w:bCs/>
          <w:color w:val="003768"/>
          <w:sz w:val="20"/>
          <w:szCs w:val="20"/>
          <w:lang w:val="fr-FR"/>
        </w:rPr>
        <w:t xml:space="preserve"> a encore été réduite de quelque 2 milliards d'euros grâce à la liquidation continue des risques liés aux CDO.</w:t>
      </w:r>
    </w:p>
    <w:p w:rsidR="00EB3BE3" w:rsidRPr="00D1510A" w:rsidRDefault="00EB3BE3" w:rsidP="00D1510A">
      <w:pPr>
        <w:pStyle w:val="ListParagraph"/>
        <w:numPr>
          <w:ilvl w:val="0"/>
          <w:numId w:val="11"/>
        </w:numPr>
        <w:autoSpaceDE w:val="0"/>
        <w:autoSpaceDN w:val="0"/>
        <w:adjustRightInd w:val="0"/>
        <w:spacing w:after="60" w:line="240" w:lineRule="auto"/>
        <w:ind w:right="6" w:hanging="357"/>
        <w:contextualSpacing w:val="0"/>
        <w:jc w:val="both"/>
        <w:rPr>
          <w:rFonts w:cs="Arial"/>
          <w:bCs/>
          <w:color w:val="003768"/>
          <w:sz w:val="20"/>
          <w:szCs w:val="20"/>
          <w:lang w:val="fr-FR"/>
        </w:rPr>
      </w:pPr>
      <w:r w:rsidRPr="00D1510A">
        <w:rPr>
          <w:rFonts w:cs="Arial"/>
          <w:bCs/>
          <w:color w:val="003768"/>
          <w:sz w:val="20"/>
          <w:szCs w:val="20"/>
          <w:lang w:val="fr-FR"/>
        </w:rPr>
        <w:t>Évolution en matière de développement durable et de responsabilité de l’entreprise :</w:t>
      </w:r>
    </w:p>
    <w:p w:rsidR="00EB3BE3" w:rsidRPr="00D1510A" w:rsidRDefault="00EB3BE3" w:rsidP="00D1510A">
      <w:pPr>
        <w:pStyle w:val="ListParagraph"/>
        <w:numPr>
          <w:ilvl w:val="1"/>
          <w:numId w:val="11"/>
        </w:numPr>
        <w:autoSpaceDE w:val="0"/>
        <w:autoSpaceDN w:val="0"/>
        <w:adjustRightInd w:val="0"/>
        <w:spacing w:after="60" w:line="240" w:lineRule="auto"/>
        <w:ind w:right="6" w:hanging="357"/>
        <w:contextualSpacing w:val="0"/>
        <w:jc w:val="both"/>
        <w:rPr>
          <w:rFonts w:cs="Arial"/>
          <w:bCs/>
          <w:color w:val="003768"/>
          <w:sz w:val="20"/>
          <w:szCs w:val="20"/>
          <w:lang w:val="fr-FR"/>
        </w:rPr>
      </w:pPr>
      <w:r w:rsidRPr="00D1510A">
        <w:rPr>
          <w:rFonts w:cs="Arial"/>
          <w:bCs/>
          <w:color w:val="003768"/>
          <w:sz w:val="20"/>
          <w:szCs w:val="20"/>
          <w:lang w:val="fr-FR"/>
        </w:rPr>
        <w:t xml:space="preserve">Le 18 octobre 2013, KBC Belgique a lancé un "back-up numérique pour ses clients" ; écoles, associations et auteurs de projet belges peuvent ainsi introduire une demande pour obtenir des ordinateurs usagés. </w:t>
      </w:r>
    </w:p>
    <w:p w:rsidR="00EB3BE3" w:rsidRPr="00D1510A" w:rsidRDefault="00EB3BE3" w:rsidP="00D1510A">
      <w:pPr>
        <w:pStyle w:val="ListParagraph"/>
        <w:numPr>
          <w:ilvl w:val="1"/>
          <w:numId w:val="11"/>
        </w:numPr>
        <w:autoSpaceDE w:val="0"/>
        <w:autoSpaceDN w:val="0"/>
        <w:adjustRightInd w:val="0"/>
        <w:spacing w:after="60" w:line="240" w:lineRule="auto"/>
        <w:ind w:right="6" w:hanging="357"/>
        <w:contextualSpacing w:val="0"/>
        <w:jc w:val="both"/>
        <w:rPr>
          <w:rFonts w:cs="Arial"/>
          <w:bCs/>
          <w:color w:val="003768"/>
          <w:sz w:val="20"/>
          <w:szCs w:val="20"/>
          <w:lang w:val="fr-FR"/>
        </w:rPr>
      </w:pPr>
      <w:r w:rsidRPr="00D1510A">
        <w:rPr>
          <w:rFonts w:cs="Arial"/>
          <w:bCs/>
          <w:color w:val="003768"/>
          <w:sz w:val="20"/>
          <w:szCs w:val="20"/>
          <w:lang w:val="fr-FR"/>
        </w:rPr>
        <w:t>Le 25 octobre 2013, KBC s’est vu décerner le prix de la « Meilleure information financière » par l’Association belge des analystes financiers.</w:t>
      </w:r>
    </w:p>
    <w:p w:rsidR="00EB3BE3" w:rsidRPr="00D1510A" w:rsidRDefault="00EB3BE3" w:rsidP="00D1510A">
      <w:pPr>
        <w:pStyle w:val="ListParagraph"/>
        <w:numPr>
          <w:ilvl w:val="1"/>
          <w:numId w:val="11"/>
        </w:numPr>
        <w:autoSpaceDE w:val="0"/>
        <w:autoSpaceDN w:val="0"/>
        <w:adjustRightInd w:val="0"/>
        <w:spacing w:after="60" w:line="240" w:lineRule="auto"/>
        <w:ind w:right="6" w:hanging="357"/>
        <w:contextualSpacing w:val="0"/>
        <w:jc w:val="both"/>
        <w:rPr>
          <w:rFonts w:cs="Arial"/>
          <w:bCs/>
          <w:color w:val="003768"/>
          <w:sz w:val="20"/>
          <w:szCs w:val="20"/>
          <w:lang w:val="fr-FR"/>
        </w:rPr>
      </w:pPr>
      <w:r w:rsidRPr="00D1510A">
        <w:rPr>
          <w:rFonts w:cs="Arial"/>
          <w:bCs/>
          <w:color w:val="003768"/>
          <w:sz w:val="20"/>
          <w:szCs w:val="20"/>
          <w:lang w:val="fr-FR"/>
        </w:rPr>
        <w:t xml:space="preserve">Le 2 décembre 2013, KBC Ireland a apporté son soutien à "The EM Ireland 40 </w:t>
      </w:r>
      <w:proofErr w:type="spellStart"/>
      <w:r w:rsidRPr="00D1510A">
        <w:rPr>
          <w:rFonts w:cs="Arial"/>
          <w:bCs/>
          <w:color w:val="003768"/>
          <w:sz w:val="20"/>
          <w:szCs w:val="20"/>
          <w:lang w:val="fr-FR"/>
        </w:rPr>
        <w:t>Years</w:t>
      </w:r>
      <w:proofErr w:type="spellEnd"/>
      <w:r w:rsidRPr="00D1510A">
        <w:rPr>
          <w:rFonts w:cs="Arial"/>
          <w:bCs/>
          <w:color w:val="003768"/>
          <w:sz w:val="20"/>
          <w:szCs w:val="20"/>
          <w:lang w:val="fr-FR"/>
        </w:rPr>
        <w:t xml:space="preserve"> of Change </w:t>
      </w:r>
      <w:proofErr w:type="spellStart"/>
      <w:r w:rsidRPr="00D1510A">
        <w:rPr>
          <w:rFonts w:cs="Arial"/>
          <w:bCs/>
          <w:color w:val="003768"/>
          <w:sz w:val="20"/>
          <w:szCs w:val="20"/>
          <w:lang w:val="fr-FR"/>
        </w:rPr>
        <w:t>Bursary</w:t>
      </w:r>
      <w:proofErr w:type="spellEnd"/>
      <w:r w:rsidRPr="00D1510A">
        <w:rPr>
          <w:rFonts w:cs="Arial"/>
          <w:bCs/>
          <w:color w:val="003768"/>
          <w:sz w:val="20"/>
          <w:szCs w:val="20"/>
          <w:lang w:val="fr-FR"/>
        </w:rPr>
        <w:t xml:space="preserve"> </w:t>
      </w:r>
      <w:proofErr w:type="spellStart"/>
      <w:r w:rsidRPr="00D1510A">
        <w:rPr>
          <w:rFonts w:cs="Arial"/>
          <w:bCs/>
          <w:color w:val="003768"/>
          <w:sz w:val="20"/>
          <w:szCs w:val="20"/>
          <w:lang w:val="fr-FR"/>
        </w:rPr>
        <w:t>Award</w:t>
      </w:r>
      <w:proofErr w:type="spellEnd"/>
      <w:r w:rsidRPr="00D1510A">
        <w:rPr>
          <w:rFonts w:cs="Arial"/>
          <w:bCs/>
          <w:color w:val="003768"/>
          <w:sz w:val="20"/>
          <w:szCs w:val="20"/>
          <w:lang w:val="fr-FR"/>
        </w:rPr>
        <w:t>", un concours de composition sur le thème de "L'Irlande et l'UE : quarante ans de changement". Ce concours s'adressait aux étudiants du premier cycle de l'enseignement supérieur de la Verte Érin. Les étudiants étaient invités à examiner d'un œil critique l'évolution des relations entre l'Irlande et l'UE au cours des quarante dernières années et à se projeter dans les quarante années à venir.</w:t>
      </w:r>
    </w:p>
    <w:p w:rsidR="00EB3BE3" w:rsidRPr="00D1510A" w:rsidRDefault="00EB3BE3" w:rsidP="00D1510A">
      <w:pPr>
        <w:pStyle w:val="ListParagraph"/>
        <w:numPr>
          <w:ilvl w:val="1"/>
          <w:numId w:val="11"/>
        </w:numPr>
        <w:autoSpaceDE w:val="0"/>
        <w:autoSpaceDN w:val="0"/>
        <w:adjustRightInd w:val="0"/>
        <w:spacing w:after="60" w:line="240" w:lineRule="auto"/>
        <w:ind w:right="6" w:hanging="357"/>
        <w:contextualSpacing w:val="0"/>
        <w:jc w:val="both"/>
        <w:rPr>
          <w:rFonts w:cs="Arial"/>
          <w:bCs/>
          <w:color w:val="003768"/>
          <w:sz w:val="20"/>
          <w:szCs w:val="20"/>
          <w:lang w:val="fr-FR"/>
        </w:rPr>
      </w:pPr>
      <w:r w:rsidRPr="00D1510A">
        <w:rPr>
          <w:rFonts w:cs="Arial"/>
          <w:bCs/>
          <w:color w:val="003768"/>
          <w:sz w:val="20"/>
          <w:szCs w:val="20"/>
          <w:lang w:val="fr-FR"/>
        </w:rPr>
        <w:t>Le 2 décembre 2013 – grâce à sa campagne "Une simple transaction bancaire peut sauver une vie" – la Fondation ČSOB a remis 62 000 euros à la Fondation Centre cardiologique pour enfants pour l'achat d'un appareil de circulation extracorporelle destiné au Centre cardiologique pour enfants. Cet appareil est indispensable aux opérations du cœur.</w:t>
      </w:r>
    </w:p>
    <w:p w:rsidR="00D1510A" w:rsidRDefault="00EB3BE3" w:rsidP="00D1510A">
      <w:pPr>
        <w:pStyle w:val="ListParagraph"/>
        <w:numPr>
          <w:ilvl w:val="1"/>
          <w:numId w:val="11"/>
        </w:numPr>
        <w:autoSpaceDE w:val="0"/>
        <w:autoSpaceDN w:val="0"/>
        <w:adjustRightInd w:val="0"/>
        <w:spacing w:after="60" w:line="240" w:lineRule="auto"/>
        <w:ind w:right="6" w:hanging="357"/>
        <w:contextualSpacing w:val="0"/>
        <w:jc w:val="both"/>
        <w:rPr>
          <w:rFonts w:cs="Arial"/>
          <w:bCs/>
          <w:color w:val="003768"/>
          <w:sz w:val="20"/>
          <w:szCs w:val="20"/>
          <w:lang w:val="fr-FR"/>
        </w:rPr>
      </w:pPr>
      <w:r w:rsidRPr="00D1510A">
        <w:rPr>
          <w:rFonts w:cs="Arial"/>
          <w:bCs/>
          <w:color w:val="003768"/>
          <w:sz w:val="20"/>
          <w:szCs w:val="20"/>
          <w:lang w:val="fr-FR"/>
        </w:rPr>
        <w:t>Le 17 décembre 2013, K&amp;H a obtenu le premier prix dans la catégorie "Projet exemplaire CSR" au sein du concours "Bonnes pratiques CSR 2012", organisé par l'Association des relations publiques. Comme le jury l'a expliqué : K&amp;H est "</w:t>
      </w:r>
      <w:proofErr w:type="spellStart"/>
      <w:r w:rsidRPr="00D1510A">
        <w:rPr>
          <w:rFonts w:cs="Arial"/>
          <w:bCs/>
          <w:color w:val="003768"/>
          <w:sz w:val="20"/>
          <w:szCs w:val="20"/>
          <w:lang w:val="fr-FR"/>
        </w:rPr>
        <w:t>Ready</w:t>
      </w:r>
      <w:proofErr w:type="spellEnd"/>
      <w:r w:rsidRPr="00D1510A">
        <w:rPr>
          <w:rFonts w:cs="Arial"/>
          <w:bCs/>
          <w:color w:val="003768"/>
          <w:sz w:val="20"/>
          <w:szCs w:val="20"/>
          <w:lang w:val="fr-FR"/>
        </w:rPr>
        <w:t xml:space="preserve">, </w:t>
      </w:r>
      <w:proofErr w:type="spellStart"/>
      <w:r w:rsidRPr="00D1510A">
        <w:rPr>
          <w:rFonts w:cs="Arial"/>
          <w:bCs/>
          <w:color w:val="003768"/>
          <w:sz w:val="20"/>
          <w:szCs w:val="20"/>
          <w:lang w:val="fr-FR"/>
        </w:rPr>
        <w:t>Steady</w:t>
      </w:r>
      <w:proofErr w:type="spellEnd"/>
      <w:r w:rsidRPr="00D1510A">
        <w:rPr>
          <w:rFonts w:cs="Arial"/>
          <w:bCs/>
          <w:color w:val="003768"/>
          <w:sz w:val="20"/>
          <w:szCs w:val="20"/>
          <w:lang w:val="fr-FR"/>
        </w:rPr>
        <w:t>, Money !" Ce concours visait à promouvoir la responsabilité sociale des entreprises en Hongrie.</w:t>
      </w:r>
    </w:p>
    <w:p w:rsidR="00D1510A" w:rsidRDefault="00D1510A">
      <w:pPr>
        <w:spacing w:after="0" w:line="240" w:lineRule="auto"/>
        <w:rPr>
          <w:rFonts w:cs="Arial"/>
          <w:bCs/>
          <w:color w:val="003768"/>
          <w:sz w:val="20"/>
          <w:szCs w:val="20"/>
          <w:lang w:val="fr-FR"/>
        </w:rPr>
      </w:pPr>
      <w:r>
        <w:rPr>
          <w:rFonts w:cs="Arial"/>
          <w:bCs/>
          <w:color w:val="003768"/>
          <w:sz w:val="20"/>
          <w:szCs w:val="20"/>
          <w:lang w:val="fr-FR"/>
        </w:rPr>
        <w:br w:type="page"/>
      </w:r>
    </w:p>
    <w:p w:rsidR="00EB3BE3" w:rsidRPr="00D1510A" w:rsidRDefault="00EB3BE3" w:rsidP="00D1510A">
      <w:pPr>
        <w:pStyle w:val="ListParagraph"/>
        <w:numPr>
          <w:ilvl w:val="0"/>
          <w:numId w:val="11"/>
        </w:numPr>
        <w:autoSpaceDE w:val="0"/>
        <w:autoSpaceDN w:val="0"/>
        <w:adjustRightInd w:val="0"/>
        <w:spacing w:after="60" w:line="240" w:lineRule="auto"/>
        <w:ind w:right="6" w:hanging="357"/>
        <w:contextualSpacing w:val="0"/>
        <w:jc w:val="both"/>
        <w:rPr>
          <w:rFonts w:cs="Arial"/>
          <w:bCs/>
          <w:color w:val="003768"/>
          <w:sz w:val="20"/>
          <w:szCs w:val="20"/>
          <w:lang w:val="fr-FR"/>
        </w:rPr>
      </w:pPr>
      <w:r w:rsidRPr="00D1510A">
        <w:rPr>
          <w:rFonts w:cs="Arial"/>
          <w:bCs/>
          <w:color w:val="003768"/>
          <w:sz w:val="20"/>
          <w:szCs w:val="20"/>
          <w:lang w:val="fr-FR"/>
        </w:rPr>
        <w:lastRenderedPageBreak/>
        <w:t>Déclaration relative aux risques</w:t>
      </w:r>
    </w:p>
    <w:p w:rsidR="00EB3BE3" w:rsidRPr="00D1510A" w:rsidRDefault="00EB3BE3" w:rsidP="00D1510A">
      <w:pPr>
        <w:pStyle w:val="ListParagraph"/>
        <w:numPr>
          <w:ilvl w:val="1"/>
          <w:numId w:val="11"/>
        </w:numPr>
        <w:autoSpaceDE w:val="0"/>
        <w:autoSpaceDN w:val="0"/>
        <w:adjustRightInd w:val="0"/>
        <w:spacing w:after="60" w:line="240" w:lineRule="auto"/>
        <w:ind w:right="6" w:hanging="357"/>
        <w:contextualSpacing w:val="0"/>
        <w:jc w:val="both"/>
        <w:rPr>
          <w:rFonts w:cs="Arial"/>
          <w:bCs/>
          <w:color w:val="003768"/>
          <w:sz w:val="20"/>
          <w:szCs w:val="20"/>
          <w:lang w:val="fr-FR"/>
        </w:rPr>
      </w:pPr>
      <w:r w:rsidRPr="00D1510A">
        <w:rPr>
          <w:rFonts w:cs="Arial"/>
          <w:bCs/>
          <w:color w:val="003768"/>
          <w:sz w:val="20"/>
          <w:szCs w:val="20"/>
          <w:lang w:val="fr-FR"/>
        </w:rPr>
        <w:t xml:space="preserve">Ses activités étant principalement axées sur la banque, l’assurance et la gestion d'actifs, KBC s'expose à certains risques typiques tels que, entre autres, les risques de défaut de crédit, les fluctuations des taux d'intérêt, les risques du marché des capitaux, les risques de change, les risques de liquidité, les risques d'assurance, les risques opérationnels, l'exposition aux marchés émergents, l'évolution de la réglementation, les litiges avec les clients et les risques économiques en général. Le fait que le contexte macroéconomique et les plans de désinvestissement en cours puissent avoir une incidence défavorable sur la valeur des actifs ou puissent occasionner des charges supplémentaires excédant les prévisions est un autre aspect propre au risque de l'entreprise. </w:t>
      </w:r>
    </w:p>
    <w:p w:rsidR="00EB3BE3" w:rsidRPr="00D1510A" w:rsidRDefault="00EB3BE3" w:rsidP="00D1510A">
      <w:pPr>
        <w:pStyle w:val="ListParagraph"/>
        <w:numPr>
          <w:ilvl w:val="1"/>
          <w:numId w:val="11"/>
        </w:numPr>
        <w:autoSpaceDE w:val="0"/>
        <w:autoSpaceDN w:val="0"/>
        <w:adjustRightInd w:val="0"/>
        <w:spacing w:after="60" w:line="240" w:lineRule="auto"/>
        <w:ind w:right="6" w:hanging="357"/>
        <w:contextualSpacing w:val="0"/>
        <w:jc w:val="both"/>
        <w:rPr>
          <w:rFonts w:cs="Arial"/>
          <w:bCs/>
          <w:color w:val="003768"/>
          <w:sz w:val="20"/>
          <w:szCs w:val="20"/>
          <w:lang w:val="fr-FR"/>
        </w:rPr>
      </w:pPr>
      <w:r w:rsidRPr="00D1510A">
        <w:rPr>
          <w:rFonts w:cs="Arial"/>
          <w:bCs/>
          <w:color w:val="003768"/>
          <w:sz w:val="20"/>
          <w:szCs w:val="20"/>
          <w:lang w:val="fr-FR"/>
        </w:rPr>
        <w:t xml:space="preserve">Les données relatives à la gestion des risques sont reproduites dans les rapports annuels, les rapports trimestriels étendus et les rapports spécifiques sur les risques de KBC, tous disponibles sur le site www.kbc.com. </w:t>
      </w:r>
    </w:p>
    <w:p w:rsidR="00EB3BE3" w:rsidRPr="00D1510A" w:rsidRDefault="00EB3BE3" w:rsidP="00D1510A">
      <w:pPr>
        <w:pStyle w:val="ListParagraph"/>
        <w:numPr>
          <w:ilvl w:val="1"/>
          <w:numId w:val="11"/>
        </w:numPr>
        <w:autoSpaceDE w:val="0"/>
        <w:autoSpaceDN w:val="0"/>
        <w:adjustRightInd w:val="0"/>
        <w:spacing w:after="60" w:line="240" w:lineRule="auto"/>
        <w:ind w:right="6" w:hanging="357"/>
        <w:contextualSpacing w:val="0"/>
        <w:jc w:val="both"/>
        <w:rPr>
          <w:rFonts w:cs="Arial"/>
          <w:bCs/>
          <w:color w:val="003768"/>
          <w:sz w:val="20"/>
          <w:szCs w:val="20"/>
          <w:lang w:val="fr-FR"/>
        </w:rPr>
      </w:pPr>
      <w:r w:rsidRPr="00D1510A">
        <w:rPr>
          <w:rFonts w:cs="Arial"/>
          <w:bCs/>
          <w:color w:val="003768"/>
          <w:sz w:val="20"/>
          <w:szCs w:val="20"/>
          <w:lang w:val="fr-FR"/>
        </w:rPr>
        <w:t xml:space="preserve">La croissance économique globale prend de l'élan. Aux États-Unis, la croissance économique est tirée principalement par la consommation privée, qui bénéficie de la robustesse du marché de l'emploi américain. En outre, le freinage fiscal sera nettement moins marqué en 2014 qu'en 2013 en vertu de l'accord bipartite sur le budget fédéral. En Europe, la relance économique est en cours, comme le montre l'amélioration de l'indice allemand IFO. Les économies plus vulnérables de l'UEM enregistrent également une reprise, avec des indices de confiance des producteurs conformes à la croissance économique.   </w:t>
      </w:r>
    </w:p>
    <w:p w:rsidR="00EB3BE3" w:rsidRPr="00D1510A" w:rsidRDefault="00EB3BE3" w:rsidP="00D1510A">
      <w:pPr>
        <w:pStyle w:val="ListParagraph"/>
        <w:numPr>
          <w:ilvl w:val="1"/>
          <w:numId w:val="11"/>
        </w:numPr>
        <w:autoSpaceDE w:val="0"/>
        <w:autoSpaceDN w:val="0"/>
        <w:adjustRightInd w:val="0"/>
        <w:spacing w:after="60" w:line="240" w:lineRule="auto"/>
        <w:ind w:right="6" w:hanging="357"/>
        <w:contextualSpacing w:val="0"/>
        <w:jc w:val="both"/>
        <w:rPr>
          <w:rFonts w:cs="Arial"/>
          <w:bCs/>
          <w:color w:val="003768"/>
          <w:sz w:val="20"/>
          <w:szCs w:val="20"/>
          <w:lang w:val="fr-FR"/>
        </w:rPr>
      </w:pPr>
      <w:r w:rsidRPr="00D1510A">
        <w:rPr>
          <w:rFonts w:cs="Arial"/>
          <w:bCs/>
          <w:color w:val="003768"/>
          <w:sz w:val="20"/>
          <w:szCs w:val="20"/>
          <w:lang w:val="fr-FR"/>
        </w:rPr>
        <w:t xml:space="preserve">La croissance économique chinoise marque le pas. Après avoir accéléré constamment durant les trois premiers trimestres de 2013, la croissance du PIB a ralenti quelque peu au quatrième trimestre. Le principal objectif des dirigeants chinois est de faciliter le passage d'une croissance tirée par les investissements à une croissance poussée par la consommation. Les efforts consentis par la Banque centrale chinoise en vue de maîtriser la croissance du crédit s'inscrivent dans ce cadre. </w:t>
      </w:r>
    </w:p>
    <w:p w:rsidR="00EB3BE3" w:rsidRPr="00D1510A" w:rsidRDefault="00EB3BE3" w:rsidP="00D1510A">
      <w:pPr>
        <w:pStyle w:val="ListParagraph"/>
        <w:numPr>
          <w:ilvl w:val="1"/>
          <w:numId w:val="11"/>
        </w:numPr>
        <w:autoSpaceDE w:val="0"/>
        <w:autoSpaceDN w:val="0"/>
        <w:adjustRightInd w:val="0"/>
        <w:spacing w:after="60" w:line="240" w:lineRule="auto"/>
        <w:ind w:right="6" w:hanging="357"/>
        <w:contextualSpacing w:val="0"/>
        <w:jc w:val="both"/>
        <w:rPr>
          <w:rFonts w:cs="Arial"/>
          <w:bCs/>
          <w:color w:val="003768"/>
          <w:sz w:val="20"/>
          <w:szCs w:val="20"/>
          <w:lang w:val="fr-FR"/>
        </w:rPr>
      </w:pPr>
      <w:r w:rsidRPr="00D1510A">
        <w:rPr>
          <w:rFonts w:cs="Arial"/>
          <w:bCs/>
          <w:color w:val="003768"/>
          <w:sz w:val="20"/>
          <w:szCs w:val="20"/>
          <w:lang w:val="fr-FR"/>
        </w:rPr>
        <w:t xml:space="preserve">Consécutivement à la réduction du dernier programme de rachat d'obligations de la Réserve fédérale, les flux de capitaux vers de nombreux marchés émergents ont commencé à s'inverser. On constate en particulier que, dans les pays qui affichent un déficit de la balance courante, les monnaies se déprécient et les rendements obligataires augmentent. Une crise analogue à celle de 1997 semble toutefois peu probable, vu que la dette intérieure s'accumule à un rythme beaucoup plus modéré et que les réserves de change sont nettement plus confortables qu'à l'époque.   </w:t>
      </w:r>
    </w:p>
    <w:p w:rsidR="00EB3BE3" w:rsidRPr="00D1510A" w:rsidRDefault="00EB3BE3" w:rsidP="00D1510A">
      <w:pPr>
        <w:pStyle w:val="ListParagraph"/>
        <w:numPr>
          <w:ilvl w:val="1"/>
          <w:numId w:val="11"/>
        </w:numPr>
        <w:autoSpaceDE w:val="0"/>
        <w:autoSpaceDN w:val="0"/>
        <w:adjustRightInd w:val="0"/>
        <w:spacing w:after="60" w:line="240" w:lineRule="auto"/>
        <w:ind w:right="6" w:hanging="357"/>
        <w:contextualSpacing w:val="0"/>
        <w:jc w:val="both"/>
        <w:rPr>
          <w:rFonts w:cs="Arial"/>
          <w:bCs/>
          <w:color w:val="003768"/>
          <w:sz w:val="20"/>
          <w:szCs w:val="20"/>
          <w:lang w:val="fr-FR"/>
        </w:rPr>
      </w:pPr>
      <w:r w:rsidRPr="00D1510A">
        <w:rPr>
          <w:rFonts w:cs="Arial"/>
          <w:bCs/>
          <w:color w:val="003768"/>
          <w:sz w:val="20"/>
          <w:szCs w:val="20"/>
          <w:lang w:val="fr-FR"/>
        </w:rPr>
        <w:t>La BCE a annoncé qu'elle analyserait de manière approfondie les banques de la zone euro, en procédant à un examen de la qualité des actifs, à une évaluation du bilan et à un stress test. Les résultats seront publiés fin 2014.</w:t>
      </w:r>
    </w:p>
    <w:p w:rsidR="00EB3BE3" w:rsidRPr="00D1510A" w:rsidRDefault="00EB3BE3" w:rsidP="00D1510A">
      <w:pPr>
        <w:pStyle w:val="ListParagraph"/>
        <w:numPr>
          <w:ilvl w:val="0"/>
          <w:numId w:val="11"/>
        </w:numPr>
        <w:autoSpaceDE w:val="0"/>
        <w:autoSpaceDN w:val="0"/>
        <w:adjustRightInd w:val="0"/>
        <w:spacing w:after="60" w:line="240" w:lineRule="auto"/>
        <w:ind w:right="6" w:hanging="357"/>
        <w:contextualSpacing w:val="0"/>
        <w:jc w:val="both"/>
        <w:rPr>
          <w:rFonts w:cs="Arial"/>
          <w:bCs/>
          <w:color w:val="003768"/>
          <w:sz w:val="20"/>
          <w:szCs w:val="20"/>
          <w:lang w:val="fr-FR"/>
        </w:rPr>
      </w:pPr>
      <w:r w:rsidRPr="00D1510A">
        <w:rPr>
          <w:rFonts w:cs="Arial"/>
          <w:bCs/>
          <w:color w:val="003768"/>
          <w:sz w:val="20"/>
          <w:szCs w:val="20"/>
          <w:lang w:val="fr-FR"/>
        </w:rPr>
        <w:t>Informations complémentaires</w:t>
      </w:r>
    </w:p>
    <w:p w:rsidR="00EB3BE3" w:rsidRPr="00D1510A" w:rsidRDefault="00EB3BE3" w:rsidP="00D1510A">
      <w:pPr>
        <w:pStyle w:val="ListParagraph"/>
        <w:numPr>
          <w:ilvl w:val="1"/>
          <w:numId w:val="11"/>
        </w:numPr>
        <w:autoSpaceDE w:val="0"/>
        <w:autoSpaceDN w:val="0"/>
        <w:adjustRightInd w:val="0"/>
        <w:spacing w:after="60" w:line="240" w:lineRule="auto"/>
        <w:ind w:right="6" w:hanging="357"/>
        <w:contextualSpacing w:val="0"/>
        <w:jc w:val="both"/>
        <w:rPr>
          <w:rFonts w:cs="Arial"/>
          <w:bCs/>
          <w:color w:val="003768"/>
          <w:sz w:val="20"/>
          <w:szCs w:val="20"/>
          <w:lang w:val="fr-FR"/>
        </w:rPr>
      </w:pPr>
      <w:r w:rsidRPr="00D1510A">
        <w:rPr>
          <w:rFonts w:cs="Arial"/>
          <w:bCs/>
          <w:color w:val="003768"/>
          <w:sz w:val="20"/>
          <w:szCs w:val="20"/>
          <w:lang w:val="fr-FR"/>
        </w:rPr>
        <w:t xml:space="preserve">L'auditeur statutaire de KBC Groupe SA a confirmé avoir en grande partie achevé sa mission de contrôle des résultats financiers consolidés, établis conformément aux International Financial </w:t>
      </w:r>
      <w:proofErr w:type="spellStart"/>
      <w:r w:rsidRPr="00D1510A">
        <w:rPr>
          <w:rFonts w:cs="Arial"/>
          <w:bCs/>
          <w:color w:val="003768"/>
          <w:sz w:val="20"/>
          <w:szCs w:val="20"/>
          <w:lang w:val="fr-FR"/>
        </w:rPr>
        <w:t>Reporting</w:t>
      </w:r>
      <w:proofErr w:type="spellEnd"/>
      <w:r w:rsidRPr="00D1510A">
        <w:rPr>
          <w:rFonts w:cs="Arial"/>
          <w:bCs/>
          <w:color w:val="003768"/>
          <w:sz w:val="20"/>
          <w:szCs w:val="20"/>
          <w:lang w:val="fr-FR"/>
        </w:rPr>
        <w:t xml:space="preserve"> Standards  adoptées par l’Union européenne. Ces vérifications n’ont mis au jour aucune nécessité d’apporter quelconque modification aux informations comptables dérivées des états financiers consolidés et incluses dans le présent communiqué.</w:t>
      </w:r>
    </w:p>
    <w:p w:rsidR="00EB3BE3" w:rsidRPr="00D1510A" w:rsidRDefault="00EB3BE3" w:rsidP="00D1510A">
      <w:pPr>
        <w:pStyle w:val="ListParagraph"/>
        <w:numPr>
          <w:ilvl w:val="1"/>
          <w:numId w:val="11"/>
        </w:numPr>
        <w:autoSpaceDE w:val="0"/>
        <w:autoSpaceDN w:val="0"/>
        <w:adjustRightInd w:val="0"/>
        <w:spacing w:after="60" w:line="240" w:lineRule="auto"/>
        <w:ind w:right="6" w:hanging="357"/>
        <w:contextualSpacing w:val="0"/>
        <w:jc w:val="both"/>
        <w:rPr>
          <w:rFonts w:cs="Arial"/>
          <w:bCs/>
          <w:color w:val="003768"/>
          <w:sz w:val="20"/>
          <w:szCs w:val="20"/>
          <w:lang w:val="fr-FR"/>
        </w:rPr>
      </w:pPr>
      <w:r w:rsidRPr="00D1510A">
        <w:rPr>
          <w:rFonts w:cs="Arial"/>
          <w:bCs/>
          <w:color w:val="003768"/>
          <w:sz w:val="20"/>
          <w:szCs w:val="20"/>
          <w:lang w:val="fr-FR"/>
        </w:rPr>
        <w:t>Nous proposerons à l'Assemblée générale annuelle des actionnaires de ne pas distribuer de dividende pour l'exercice financier 2013 en 2014.</w:t>
      </w:r>
    </w:p>
    <w:p w:rsidR="00EB3BE3" w:rsidRPr="00D1510A" w:rsidRDefault="00EB3BE3" w:rsidP="00D1510A">
      <w:pPr>
        <w:pStyle w:val="ListParagraph"/>
        <w:numPr>
          <w:ilvl w:val="1"/>
          <w:numId w:val="11"/>
        </w:numPr>
        <w:autoSpaceDE w:val="0"/>
        <w:autoSpaceDN w:val="0"/>
        <w:adjustRightInd w:val="0"/>
        <w:spacing w:after="60" w:line="240" w:lineRule="auto"/>
        <w:ind w:right="6" w:hanging="357"/>
        <w:contextualSpacing w:val="0"/>
        <w:jc w:val="both"/>
        <w:rPr>
          <w:rFonts w:cs="Arial"/>
          <w:bCs/>
          <w:color w:val="003768"/>
          <w:sz w:val="20"/>
          <w:szCs w:val="20"/>
          <w:lang w:val="fr-FR"/>
        </w:rPr>
      </w:pPr>
      <w:r w:rsidRPr="00D1510A">
        <w:rPr>
          <w:rFonts w:cs="Arial"/>
          <w:bCs/>
          <w:color w:val="003768"/>
          <w:sz w:val="20"/>
          <w:szCs w:val="20"/>
          <w:lang w:val="fr-FR"/>
        </w:rPr>
        <w:t>Calendrier financier 2014 :</w:t>
      </w:r>
    </w:p>
    <w:p w:rsidR="00EB3BE3" w:rsidRPr="00D1510A" w:rsidRDefault="00EB3BE3" w:rsidP="00D1510A">
      <w:pPr>
        <w:pStyle w:val="ListParagraph"/>
        <w:numPr>
          <w:ilvl w:val="2"/>
          <w:numId w:val="11"/>
        </w:numPr>
        <w:autoSpaceDE w:val="0"/>
        <w:autoSpaceDN w:val="0"/>
        <w:adjustRightInd w:val="0"/>
        <w:spacing w:after="60" w:line="240" w:lineRule="auto"/>
        <w:ind w:right="6" w:hanging="357"/>
        <w:contextualSpacing w:val="0"/>
        <w:jc w:val="both"/>
        <w:rPr>
          <w:rFonts w:cs="Arial"/>
          <w:bCs/>
          <w:color w:val="003768"/>
          <w:sz w:val="20"/>
          <w:szCs w:val="20"/>
          <w:lang w:val="fr-FR"/>
        </w:rPr>
      </w:pPr>
      <w:r w:rsidRPr="00D1510A">
        <w:rPr>
          <w:rFonts w:cs="Arial"/>
          <w:bCs/>
          <w:color w:val="003768"/>
          <w:sz w:val="20"/>
          <w:szCs w:val="20"/>
          <w:lang w:val="fr-FR"/>
        </w:rPr>
        <w:t>31 mars 2014 : Rapport annuel 2013 et Rapport sur les risques 2013</w:t>
      </w:r>
    </w:p>
    <w:p w:rsidR="00EB3BE3" w:rsidRPr="00D1510A" w:rsidRDefault="00EB3BE3" w:rsidP="00D1510A">
      <w:pPr>
        <w:pStyle w:val="ListParagraph"/>
        <w:numPr>
          <w:ilvl w:val="2"/>
          <w:numId w:val="11"/>
        </w:numPr>
        <w:autoSpaceDE w:val="0"/>
        <w:autoSpaceDN w:val="0"/>
        <w:adjustRightInd w:val="0"/>
        <w:spacing w:after="60" w:line="240" w:lineRule="auto"/>
        <w:ind w:right="6" w:hanging="357"/>
        <w:contextualSpacing w:val="0"/>
        <w:jc w:val="both"/>
        <w:rPr>
          <w:rFonts w:cs="Arial"/>
          <w:bCs/>
          <w:color w:val="003768"/>
          <w:sz w:val="20"/>
          <w:szCs w:val="20"/>
          <w:lang w:val="fr-FR"/>
        </w:rPr>
      </w:pPr>
      <w:r w:rsidRPr="00D1510A">
        <w:rPr>
          <w:rFonts w:cs="Arial"/>
          <w:bCs/>
          <w:color w:val="003768"/>
          <w:sz w:val="20"/>
          <w:szCs w:val="20"/>
          <w:lang w:val="fr-FR"/>
        </w:rPr>
        <w:t>30 avril 2014 : Assemblée générale annuelle</w:t>
      </w:r>
    </w:p>
    <w:p w:rsidR="00EB3BE3" w:rsidRPr="00D1510A" w:rsidRDefault="00EB3BE3" w:rsidP="00D1510A">
      <w:pPr>
        <w:pStyle w:val="ListParagraph"/>
        <w:numPr>
          <w:ilvl w:val="2"/>
          <w:numId w:val="11"/>
        </w:numPr>
        <w:autoSpaceDE w:val="0"/>
        <w:autoSpaceDN w:val="0"/>
        <w:adjustRightInd w:val="0"/>
        <w:spacing w:after="60" w:line="240" w:lineRule="auto"/>
        <w:ind w:right="6" w:hanging="357"/>
        <w:contextualSpacing w:val="0"/>
        <w:jc w:val="both"/>
        <w:rPr>
          <w:rFonts w:cs="Arial"/>
          <w:bCs/>
          <w:color w:val="003768"/>
          <w:sz w:val="20"/>
          <w:szCs w:val="20"/>
          <w:lang w:val="fr-FR"/>
        </w:rPr>
      </w:pPr>
      <w:r w:rsidRPr="00D1510A">
        <w:rPr>
          <w:rFonts w:cs="Arial"/>
          <w:bCs/>
          <w:color w:val="003768"/>
          <w:sz w:val="20"/>
          <w:szCs w:val="20"/>
          <w:lang w:val="fr-FR"/>
        </w:rPr>
        <w:t xml:space="preserve">15 mai 2014 : KBC Groupe – Publication des résultats du 1er trimestre  2014 </w:t>
      </w:r>
    </w:p>
    <w:p w:rsidR="00EB3BE3" w:rsidRPr="00D1510A" w:rsidRDefault="00EB3BE3" w:rsidP="00D1510A">
      <w:pPr>
        <w:pStyle w:val="ListParagraph"/>
        <w:numPr>
          <w:ilvl w:val="2"/>
          <w:numId w:val="11"/>
        </w:numPr>
        <w:autoSpaceDE w:val="0"/>
        <w:autoSpaceDN w:val="0"/>
        <w:adjustRightInd w:val="0"/>
        <w:spacing w:after="60" w:line="240" w:lineRule="auto"/>
        <w:ind w:right="6" w:hanging="357"/>
        <w:contextualSpacing w:val="0"/>
        <w:jc w:val="both"/>
        <w:rPr>
          <w:rFonts w:cs="Arial"/>
          <w:bCs/>
          <w:color w:val="003768"/>
          <w:sz w:val="20"/>
          <w:szCs w:val="20"/>
          <w:lang w:val="fr-FR"/>
        </w:rPr>
      </w:pPr>
      <w:r w:rsidRPr="00D1510A">
        <w:rPr>
          <w:rFonts w:cs="Arial"/>
          <w:bCs/>
          <w:color w:val="003768"/>
          <w:sz w:val="20"/>
          <w:szCs w:val="20"/>
          <w:lang w:val="fr-FR"/>
        </w:rPr>
        <w:t>7 août 2014 : KBC Groupe – Publication des résultats du 2e trimestre  2014</w:t>
      </w:r>
    </w:p>
    <w:p w:rsidR="00EB3BE3" w:rsidRPr="00D1510A" w:rsidRDefault="00EB3BE3" w:rsidP="00D1510A">
      <w:pPr>
        <w:pStyle w:val="ListParagraph"/>
        <w:numPr>
          <w:ilvl w:val="2"/>
          <w:numId w:val="11"/>
        </w:numPr>
        <w:autoSpaceDE w:val="0"/>
        <w:autoSpaceDN w:val="0"/>
        <w:adjustRightInd w:val="0"/>
        <w:spacing w:after="60" w:line="240" w:lineRule="auto"/>
        <w:ind w:right="6" w:hanging="357"/>
        <w:contextualSpacing w:val="0"/>
        <w:jc w:val="both"/>
        <w:rPr>
          <w:rFonts w:cs="Arial"/>
          <w:bCs/>
          <w:color w:val="003768"/>
          <w:sz w:val="20"/>
          <w:szCs w:val="20"/>
          <w:lang w:val="fr-FR"/>
        </w:rPr>
      </w:pPr>
      <w:r w:rsidRPr="00D1510A">
        <w:rPr>
          <w:rFonts w:cs="Arial"/>
          <w:bCs/>
          <w:color w:val="003768"/>
          <w:sz w:val="20"/>
          <w:szCs w:val="20"/>
          <w:lang w:val="fr-FR"/>
        </w:rPr>
        <w:t>13 novembre 2014 : KBC Groupe – Publication des résultats du 3e trimestre  2014</w:t>
      </w:r>
    </w:p>
    <w:p w:rsidR="00EB3BE3" w:rsidRPr="00D1510A" w:rsidRDefault="00EB3BE3" w:rsidP="00D1510A">
      <w:pPr>
        <w:pStyle w:val="ListParagraph"/>
        <w:numPr>
          <w:ilvl w:val="2"/>
          <w:numId w:val="11"/>
        </w:numPr>
        <w:autoSpaceDE w:val="0"/>
        <w:autoSpaceDN w:val="0"/>
        <w:adjustRightInd w:val="0"/>
        <w:spacing w:after="60" w:line="240" w:lineRule="auto"/>
        <w:ind w:right="6" w:hanging="357"/>
        <w:contextualSpacing w:val="0"/>
        <w:jc w:val="both"/>
        <w:rPr>
          <w:rFonts w:cs="Arial"/>
          <w:bCs/>
          <w:color w:val="003768"/>
          <w:sz w:val="20"/>
          <w:szCs w:val="20"/>
          <w:lang w:val="fr-FR"/>
        </w:rPr>
      </w:pPr>
      <w:r w:rsidRPr="00D1510A">
        <w:rPr>
          <w:rFonts w:cs="Arial"/>
          <w:bCs/>
          <w:color w:val="003768"/>
          <w:sz w:val="20"/>
          <w:szCs w:val="20"/>
          <w:lang w:val="fr-FR"/>
        </w:rPr>
        <w:t>12 février 2015 : KBC Groupe – Publication des résultats du 4e trimestre  2014</w:t>
      </w:r>
    </w:p>
    <w:p w:rsidR="00E67AD1" w:rsidRDefault="00E67AD1">
      <w:pPr>
        <w:spacing w:after="0" w:line="240" w:lineRule="auto"/>
        <w:rPr>
          <w:rFonts w:ascii="Rockwell" w:hAnsi="Rockwell" w:cs="Arial"/>
          <w:b/>
          <w:bCs/>
          <w:color w:val="003768"/>
          <w:sz w:val="28"/>
          <w:szCs w:val="28"/>
          <w:lang w:val="fr-FR" w:eastAsia="nl-BE"/>
        </w:rPr>
      </w:pPr>
      <w:r>
        <w:rPr>
          <w:rFonts w:ascii="Rockwell" w:hAnsi="Rockwell" w:cs="Arial"/>
          <w:b/>
          <w:bCs/>
          <w:color w:val="003768"/>
          <w:sz w:val="28"/>
          <w:szCs w:val="28"/>
          <w:lang w:val="fr-FR" w:eastAsia="nl-BE"/>
        </w:rPr>
        <w:br w:type="page"/>
      </w:r>
    </w:p>
    <w:p w:rsidR="00D14EBE" w:rsidRDefault="00D14EBE" w:rsidP="0077354C">
      <w:pPr>
        <w:autoSpaceDE w:val="0"/>
        <w:autoSpaceDN w:val="0"/>
        <w:adjustRightInd w:val="0"/>
        <w:spacing w:after="0" w:line="240" w:lineRule="auto"/>
        <w:ind w:left="993" w:right="4"/>
        <w:rPr>
          <w:rFonts w:ascii="Rockwell" w:hAnsi="Rockwell" w:cs="Arial"/>
          <w:b/>
          <w:bCs/>
          <w:color w:val="003768"/>
          <w:sz w:val="28"/>
          <w:szCs w:val="28"/>
          <w:lang w:val="fr-FR" w:eastAsia="nl-BE"/>
        </w:rPr>
      </w:pPr>
    </w:p>
    <w:p w:rsidR="003C1BF8" w:rsidRDefault="0077354C" w:rsidP="003C1BF8">
      <w:pPr>
        <w:autoSpaceDE w:val="0"/>
        <w:autoSpaceDN w:val="0"/>
        <w:adjustRightInd w:val="0"/>
        <w:spacing w:after="120" w:line="240" w:lineRule="auto"/>
        <w:ind w:left="993" w:right="4"/>
        <w:rPr>
          <w:rFonts w:ascii="Rockwell" w:hAnsi="Rockwell" w:cs="Arial"/>
          <w:b/>
          <w:bCs/>
          <w:color w:val="003768"/>
          <w:sz w:val="24"/>
          <w:szCs w:val="24"/>
          <w:lang w:val="fr-FR" w:eastAsia="nl-BE"/>
        </w:rPr>
      </w:pPr>
      <w:r w:rsidRPr="00D57A50">
        <w:rPr>
          <w:rFonts w:ascii="Rockwell" w:hAnsi="Rockwell" w:cs="Arial"/>
          <w:b/>
          <w:bCs/>
          <w:color w:val="003768"/>
          <w:sz w:val="24"/>
          <w:szCs w:val="24"/>
          <w:lang w:val="fr-FR" w:eastAsia="nl-BE"/>
        </w:rPr>
        <w:t>Pour tout complément d’</w:t>
      </w:r>
      <w:r w:rsidR="003C1BF8">
        <w:rPr>
          <w:rFonts w:ascii="Rockwell" w:hAnsi="Rockwell" w:cs="Arial"/>
          <w:b/>
          <w:bCs/>
          <w:color w:val="003768"/>
          <w:sz w:val="24"/>
          <w:szCs w:val="24"/>
          <w:lang w:val="fr-FR" w:eastAsia="nl-BE"/>
        </w:rPr>
        <w:t xml:space="preserve">information, veuillez contacter </w:t>
      </w:r>
      <w:r w:rsidRPr="00D57A50">
        <w:rPr>
          <w:rFonts w:ascii="Rockwell" w:hAnsi="Rockwell" w:cs="Arial"/>
          <w:b/>
          <w:bCs/>
          <w:color w:val="003768"/>
          <w:sz w:val="24"/>
          <w:szCs w:val="24"/>
          <w:lang w:val="fr-FR" w:eastAsia="nl-BE"/>
        </w:rPr>
        <w:t>:</w:t>
      </w:r>
    </w:p>
    <w:p w:rsidR="0077354C" w:rsidRPr="003C1BF8" w:rsidRDefault="0077354C" w:rsidP="003C1BF8">
      <w:pPr>
        <w:autoSpaceDE w:val="0"/>
        <w:autoSpaceDN w:val="0"/>
        <w:adjustRightInd w:val="0"/>
        <w:spacing w:after="0" w:line="240" w:lineRule="auto"/>
        <w:ind w:left="993" w:right="4"/>
        <w:rPr>
          <w:rFonts w:ascii="Rockwell" w:hAnsi="Rockwell" w:cs="Arial"/>
          <w:b/>
          <w:bCs/>
          <w:color w:val="003768"/>
          <w:sz w:val="24"/>
          <w:szCs w:val="24"/>
          <w:lang w:val="fr-FR" w:eastAsia="nl-BE"/>
        </w:rPr>
      </w:pPr>
      <w:r w:rsidRPr="00D57A50">
        <w:rPr>
          <w:color w:val="003768"/>
          <w:sz w:val="24"/>
          <w:szCs w:val="24"/>
          <w:lang w:val="fr-FR" w:eastAsia="nl-BE"/>
        </w:rPr>
        <w:t xml:space="preserve">Wim </w:t>
      </w:r>
      <w:proofErr w:type="spellStart"/>
      <w:r w:rsidRPr="00D57A50">
        <w:rPr>
          <w:color w:val="003768"/>
          <w:sz w:val="24"/>
          <w:szCs w:val="24"/>
          <w:lang w:val="fr-FR" w:eastAsia="nl-BE"/>
        </w:rPr>
        <w:t>Allegaert</w:t>
      </w:r>
      <w:proofErr w:type="spellEnd"/>
      <w:r w:rsidRPr="00D57A50">
        <w:rPr>
          <w:color w:val="003768"/>
          <w:sz w:val="24"/>
          <w:szCs w:val="24"/>
          <w:lang w:val="fr-FR" w:eastAsia="nl-BE"/>
        </w:rPr>
        <w:t xml:space="preserve">, Directeur </w:t>
      </w:r>
      <w:proofErr w:type="spellStart"/>
      <w:r w:rsidRPr="00D57A50">
        <w:rPr>
          <w:color w:val="003768"/>
          <w:sz w:val="24"/>
          <w:szCs w:val="24"/>
          <w:lang w:val="fr-FR" w:eastAsia="nl-BE"/>
        </w:rPr>
        <w:t>Investor</w:t>
      </w:r>
      <w:proofErr w:type="spellEnd"/>
      <w:r w:rsidRPr="00D57A50">
        <w:rPr>
          <w:color w:val="003768"/>
          <w:sz w:val="24"/>
          <w:szCs w:val="24"/>
          <w:lang w:val="fr-FR" w:eastAsia="nl-BE"/>
        </w:rPr>
        <w:t xml:space="preserve"> Relations, KBC Groupe</w:t>
      </w:r>
    </w:p>
    <w:p w:rsidR="00D57A50" w:rsidRPr="00001188" w:rsidRDefault="0077354C" w:rsidP="00D57A50">
      <w:pPr>
        <w:pStyle w:val="NoSpacing"/>
        <w:spacing w:after="120"/>
        <w:ind w:left="993"/>
        <w:rPr>
          <w:sz w:val="24"/>
          <w:szCs w:val="24"/>
          <w:lang w:val="fr-FR"/>
        </w:rPr>
      </w:pPr>
      <w:r w:rsidRPr="00001188">
        <w:rPr>
          <w:color w:val="003768"/>
          <w:sz w:val="24"/>
          <w:szCs w:val="24"/>
          <w:lang w:val="fr-FR"/>
        </w:rPr>
        <w:t>Tel +32 2 429 50 51  - E-mail :</w:t>
      </w:r>
      <w:r w:rsidRPr="00001188">
        <w:rPr>
          <w:sz w:val="24"/>
          <w:szCs w:val="24"/>
          <w:lang w:val="fr-FR"/>
        </w:rPr>
        <w:t xml:space="preserve"> </w:t>
      </w:r>
      <w:hyperlink r:id="rId18" w:history="1">
        <w:r w:rsidRPr="00001188">
          <w:rPr>
            <w:rStyle w:val="Hyperlink"/>
            <w:rFonts w:cs="Arial"/>
            <w:color w:val="00AEEF"/>
            <w:sz w:val="24"/>
            <w:szCs w:val="24"/>
            <w:lang w:val="fr-FR"/>
          </w:rPr>
          <w:t>wim.allegaert@kbc.be</w:t>
        </w:r>
      </w:hyperlink>
    </w:p>
    <w:p w:rsidR="0077354C" w:rsidRPr="00D57A50" w:rsidRDefault="0077354C" w:rsidP="00D57A50">
      <w:pPr>
        <w:pStyle w:val="NoSpacing"/>
        <w:ind w:left="993"/>
        <w:rPr>
          <w:color w:val="00AEEF"/>
          <w:sz w:val="24"/>
          <w:szCs w:val="24"/>
          <w:lang w:val="fr-FR"/>
        </w:rPr>
      </w:pPr>
      <w:r w:rsidRPr="00D57A50">
        <w:rPr>
          <w:rFonts w:cs="Arial"/>
          <w:color w:val="003768"/>
          <w:sz w:val="24"/>
          <w:szCs w:val="24"/>
          <w:lang w:val="fr-FR" w:eastAsia="nl-BE"/>
        </w:rPr>
        <w:t xml:space="preserve">Viviane </w:t>
      </w:r>
      <w:proofErr w:type="spellStart"/>
      <w:r w:rsidRPr="00D57A50">
        <w:rPr>
          <w:rFonts w:cs="Arial"/>
          <w:color w:val="003768"/>
          <w:sz w:val="24"/>
          <w:szCs w:val="24"/>
          <w:lang w:val="fr-FR" w:eastAsia="nl-BE"/>
        </w:rPr>
        <w:t>Huybrecht</w:t>
      </w:r>
      <w:proofErr w:type="spellEnd"/>
      <w:r w:rsidRPr="00D57A50">
        <w:rPr>
          <w:rFonts w:cs="Arial"/>
          <w:color w:val="003768"/>
          <w:sz w:val="24"/>
          <w:szCs w:val="24"/>
          <w:lang w:val="fr-FR" w:eastAsia="nl-BE"/>
        </w:rPr>
        <w:t xml:space="preserve">, Directeur Communication </w:t>
      </w:r>
      <w:proofErr w:type="spellStart"/>
      <w:r w:rsidRPr="00D57A50">
        <w:rPr>
          <w:rFonts w:cs="Arial"/>
          <w:color w:val="003768"/>
          <w:sz w:val="24"/>
          <w:szCs w:val="24"/>
          <w:lang w:val="fr-FR" w:eastAsia="nl-BE"/>
        </w:rPr>
        <w:t>Corporate</w:t>
      </w:r>
      <w:proofErr w:type="spellEnd"/>
      <w:r w:rsidRPr="00D57A50">
        <w:rPr>
          <w:rFonts w:cs="Arial"/>
          <w:color w:val="003768"/>
          <w:sz w:val="24"/>
          <w:szCs w:val="24"/>
          <w:lang w:val="fr-FR" w:eastAsia="nl-BE"/>
        </w:rPr>
        <w:t xml:space="preserve"> / Porte-parole KBC Groupe</w:t>
      </w:r>
    </w:p>
    <w:p w:rsidR="0077354C" w:rsidRPr="00D57A50" w:rsidRDefault="0077354C" w:rsidP="00D57A50">
      <w:pPr>
        <w:autoSpaceDE w:val="0"/>
        <w:autoSpaceDN w:val="0"/>
        <w:adjustRightInd w:val="0"/>
        <w:spacing w:after="0" w:line="240" w:lineRule="auto"/>
        <w:ind w:left="993" w:right="4"/>
        <w:rPr>
          <w:rFonts w:cs="Arial"/>
          <w:sz w:val="24"/>
          <w:szCs w:val="24"/>
          <w:lang w:val="de-DE"/>
        </w:rPr>
      </w:pPr>
      <w:r w:rsidRPr="00D57A50">
        <w:rPr>
          <w:rFonts w:cs="Arial"/>
          <w:color w:val="003768"/>
          <w:sz w:val="24"/>
          <w:szCs w:val="24"/>
          <w:lang w:val="de-DE"/>
        </w:rPr>
        <w:t xml:space="preserve">Tel +32 2 429 85 45  - </w:t>
      </w:r>
      <w:proofErr w:type="spellStart"/>
      <w:r w:rsidRPr="00D57A50">
        <w:rPr>
          <w:rFonts w:cs="Arial"/>
          <w:color w:val="003768"/>
          <w:sz w:val="24"/>
          <w:szCs w:val="24"/>
          <w:lang w:val="de-DE"/>
        </w:rPr>
        <w:t>E-mail</w:t>
      </w:r>
      <w:proofErr w:type="spellEnd"/>
      <w:r w:rsidRPr="00D57A50">
        <w:rPr>
          <w:rFonts w:cs="Arial"/>
          <w:color w:val="003768"/>
          <w:sz w:val="24"/>
          <w:szCs w:val="24"/>
          <w:lang w:val="de-DE"/>
        </w:rPr>
        <w:t xml:space="preserve"> :</w:t>
      </w:r>
      <w:r w:rsidRPr="00D57A50">
        <w:rPr>
          <w:rFonts w:cs="Arial"/>
          <w:sz w:val="24"/>
          <w:szCs w:val="24"/>
          <w:lang w:val="de-DE"/>
        </w:rPr>
        <w:t xml:space="preserve"> </w:t>
      </w:r>
      <w:hyperlink r:id="rId19" w:history="1">
        <w:r w:rsidRPr="00D57A50">
          <w:rPr>
            <w:rStyle w:val="Hyperlink"/>
            <w:rFonts w:cs="Arial"/>
            <w:color w:val="00AEEF"/>
            <w:sz w:val="24"/>
            <w:szCs w:val="24"/>
            <w:lang w:val="de-DE"/>
          </w:rPr>
          <w:t>pressofficekbc@kbc.be</w:t>
        </w:r>
      </w:hyperlink>
    </w:p>
    <w:p w:rsidR="0077354C" w:rsidRPr="00017FD1" w:rsidRDefault="0077354C" w:rsidP="0077354C">
      <w:pPr>
        <w:autoSpaceDE w:val="0"/>
        <w:autoSpaceDN w:val="0"/>
        <w:adjustRightInd w:val="0"/>
        <w:spacing w:after="0" w:line="240" w:lineRule="auto"/>
        <w:ind w:left="993" w:right="4"/>
        <w:rPr>
          <w:rFonts w:cs="Arial"/>
          <w:lang w:val="de-DE"/>
        </w:rPr>
      </w:pPr>
    </w:p>
    <w:p w:rsidR="0077354C" w:rsidRPr="00017FD1" w:rsidRDefault="0077354C" w:rsidP="0077354C">
      <w:pPr>
        <w:autoSpaceDE w:val="0"/>
        <w:autoSpaceDN w:val="0"/>
        <w:adjustRightInd w:val="0"/>
        <w:spacing w:after="0" w:line="240" w:lineRule="auto"/>
        <w:ind w:left="993" w:right="4"/>
        <w:rPr>
          <w:rFonts w:cs="Arial"/>
          <w:lang w:val="de-DE"/>
        </w:rPr>
      </w:pPr>
    </w:p>
    <w:p w:rsidR="00574F3C" w:rsidRPr="0077354C" w:rsidRDefault="008D3EBD" w:rsidP="0077354C">
      <w:pPr>
        <w:pStyle w:val="NoSpacing"/>
        <w:ind w:left="993"/>
        <w:rPr>
          <w:lang w:val="de-DE"/>
        </w:rPr>
      </w:pPr>
      <w:r>
        <w:rPr>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652145</wp:posOffset>
                </wp:positionH>
                <wp:positionV relativeFrom="paragraph">
                  <wp:posOffset>111760</wp:posOffset>
                </wp:positionV>
                <wp:extent cx="6134735" cy="219710"/>
                <wp:effectExtent l="4445" t="0" r="4445" b="19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73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791719" w:rsidRPr="006917E1" w:rsidRDefault="00791719" w:rsidP="006917E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51.35pt;margin-top:8.8pt;width:483.05pt;height:1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" filled="f" stroked="f" strokeweight=".25pt">
                <v:textbox inset="0,0,0,0">
                  <w:txbxContent>
                    <w:p w:rsidR="00791719" w:rsidRPr="006917E1" w:rsidRDefault="00791719" w:rsidP="006917E1"/>
                  </w:txbxContent>
                </v:textbox>
              </v:shape>
            </w:pict>
          </mc:Fallback>
        </mc:AlternateContent>
      </w:r>
    </w:p>
    <w:tbl>
      <w:tblPr>
        <w:tblW w:w="9780" w:type="dxa"/>
        <w:tblInd w:w="1008" w:type="dxa"/>
        <w:tblBorders>
          <w:top w:val="single" w:sz="2" w:space="0" w:color="00B0F0"/>
          <w:bottom w:val="single" w:sz="2" w:space="0" w:color="00B0F0"/>
          <w:insideH w:val="single" w:sz="2" w:space="0" w:color="00B0F0"/>
        </w:tblBorders>
        <w:tblCellMar>
          <w:left w:w="0" w:type="dxa"/>
          <w:right w:w="0" w:type="dxa"/>
        </w:tblCellMar>
        <w:tblLook w:val="04A0" w:firstRow="1" w:lastRow="0" w:firstColumn="1" w:lastColumn="0" w:noHBand="0" w:noVBand="1"/>
      </w:tblPr>
      <w:tblGrid>
        <w:gridCol w:w="3400"/>
        <w:gridCol w:w="3400"/>
        <w:gridCol w:w="2980"/>
      </w:tblGrid>
      <w:tr w:rsidR="00CE168D" w:rsidRPr="00CF64D1" w:rsidTr="00020337">
        <w:trPr>
          <w:trHeight w:val="356"/>
        </w:trPr>
        <w:tc>
          <w:tcPr>
            <w:tcW w:w="9780" w:type="dxa"/>
            <w:gridSpan w:val="3"/>
            <w:shd w:val="clear" w:color="auto" w:fill="FFFFFF"/>
            <w:tcMar>
              <w:top w:w="15" w:type="dxa"/>
              <w:left w:w="15" w:type="dxa"/>
              <w:bottom w:w="0" w:type="dxa"/>
              <w:right w:w="15" w:type="dxa"/>
            </w:tcMar>
            <w:vAlign w:val="center"/>
            <w:hideMark/>
          </w:tcPr>
          <w:p w:rsidR="00CE168D" w:rsidRPr="00EF1A60" w:rsidRDefault="00EF1A60" w:rsidP="00EF1A60">
            <w:pPr>
              <w:autoSpaceDE w:val="0"/>
              <w:autoSpaceDN w:val="0"/>
              <w:adjustRightInd w:val="0"/>
              <w:spacing w:after="0" w:line="240" w:lineRule="auto"/>
              <w:rPr>
                <w:b/>
                <w:bCs/>
                <w:color w:val="003768"/>
                <w:sz w:val="18"/>
                <w:szCs w:val="18"/>
                <w:lang w:val="fr-FR"/>
              </w:rPr>
            </w:pPr>
            <w:r w:rsidRPr="00EF1A60">
              <w:rPr>
                <w:rFonts w:ascii="Rockwell" w:hAnsi="Rockwell" w:cs="Rockwell"/>
                <w:color w:val="003768"/>
                <w:sz w:val="18"/>
                <w:szCs w:val="18"/>
                <w:lang w:val="fr-FR" w:eastAsia="nl-BE"/>
              </w:rPr>
              <w:t>* Ce communiqué contient des informations soumises à la réglementation sur la transparence des entreprises cotées en Bourse.</w:t>
            </w:r>
          </w:p>
        </w:tc>
      </w:tr>
      <w:tr w:rsidR="00CE168D" w:rsidRPr="00CF64D1" w:rsidTr="00020337">
        <w:trPr>
          <w:trHeight w:val="913"/>
        </w:trPr>
        <w:tc>
          <w:tcPr>
            <w:tcW w:w="3400" w:type="dxa"/>
            <w:shd w:val="clear" w:color="auto" w:fill="FFFFFF"/>
            <w:tcMar>
              <w:top w:w="15" w:type="dxa"/>
              <w:left w:w="15" w:type="dxa"/>
              <w:bottom w:w="0" w:type="dxa"/>
              <w:right w:w="15" w:type="dxa"/>
            </w:tcMar>
            <w:hideMark/>
          </w:tcPr>
          <w:p w:rsidR="00CE168D" w:rsidRPr="00EF1A60" w:rsidRDefault="00CE168D" w:rsidP="0064576A">
            <w:pPr>
              <w:pStyle w:val="Footer"/>
              <w:tabs>
                <w:tab w:val="bar" w:pos="-2709"/>
              </w:tabs>
              <w:rPr>
                <w:bCs/>
                <w:color w:val="00B0F0"/>
                <w:sz w:val="4"/>
                <w:szCs w:val="4"/>
                <w:lang w:val="fr-FR"/>
              </w:rPr>
            </w:pPr>
          </w:p>
          <w:p w:rsidR="00CE168D" w:rsidRPr="00D01FB0" w:rsidRDefault="00D57A50" w:rsidP="0064576A">
            <w:pPr>
              <w:pStyle w:val="Footer"/>
              <w:tabs>
                <w:tab w:val="bar" w:pos="-2709"/>
              </w:tabs>
              <w:rPr>
                <w:rFonts w:ascii="Rockwell" w:hAnsi="Rockwell"/>
                <w:color w:val="00B0F0"/>
                <w:sz w:val="18"/>
                <w:szCs w:val="18"/>
                <w:lang w:val="fr-FR"/>
              </w:rPr>
            </w:pPr>
            <w:r>
              <w:rPr>
                <w:rFonts w:ascii="Rockwell" w:hAnsi="Rockwell"/>
                <w:b/>
                <w:bCs/>
                <w:color w:val="00B0F0"/>
                <w:sz w:val="18"/>
                <w:szCs w:val="18"/>
                <w:lang w:val="fr-FR"/>
              </w:rPr>
              <w:t>KBC Grou</w:t>
            </w:r>
            <w:r w:rsidR="00CE168D" w:rsidRPr="00D01FB0">
              <w:rPr>
                <w:rFonts w:ascii="Rockwell" w:hAnsi="Rockwell"/>
                <w:b/>
                <w:bCs/>
                <w:color w:val="00B0F0"/>
                <w:sz w:val="18"/>
                <w:szCs w:val="18"/>
                <w:lang w:val="fr-FR"/>
              </w:rPr>
              <w:t>p</w:t>
            </w:r>
            <w:r>
              <w:rPr>
                <w:rFonts w:ascii="Rockwell" w:hAnsi="Rockwell"/>
                <w:b/>
                <w:bCs/>
                <w:color w:val="00B0F0"/>
                <w:sz w:val="18"/>
                <w:szCs w:val="18"/>
                <w:lang w:val="fr-FR"/>
              </w:rPr>
              <w:t>e</w:t>
            </w:r>
            <w:r w:rsidR="00CE168D" w:rsidRPr="00D01FB0">
              <w:rPr>
                <w:rFonts w:ascii="Rockwell" w:hAnsi="Rockwell"/>
                <w:b/>
                <w:bCs/>
                <w:color w:val="00B0F0"/>
                <w:sz w:val="18"/>
                <w:szCs w:val="18"/>
                <w:lang w:val="fr-FR"/>
              </w:rPr>
              <w:t xml:space="preserve"> </w:t>
            </w:r>
            <w:r>
              <w:rPr>
                <w:rFonts w:ascii="Rockwell" w:hAnsi="Rockwell"/>
                <w:b/>
                <w:bCs/>
                <w:color w:val="00B0F0"/>
                <w:sz w:val="18"/>
                <w:szCs w:val="18"/>
                <w:lang w:val="fr-FR"/>
              </w:rPr>
              <w:t>SA</w:t>
            </w:r>
          </w:p>
          <w:p w:rsidR="00CE168D" w:rsidRPr="001E36E6" w:rsidRDefault="00A9543A" w:rsidP="0064576A">
            <w:pPr>
              <w:pStyle w:val="Footer"/>
              <w:tabs>
                <w:tab w:val="bar" w:pos="-2709"/>
              </w:tabs>
              <w:rPr>
                <w:color w:val="002060"/>
                <w:sz w:val="14"/>
                <w:szCs w:val="14"/>
                <w:lang w:val="fr-FR"/>
              </w:rPr>
            </w:pPr>
            <w:r w:rsidRPr="001E36E6">
              <w:rPr>
                <w:rFonts w:cs="Arial"/>
                <w:b/>
                <w:bCs/>
                <w:color w:val="003768"/>
                <w:sz w:val="14"/>
                <w:szCs w:val="14"/>
                <w:lang w:val="fr-FR" w:eastAsia="nl-BE"/>
              </w:rPr>
              <w:t>Av. Du Port 2</w:t>
            </w:r>
            <w:r w:rsidRPr="001E36E6">
              <w:rPr>
                <w:b/>
                <w:bCs/>
                <w:color w:val="002060"/>
                <w:sz w:val="14"/>
                <w:szCs w:val="14"/>
                <w:lang w:val="fr-FR"/>
              </w:rPr>
              <w:t xml:space="preserve"> </w:t>
            </w:r>
            <w:r w:rsidR="00340775" w:rsidRPr="001E36E6">
              <w:rPr>
                <w:b/>
                <w:bCs/>
                <w:color w:val="002060"/>
                <w:sz w:val="14"/>
                <w:szCs w:val="14"/>
                <w:lang w:val="fr-FR"/>
              </w:rPr>
              <w:t>– 1080 Brux</w:t>
            </w:r>
            <w:r w:rsidR="00CE168D" w:rsidRPr="001E36E6">
              <w:rPr>
                <w:b/>
                <w:bCs/>
                <w:color w:val="002060"/>
                <w:sz w:val="14"/>
                <w:szCs w:val="14"/>
                <w:lang w:val="fr-FR"/>
              </w:rPr>
              <w:t>el</w:t>
            </w:r>
            <w:r w:rsidR="00340775" w:rsidRPr="001E36E6">
              <w:rPr>
                <w:b/>
                <w:bCs/>
                <w:color w:val="002060"/>
                <w:sz w:val="14"/>
                <w:szCs w:val="14"/>
                <w:lang w:val="fr-FR"/>
              </w:rPr>
              <w:t>le</w:t>
            </w:r>
            <w:r w:rsidR="00CE168D" w:rsidRPr="001E36E6">
              <w:rPr>
                <w:b/>
                <w:bCs/>
                <w:color w:val="002060"/>
                <w:sz w:val="14"/>
                <w:szCs w:val="14"/>
                <w:lang w:val="fr-FR"/>
              </w:rPr>
              <w:t>s</w:t>
            </w:r>
          </w:p>
          <w:p w:rsidR="00CE168D" w:rsidRPr="001E36E6" w:rsidRDefault="00CE168D" w:rsidP="0064576A">
            <w:pPr>
              <w:pStyle w:val="Footer"/>
              <w:tabs>
                <w:tab w:val="bar" w:pos="-2709"/>
              </w:tabs>
              <w:rPr>
                <w:color w:val="002060"/>
                <w:sz w:val="14"/>
                <w:szCs w:val="14"/>
                <w:lang w:val="fr-FR"/>
              </w:rPr>
            </w:pPr>
            <w:r w:rsidRPr="001E36E6">
              <w:rPr>
                <w:b/>
                <w:bCs/>
                <w:color w:val="002060"/>
                <w:sz w:val="14"/>
                <w:szCs w:val="14"/>
                <w:lang w:val="fr-FR"/>
              </w:rPr>
              <w:t xml:space="preserve">Viviane </w:t>
            </w:r>
            <w:proofErr w:type="spellStart"/>
            <w:r w:rsidRPr="001E36E6">
              <w:rPr>
                <w:b/>
                <w:bCs/>
                <w:color w:val="002060"/>
                <w:sz w:val="14"/>
                <w:szCs w:val="14"/>
                <w:lang w:val="fr-FR"/>
              </w:rPr>
              <w:t>Huybrecht</w:t>
            </w:r>
            <w:proofErr w:type="spellEnd"/>
          </w:p>
          <w:p w:rsidR="00EF1A60" w:rsidRPr="00340775" w:rsidRDefault="00340775" w:rsidP="00EF1A60">
            <w:pPr>
              <w:autoSpaceDE w:val="0"/>
              <w:autoSpaceDN w:val="0"/>
              <w:adjustRightInd w:val="0"/>
              <w:spacing w:after="0" w:line="240" w:lineRule="auto"/>
              <w:rPr>
                <w:rFonts w:cs="Arial"/>
                <w:b/>
                <w:color w:val="003768"/>
                <w:sz w:val="14"/>
                <w:szCs w:val="14"/>
                <w:lang w:val="fr-FR" w:eastAsia="nl-BE"/>
              </w:rPr>
            </w:pPr>
            <w:r>
              <w:rPr>
                <w:rFonts w:cs="Arial"/>
                <w:b/>
                <w:color w:val="003768"/>
                <w:sz w:val="14"/>
                <w:szCs w:val="14"/>
                <w:lang w:val="fr-FR" w:eastAsia="nl-BE"/>
              </w:rPr>
              <w:t>D</w:t>
            </w:r>
            <w:r w:rsidR="00EF1A60" w:rsidRPr="00340775">
              <w:rPr>
                <w:rFonts w:cs="Arial"/>
                <w:b/>
                <w:color w:val="003768"/>
                <w:sz w:val="14"/>
                <w:szCs w:val="14"/>
                <w:lang w:val="fr-FR" w:eastAsia="nl-BE"/>
              </w:rPr>
              <w:t>irecteur</w:t>
            </w:r>
          </w:p>
          <w:p w:rsidR="00EF1A60" w:rsidRPr="00340775" w:rsidRDefault="00D57A50" w:rsidP="00EF1A60">
            <w:pPr>
              <w:autoSpaceDE w:val="0"/>
              <w:autoSpaceDN w:val="0"/>
              <w:adjustRightInd w:val="0"/>
              <w:spacing w:after="0" w:line="240" w:lineRule="auto"/>
              <w:rPr>
                <w:rFonts w:cs="Arial"/>
                <w:b/>
                <w:color w:val="003768"/>
                <w:sz w:val="14"/>
                <w:szCs w:val="14"/>
                <w:lang w:val="fr-FR" w:eastAsia="nl-BE"/>
              </w:rPr>
            </w:pPr>
            <w:r>
              <w:rPr>
                <w:rFonts w:cs="Arial"/>
                <w:b/>
                <w:color w:val="003768"/>
                <w:sz w:val="14"/>
                <w:szCs w:val="14"/>
                <w:lang w:val="fr-FR" w:eastAsia="nl-BE"/>
              </w:rPr>
              <w:t xml:space="preserve">Communication </w:t>
            </w:r>
            <w:proofErr w:type="spellStart"/>
            <w:r>
              <w:rPr>
                <w:rFonts w:cs="Arial"/>
                <w:b/>
                <w:color w:val="003768"/>
                <w:sz w:val="14"/>
                <w:szCs w:val="14"/>
                <w:lang w:val="fr-FR" w:eastAsia="nl-BE"/>
              </w:rPr>
              <w:t>Corporate</w:t>
            </w:r>
            <w:proofErr w:type="spellEnd"/>
            <w:r w:rsidR="00C608CE">
              <w:rPr>
                <w:rFonts w:cs="Arial"/>
                <w:b/>
                <w:color w:val="003768"/>
                <w:sz w:val="14"/>
                <w:szCs w:val="14"/>
                <w:lang w:val="fr-FR" w:eastAsia="nl-BE"/>
              </w:rPr>
              <w:t>/</w:t>
            </w:r>
            <w:r w:rsidR="00EF1A60" w:rsidRPr="00340775">
              <w:rPr>
                <w:rFonts w:cs="Arial"/>
                <w:b/>
                <w:color w:val="003768"/>
                <w:sz w:val="14"/>
                <w:szCs w:val="14"/>
                <w:lang w:val="fr-FR" w:eastAsia="nl-BE"/>
              </w:rPr>
              <w:t xml:space="preserve"> </w:t>
            </w:r>
          </w:p>
          <w:p w:rsidR="00340775" w:rsidRPr="00340775" w:rsidRDefault="00EF1A60" w:rsidP="00EF1A60">
            <w:pPr>
              <w:pStyle w:val="Footer"/>
              <w:tabs>
                <w:tab w:val="bar" w:pos="-2709"/>
              </w:tabs>
              <w:rPr>
                <w:rFonts w:cs="Arial"/>
                <w:b/>
                <w:color w:val="003768"/>
                <w:sz w:val="14"/>
                <w:szCs w:val="14"/>
                <w:lang w:val="fr-FR" w:eastAsia="nl-BE"/>
              </w:rPr>
            </w:pPr>
            <w:r w:rsidRPr="00340775">
              <w:rPr>
                <w:rFonts w:cs="Arial"/>
                <w:b/>
                <w:color w:val="003768"/>
                <w:sz w:val="14"/>
                <w:szCs w:val="14"/>
                <w:lang w:val="fr-FR" w:eastAsia="nl-BE"/>
              </w:rPr>
              <w:t>Porte-parole</w:t>
            </w:r>
          </w:p>
          <w:p w:rsidR="00CE168D" w:rsidRPr="00D01FB0" w:rsidRDefault="00CE168D" w:rsidP="00EF1A60">
            <w:pPr>
              <w:pStyle w:val="Footer"/>
              <w:tabs>
                <w:tab w:val="bar" w:pos="-2709"/>
              </w:tabs>
              <w:rPr>
                <w:b/>
                <w:bCs/>
                <w:color w:val="002060"/>
                <w:sz w:val="14"/>
                <w:szCs w:val="14"/>
                <w:lang w:val="fr-FR"/>
              </w:rPr>
            </w:pPr>
            <w:r w:rsidRPr="00D01FB0">
              <w:rPr>
                <w:b/>
                <w:bCs/>
                <w:color w:val="002060"/>
                <w:sz w:val="14"/>
                <w:szCs w:val="14"/>
                <w:lang w:val="fr-FR"/>
              </w:rPr>
              <w:t>Tel. +32 2 429 85 45</w:t>
            </w:r>
          </w:p>
          <w:p w:rsidR="00CE168D" w:rsidRPr="00D01FB0" w:rsidRDefault="00CE168D" w:rsidP="0064576A">
            <w:pPr>
              <w:pStyle w:val="Footer"/>
              <w:tabs>
                <w:tab w:val="bar" w:pos="-2709"/>
              </w:tabs>
              <w:rPr>
                <w:b/>
                <w:bCs/>
                <w:color w:val="002060"/>
                <w:sz w:val="4"/>
                <w:szCs w:val="4"/>
                <w:lang w:val="fr-FR"/>
              </w:rPr>
            </w:pPr>
          </w:p>
        </w:tc>
        <w:tc>
          <w:tcPr>
            <w:tcW w:w="3400" w:type="dxa"/>
            <w:shd w:val="clear" w:color="auto" w:fill="FFFFFF"/>
            <w:tcMar>
              <w:top w:w="15" w:type="dxa"/>
              <w:left w:w="15" w:type="dxa"/>
              <w:bottom w:w="0" w:type="dxa"/>
              <w:right w:w="15" w:type="dxa"/>
            </w:tcMar>
            <w:hideMark/>
          </w:tcPr>
          <w:p w:rsidR="00CE168D" w:rsidRPr="00D01FB0" w:rsidRDefault="00CE168D" w:rsidP="0064576A">
            <w:pPr>
              <w:pStyle w:val="Footer"/>
              <w:tabs>
                <w:tab w:val="bar" w:pos="-2709"/>
              </w:tabs>
              <w:rPr>
                <w:b/>
                <w:bCs/>
                <w:color w:val="002060"/>
                <w:sz w:val="4"/>
                <w:szCs w:val="4"/>
                <w:lang w:val="fr-FR"/>
              </w:rPr>
            </w:pPr>
          </w:p>
          <w:p w:rsidR="00CE168D" w:rsidRPr="00D01FB0" w:rsidRDefault="00CE168D" w:rsidP="0064576A">
            <w:pPr>
              <w:pStyle w:val="Footer"/>
              <w:tabs>
                <w:tab w:val="bar" w:pos="-2709"/>
              </w:tabs>
              <w:rPr>
                <w:rFonts w:ascii="Rockwell" w:hAnsi="Rockwell"/>
                <w:b/>
                <w:bCs/>
                <w:color w:val="002060"/>
                <w:sz w:val="18"/>
                <w:szCs w:val="18"/>
                <w:lang w:val="fr-FR"/>
              </w:rPr>
            </w:pPr>
          </w:p>
          <w:p w:rsidR="00A9543A" w:rsidRPr="00D01FB0" w:rsidRDefault="00A9543A" w:rsidP="0064576A">
            <w:pPr>
              <w:pStyle w:val="Footer"/>
              <w:tabs>
                <w:tab w:val="bar" w:pos="-2709"/>
              </w:tabs>
              <w:rPr>
                <w:rFonts w:cs="Arial"/>
                <w:b/>
                <w:color w:val="003768"/>
                <w:sz w:val="14"/>
                <w:szCs w:val="14"/>
                <w:lang w:val="fr-FR" w:eastAsia="nl-BE"/>
              </w:rPr>
            </w:pPr>
            <w:r w:rsidRPr="00D01FB0">
              <w:rPr>
                <w:rFonts w:cs="Arial"/>
                <w:b/>
                <w:color w:val="003768"/>
                <w:sz w:val="14"/>
                <w:szCs w:val="14"/>
                <w:lang w:val="fr-FR" w:eastAsia="nl-BE"/>
              </w:rPr>
              <w:t>Service Presse</w:t>
            </w:r>
          </w:p>
          <w:p w:rsidR="00CE168D" w:rsidRPr="00D01FB0" w:rsidRDefault="00CE168D" w:rsidP="0064576A">
            <w:pPr>
              <w:pStyle w:val="Footer"/>
              <w:tabs>
                <w:tab w:val="bar" w:pos="-2709"/>
              </w:tabs>
              <w:rPr>
                <w:color w:val="002060"/>
                <w:sz w:val="14"/>
                <w:szCs w:val="14"/>
                <w:lang w:val="fr-FR"/>
              </w:rPr>
            </w:pPr>
            <w:r w:rsidRPr="00D01FB0">
              <w:rPr>
                <w:b/>
                <w:bCs/>
                <w:color w:val="002060"/>
                <w:sz w:val="14"/>
                <w:szCs w:val="14"/>
                <w:lang w:val="fr-FR"/>
              </w:rPr>
              <w:t>Tel. +32 2 429 65 01</w:t>
            </w:r>
          </w:p>
          <w:p w:rsidR="00191CF8" w:rsidRPr="00C608CE" w:rsidRDefault="00191CF8" w:rsidP="0064576A">
            <w:pPr>
              <w:pStyle w:val="Footer"/>
              <w:tabs>
                <w:tab w:val="bar" w:pos="-2709"/>
              </w:tabs>
              <w:rPr>
                <w:b/>
                <w:bCs/>
                <w:color w:val="002060"/>
                <w:sz w:val="14"/>
                <w:szCs w:val="14"/>
                <w:lang w:val="fr-FR"/>
              </w:rPr>
            </w:pPr>
            <w:r w:rsidRPr="00C608CE">
              <w:rPr>
                <w:b/>
                <w:bCs/>
                <w:color w:val="002060"/>
                <w:sz w:val="14"/>
                <w:szCs w:val="14"/>
                <w:lang w:val="fr-FR"/>
              </w:rPr>
              <w:t>Tel. +32 2 429 29 15</w:t>
            </w:r>
          </w:p>
          <w:p w:rsidR="00CE168D" w:rsidRPr="00C608CE" w:rsidRDefault="00CE168D" w:rsidP="0064576A">
            <w:pPr>
              <w:pStyle w:val="Footer"/>
              <w:tabs>
                <w:tab w:val="bar" w:pos="-2709"/>
              </w:tabs>
              <w:rPr>
                <w:color w:val="002060"/>
                <w:sz w:val="14"/>
                <w:szCs w:val="14"/>
                <w:lang w:val="fr-FR"/>
              </w:rPr>
            </w:pPr>
            <w:r w:rsidRPr="00D01FB0">
              <w:rPr>
                <w:b/>
                <w:bCs/>
                <w:color w:val="002060"/>
                <w:sz w:val="14"/>
                <w:szCs w:val="14"/>
                <w:lang w:val="fr-FR"/>
              </w:rPr>
              <w:t>Fax +32 2 429 81 60</w:t>
            </w:r>
          </w:p>
          <w:p w:rsidR="00CE168D" w:rsidRPr="00C608CE" w:rsidRDefault="001E36E6" w:rsidP="0064576A">
            <w:pPr>
              <w:pStyle w:val="Footer"/>
              <w:tabs>
                <w:tab w:val="bar" w:pos="-2709"/>
              </w:tabs>
              <w:rPr>
                <w:lang w:val="fr-FR"/>
              </w:rPr>
            </w:pPr>
            <w:r w:rsidRPr="00C608CE">
              <w:rPr>
                <w:b/>
                <w:bCs/>
                <w:color w:val="002060"/>
                <w:sz w:val="14"/>
                <w:szCs w:val="14"/>
                <w:lang w:val="fr-FR"/>
              </w:rPr>
              <w:t xml:space="preserve">E-Mail </w:t>
            </w:r>
            <w:r w:rsidR="00CE168D" w:rsidRPr="00C608CE">
              <w:rPr>
                <w:b/>
                <w:bCs/>
                <w:color w:val="002060"/>
                <w:sz w:val="14"/>
                <w:szCs w:val="14"/>
                <w:lang w:val="fr-FR"/>
              </w:rPr>
              <w:t xml:space="preserve">: </w:t>
            </w:r>
            <w:hyperlink r:id="rId20" w:history="1">
              <w:r w:rsidR="00C879D4" w:rsidRPr="00C608CE">
                <w:rPr>
                  <w:rStyle w:val="Hyperlink"/>
                  <w:b/>
                  <w:bCs/>
                  <w:color w:val="00AEEF"/>
                  <w:sz w:val="14"/>
                  <w:szCs w:val="14"/>
                  <w:lang w:val="fr-FR"/>
                </w:rPr>
                <w:t>pressofficekbc@kbc.be</w:t>
              </w:r>
            </w:hyperlink>
          </w:p>
        </w:tc>
        <w:tc>
          <w:tcPr>
            <w:tcW w:w="2980" w:type="dxa"/>
            <w:shd w:val="clear" w:color="auto" w:fill="FFFFFF"/>
            <w:tcMar>
              <w:top w:w="15" w:type="dxa"/>
              <w:left w:w="15" w:type="dxa"/>
              <w:bottom w:w="0" w:type="dxa"/>
              <w:right w:w="15" w:type="dxa"/>
            </w:tcMar>
            <w:hideMark/>
          </w:tcPr>
          <w:p w:rsidR="00CE168D" w:rsidRPr="00C608CE" w:rsidRDefault="00CE168D" w:rsidP="0064576A">
            <w:pPr>
              <w:pStyle w:val="Footer"/>
              <w:tabs>
                <w:tab w:val="bar" w:pos="-2709"/>
              </w:tabs>
              <w:rPr>
                <w:b/>
                <w:bCs/>
                <w:color w:val="002060"/>
                <w:sz w:val="4"/>
                <w:szCs w:val="4"/>
                <w:lang w:val="fr-FR"/>
              </w:rPr>
            </w:pPr>
          </w:p>
          <w:p w:rsidR="00CE168D" w:rsidRPr="00C608CE" w:rsidRDefault="00CE168D" w:rsidP="0064576A">
            <w:pPr>
              <w:pStyle w:val="Footer"/>
              <w:tabs>
                <w:tab w:val="bar" w:pos="-2709"/>
              </w:tabs>
              <w:rPr>
                <w:b/>
                <w:bCs/>
                <w:color w:val="002060"/>
                <w:sz w:val="18"/>
                <w:szCs w:val="18"/>
                <w:lang w:val="fr-FR"/>
              </w:rPr>
            </w:pPr>
          </w:p>
          <w:p w:rsidR="00A9543A" w:rsidRPr="00A9543A" w:rsidRDefault="00A9543A" w:rsidP="00A9543A">
            <w:pPr>
              <w:autoSpaceDE w:val="0"/>
              <w:autoSpaceDN w:val="0"/>
              <w:adjustRightInd w:val="0"/>
              <w:spacing w:after="0" w:line="240" w:lineRule="auto"/>
              <w:rPr>
                <w:rFonts w:cs="Arial"/>
                <w:b/>
                <w:color w:val="003768"/>
                <w:sz w:val="14"/>
                <w:szCs w:val="14"/>
                <w:lang w:val="fr-FR" w:eastAsia="nl-BE"/>
              </w:rPr>
            </w:pPr>
            <w:r w:rsidRPr="00A9543A">
              <w:rPr>
                <w:rFonts w:cs="Arial"/>
                <w:b/>
                <w:color w:val="003768"/>
                <w:sz w:val="14"/>
                <w:szCs w:val="14"/>
                <w:lang w:val="fr-FR" w:eastAsia="nl-BE"/>
              </w:rPr>
              <w:t>Les communiqués de presse KBC peuvent être</w:t>
            </w:r>
          </w:p>
          <w:p w:rsidR="00A9543A" w:rsidRPr="00A9543A" w:rsidRDefault="00A9543A" w:rsidP="00A9543A">
            <w:pPr>
              <w:autoSpaceDE w:val="0"/>
              <w:autoSpaceDN w:val="0"/>
              <w:adjustRightInd w:val="0"/>
              <w:spacing w:after="0" w:line="240" w:lineRule="auto"/>
              <w:rPr>
                <w:rFonts w:cs="Arial"/>
                <w:b/>
                <w:color w:val="003768"/>
                <w:sz w:val="14"/>
                <w:szCs w:val="14"/>
                <w:lang w:val="fr-FR" w:eastAsia="nl-BE"/>
              </w:rPr>
            </w:pPr>
            <w:r w:rsidRPr="00A9543A">
              <w:rPr>
                <w:rFonts w:cs="Arial"/>
                <w:b/>
                <w:color w:val="003768"/>
                <w:sz w:val="14"/>
                <w:szCs w:val="14"/>
                <w:lang w:val="fr-FR" w:eastAsia="nl-BE"/>
              </w:rPr>
              <w:t xml:space="preserve">consultés sur </w:t>
            </w:r>
            <w:hyperlink r:id="rId21" w:history="1">
              <w:r w:rsidR="00CE168D" w:rsidRPr="00A9543A">
                <w:rPr>
                  <w:rStyle w:val="Hyperlink"/>
                  <w:b/>
                  <w:bCs/>
                  <w:color w:val="00B0F0"/>
                  <w:sz w:val="14"/>
                  <w:szCs w:val="14"/>
                  <w:lang w:val="fr-FR"/>
                </w:rPr>
                <w:t>www.kbc.com</w:t>
              </w:r>
            </w:hyperlink>
            <w:r w:rsidR="00CE168D" w:rsidRPr="00A9543A">
              <w:rPr>
                <w:b/>
                <w:bCs/>
                <w:color w:val="002060"/>
                <w:sz w:val="14"/>
                <w:szCs w:val="14"/>
                <w:lang w:val="fr-FR"/>
              </w:rPr>
              <w:t xml:space="preserve"> </w:t>
            </w:r>
            <w:r>
              <w:rPr>
                <w:rFonts w:cs="Arial"/>
                <w:b/>
                <w:color w:val="003768"/>
                <w:sz w:val="14"/>
                <w:szCs w:val="14"/>
                <w:lang w:val="fr-FR" w:eastAsia="nl-BE"/>
              </w:rPr>
              <w:t xml:space="preserve">ou obtenus </w:t>
            </w:r>
            <w:r w:rsidRPr="00A9543A">
              <w:rPr>
                <w:rFonts w:cs="Arial"/>
                <w:b/>
                <w:color w:val="003768"/>
                <w:sz w:val="14"/>
                <w:szCs w:val="14"/>
                <w:lang w:val="fr-FR" w:eastAsia="nl-BE"/>
              </w:rPr>
              <w:t>en</w:t>
            </w:r>
          </w:p>
          <w:p w:rsidR="00CE168D" w:rsidRPr="00A9543A" w:rsidRDefault="00A9543A" w:rsidP="00A9543A">
            <w:pPr>
              <w:pStyle w:val="Footer"/>
              <w:tabs>
                <w:tab w:val="bar" w:pos="-2709"/>
              </w:tabs>
              <w:spacing w:after="120"/>
              <w:rPr>
                <w:color w:val="002060"/>
                <w:sz w:val="14"/>
                <w:szCs w:val="14"/>
                <w:lang w:val="fr-FR"/>
              </w:rPr>
            </w:pPr>
            <w:r w:rsidRPr="00A9543A">
              <w:rPr>
                <w:rFonts w:cs="Arial"/>
                <w:b/>
                <w:color w:val="003768"/>
                <w:sz w:val="14"/>
                <w:szCs w:val="14"/>
                <w:lang w:val="fr-FR" w:eastAsia="nl-BE"/>
              </w:rPr>
              <w:t>envoyant un courriel à</w:t>
            </w:r>
            <w:r>
              <w:rPr>
                <w:rFonts w:cs="Arial"/>
                <w:b/>
                <w:color w:val="003768"/>
                <w:sz w:val="14"/>
                <w:szCs w:val="14"/>
                <w:lang w:val="fr-FR" w:eastAsia="nl-BE"/>
              </w:rPr>
              <w:t xml:space="preserve"> </w:t>
            </w:r>
            <w:r w:rsidR="00CE168D" w:rsidRPr="00A9543A">
              <w:rPr>
                <w:b/>
                <w:bCs/>
                <w:color w:val="003768"/>
                <w:sz w:val="14"/>
                <w:szCs w:val="14"/>
                <w:lang w:val="fr-FR"/>
              </w:rPr>
              <w:t xml:space="preserve"> </w:t>
            </w:r>
            <w:hyperlink r:id="rId22" w:history="1">
              <w:r w:rsidR="00CE168D" w:rsidRPr="00A9543A">
                <w:rPr>
                  <w:rStyle w:val="Hyperlink"/>
                  <w:b/>
                  <w:bCs/>
                  <w:color w:val="00B0F0"/>
                  <w:sz w:val="14"/>
                  <w:szCs w:val="14"/>
                  <w:lang w:val="fr-FR"/>
                </w:rPr>
                <w:t>pressofficekbc@kbc.be</w:t>
              </w:r>
            </w:hyperlink>
          </w:p>
          <w:p w:rsidR="00CE168D" w:rsidRPr="00A9543A" w:rsidRDefault="00A9543A" w:rsidP="0064576A">
            <w:pPr>
              <w:pStyle w:val="Footer"/>
              <w:tabs>
                <w:tab w:val="bar" w:pos="-2709"/>
              </w:tabs>
              <w:spacing w:after="120"/>
              <w:rPr>
                <w:color w:val="002060"/>
                <w:lang w:val="fr-FR"/>
              </w:rPr>
            </w:pPr>
            <w:r w:rsidRPr="00A9543A">
              <w:rPr>
                <w:rFonts w:cs="Calibri"/>
                <w:b/>
                <w:color w:val="003768"/>
                <w:sz w:val="14"/>
                <w:szCs w:val="14"/>
                <w:lang w:val="fr-FR" w:eastAsia="nl-BE"/>
              </w:rPr>
              <w:t>Suivez nous</w:t>
            </w:r>
            <w:r w:rsidR="00D01FB0">
              <w:rPr>
                <w:rFonts w:cs="Calibri"/>
                <w:b/>
                <w:color w:val="003768"/>
                <w:sz w:val="14"/>
                <w:szCs w:val="14"/>
                <w:lang w:val="fr-FR" w:eastAsia="nl-BE"/>
              </w:rPr>
              <w:t xml:space="preserve"> sur</w:t>
            </w:r>
            <w:r w:rsidRPr="00A9543A">
              <w:rPr>
                <w:lang w:val="fr-FR"/>
              </w:rPr>
              <w:t xml:space="preserve"> </w:t>
            </w:r>
            <w:hyperlink r:id="rId23" w:history="1">
              <w:r w:rsidR="00CE168D" w:rsidRPr="00A9543A">
                <w:rPr>
                  <w:rStyle w:val="Hyperlink"/>
                  <w:b/>
                  <w:bCs/>
                  <w:color w:val="00B0F0"/>
                  <w:sz w:val="14"/>
                  <w:szCs w:val="14"/>
                  <w:lang w:val="fr-FR"/>
                </w:rPr>
                <w:t>www.twitter.com/kbc_group</w:t>
              </w:r>
            </w:hyperlink>
          </w:p>
        </w:tc>
      </w:tr>
    </w:tbl>
    <w:p w:rsidR="004278B1" w:rsidRDefault="008D3EBD" w:rsidP="00020337">
      <w:pPr>
        <w:pStyle w:val="NoSpacing"/>
        <w:ind w:left="993" w:right="664"/>
      </w:pPr>
      <w:r>
        <w:rPr>
          <w:noProof/>
          <w:lang w:val="nl-BE" w:eastAsia="nl-BE"/>
        </w:rPr>
        <mc:AlternateContent>
          <mc:Choice Requires="wps">
            <w:drawing>
              <wp:anchor distT="0" distB="0" distL="114300" distR="114300" simplePos="0" relativeHeight="251658752" behindDoc="0" locked="0" layoutInCell="1" allowOverlap="1">
                <wp:simplePos x="0" y="0"/>
                <wp:positionH relativeFrom="column">
                  <wp:align>left</wp:align>
                </wp:positionH>
                <wp:positionV relativeFrom="paragraph">
                  <wp:posOffset>6477000</wp:posOffset>
                </wp:positionV>
                <wp:extent cx="958215" cy="139065"/>
                <wp:effectExtent l="0" t="0" r="3810" b="38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719" w:rsidRDefault="0079171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0;margin-top:510pt;width:75.45pt;height:10.95pt;z-index:2516587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GoVsAIAALA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" filled="f" stroked="f">
                <v:textbox inset="0,0,0,0">
                  <w:txbxContent>
                    <w:p w:rsidR="00791719" w:rsidRDefault="00791719"/>
                  </w:txbxContent>
                </v:textbox>
              </v:shape>
            </w:pict>
          </mc:Fallback>
        </mc:AlternateContent>
      </w:r>
    </w:p>
    <w:sectPr w:rsidR="004278B1" w:rsidSect="00020337">
      <w:footerReference w:type="default" r:id="rId24"/>
      <w:pgSz w:w="11907" w:h="16840" w:code="9"/>
      <w:pgMar w:top="567" w:right="992" w:bottom="567" w:left="23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719" w:rsidRDefault="00791719" w:rsidP="0077354C">
      <w:pPr>
        <w:spacing w:after="0" w:line="240" w:lineRule="auto"/>
      </w:pPr>
      <w:r>
        <w:separator/>
      </w:r>
    </w:p>
  </w:endnote>
  <w:endnote w:type="continuationSeparator" w:id="0">
    <w:p w:rsidR="00791719" w:rsidRDefault="00791719" w:rsidP="0077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Rockwell,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719" w:rsidRDefault="0079171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1792B">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1792B">
      <w:rPr>
        <w:b/>
        <w:noProof/>
      </w:rPr>
      <w:t>15</w:t>
    </w:r>
    <w:r>
      <w:rPr>
        <w:b/>
        <w:sz w:val="24"/>
        <w:szCs w:val="24"/>
      </w:rPr>
      <w:fldChar w:fldCharType="end"/>
    </w:r>
  </w:p>
  <w:p w:rsidR="00791719" w:rsidRDefault="007917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719" w:rsidRDefault="00791719" w:rsidP="0077354C">
      <w:pPr>
        <w:spacing w:after="0" w:line="240" w:lineRule="auto"/>
      </w:pPr>
      <w:r>
        <w:separator/>
      </w:r>
    </w:p>
  </w:footnote>
  <w:footnote w:type="continuationSeparator" w:id="0">
    <w:p w:rsidR="00791719" w:rsidRDefault="00791719" w:rsidP="007735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C58"/>
    <w:multiLevelType w:val="hybridMultilevel"/>
    <w:tmpl w:val="5F7451BA"/>
    <w:lvl w:ilvl="0" w:tplc="08130001">
      <w:start w:val="1"/>
      <w:numFmt w:val="bullet"/>
      <w:lvlText w:val=""/>
      <w:lvlJc w:val="left"/>
      <w:pPr>
        <w:ind w:left="1712" w:hanging="360"/>
      </w:pPr>
      <w:rPr>
        <w:rFonts w:ascii="Symbol" w:hAnsi="Symbol" w:hint="default"/>
      </w:rPr>
    </w:lvl>
    <w:lvl w:ilvl="1" w:tplc="08130003" w:tentative="1">
      <w:start w:val="1"/>
      <w:numFmt w:val="bullet"/>
      <w:lvlText w:val="o"/>
      <w:lvlJc w:val="left"/>
      <w:pPr>
        <w:ind w:left="2432" w:hanging="360"/>
      </w:pPr>
      <w:rPr>
        <w:rFonts w:ascii="Courier New" w:hAnsi="Courier New" w:cs="Courier New" w:hint="default"/>
      </w:rPr>
    </w:lvl>
    <w:lvl w:ilvl="2" w:tplc="08130005" w:tentative="1">
      <w:start w:val="1"/>
      <w:numFmt w:val="bullet"/>
      <w:lvlText w:val=""/>
      <w:lvlJc w:val="left"/>
      <w:pPr>
        <w:ind w:left="3152" w:hanging="360"/>
      </w:pPr>
      <w:rPr>
        <w:rFonts w:ascii="Wingdings" w:hAnsi="Wingdings" w:hint="default"/>
      </w:rPr>
    </w:lvl>
    <w:lvl w:ilvl="3" w:tplc="08130001" w:tentative="1">
      <w:start w:val="1"/>
      <w:numFmt w:val="bullet"/>
      <w:lvlText w:val=""/>
      <w:lvlJc w:val="left"/>
      <w:pPr>
        <w:ind w:left="3872" w:hanging="360"/>
      </w:pPr>
      <w:rPr>
        <w:rFonts w:ascii="Symbol" w:hAnsi="Symbol" w:hint="default"/>
      </w:rPr>
    </w:lvl>
    <w:lvl w:ilvl="4" w:tplc="08130003" w:tentative="1">
      <w:start w:val="1"/>
      <w:numFmt w:val="bullet"/>
      <w:lvlText w:val="o"/>
      <w:lvlJc w:val="left"/>
      <w:pPr>
        <w:ind w:left="4592" w:hanging="360"/>
      </w:pPr>
      <w:rPr>
        <w:rFonts w:ascii="Courier New" w:hAnsi="Courier New" w:cs="Courier New" w:hint="default"/>
      </w:rPr>
    </w:lvl>
    <w:lvl w:ilvl="5" w:tplc="08130005" w:tentative="1">
      <w:start w:val="1"/>
      <w:numFmt w:val="bullet"/>
      <w:lvlText w:val=""/>
      <w:lvlJc w:val="left"/>
      <w:pPr>
        <w:ind w:left="5312" w:hanging="360"/>
      </w:pPr>
      <w:rPr>
        <w:rFonts w:ascii="Wingdings" w:hAnsi="Wingdings" w:hint="default"/>
      </w:rPr>
    </w:lvl>
    <w:lvl w:ilvl="6" w:tplc="08130001" w:tentative="1">
      <w:start w:val="1"/>
      <w:numFmt w:val="bullet"/>
      <w:lvlText w:val=""/>
      <w:lvlJc w:val="left"/>
      <w:pPr>
        <w:ind w:left="6032" w:hanging="360"/>
      </w:pPr>
      <w:rPr>
        <w:rFonts w:ascii="Symbol" w:hAnsi="Symbol" w:hint="default"/>
      </w:rPr>
    </w:lvl>
    <w:lvl w:ilvl="7" w:tplc="08130003" w:tentative="1">
      <w:start w:val="1"/>
      <w:numFmt w:val="bullet"/>
      <w:lvlText w:val="o"/>
      <w:lvlJc w:val="left"/>
      <w:pPr>
        <w:ind w:left="6752" w:hanging="360"/>
      </w:pPr>
      <w:rPr>
        <w:rFonts w:ascii="Courier New" w:hAnsi="Courier New" w:cs="Courier New" w:hint="default"/>
      </w:rPr>
    </w:lvl>
    <w:lvl w:ilvl="8" w:tplc="08130005" w:tentative="1">
      <w:start w:val="1"/>
      <w:numFmt w:val="bullet"/>
      <w:lvlText w:val=""/>
      <w:lvlJc w:val="left"/>
      <w:pPr>
        <w:ind w:left="7472" w:hanging="360"/>
      </w:pPr>
      <w:rPr>
        <w:rFonts w:ascii="Wingdings" w:hAnsi="Wingdings" w:hint="default"/>
      </w:rPr>
    </w:lvl>
  </w:abstractNum>
  <w:abstractNum w:abstractNumId="1">
    <w:nsid w:val="075C7FC2"/>
    <w:multiLevelType w:val="hybridMultilevel"/>
    <w:tmpl w:val="2BB2AD74"/>
    <w:lvl w:ilvl="0" w:tplc="08130001">
      <w:start w:val="1"/>
      <w:numFmt w:val="bullet"/>
      <w:lvlText w:val=""/>
      <w:lvlJc w:val="left"/>
      <w:pPr>
        <w:ind w:left="1712" w:hanging="360"/>
      </w:pPr>
      <w:rPr>
        <w:rFonts w:ascii="Symbol" w:hAnsi="Symbol" w:hint="default"/>
      </w:rPr>
    </w:lvl>
    <w:lvl w:ilvl="1" w:tplc="08130003" w:tentative="1">
      <w:start w:val="1"/>
      <w:numFmt w:val="bullet"/>
      <w:lvlText w:val="o"/>
      <w:lvlJc w:val="left"/>
      <w:pPr>
        <w:ind w:left="2432" w:hanging="360"/>
      </w:pPr>
      <w:rPr>
        <w:rFonts w:ascii="Courier New" w:hAnsi="Courier New" w:cs="Courier New" w:hint="default"/>
      </w:rPr>
    </w:lvl>
    <w:lvl w:ilvl="2" w:tplc="08130005" w:tentative="1">
      <w:start w:val="1"/>
      <w:numFmt w:val="bullet"/>
      <w:lvlText w:val=""/>
      <w:lvlJc w:val="left"/>
      <w:pPr>
        <w:ind w:left="3152" w:hanging="360"/>
      </w:pPr>
      <w:rPr>
        <w:rFonts w:ascii="Wingdings" w:hAnsi="Wingdings" w:hint="default"/>
      </w:rPr>
    </w:lvl>
    <w:lvl w:ilvl="3" w:tplc="08130001" w:tentative="1">
      <w:start w:val="1"/>
      <w:numFmt w:val="bullet"/>
      <w:lvlText w:val=""/>
      <w:lvlJc w:val="left"/>
      <w:pPr>
        <w:ind w:left="3872" w:hanging="360"/>
      </w:pPr>
      <w:rPr>
        <w:rFonts w:ascii="Symbol" w:hAnsi="Symbol" w:hint="default"/>
      </w:rPr>
    </w:lvl>
    <w:lvl w:ilvl="4" w:tplc="08130003" w:tentative="1">
      <w:start w:val="1"/>
      <w:numFmt w:val="bullet"/>
      <w:lvlText w:val="o"/>
      <w:lvlJc w:val="left"/>
      <w:pPr>
        <w:ind w:left="4592" w:hanging="360"/>
      </w:pPr>
      <w:rPr>
        <w:rFonts w:ascii="Courier New" w:hAnsi="Courier New" w:cs="Courier New" w:hint="default"/>
      </w:rPr>
    </w:lvl>
    <w:lvl w:ilvl="5" w:tplc="08130005" w:tentative="1">
      <w:start w:val="1"/>
      <w:numFmt w:val="bullet"/>
      <w:lvlText w:val=""/>
      <w:lvlJc w:val="left"/>
      <w:pPr>
        <w:ind w:left="5312" w:hanging="360"/>
      </w:pPr>
      <w:rPr>
        <w:rFonts w:ascii="Wingdings" w:hAnsi="Wingdings" w:hint="default"/>
      </w:rPr>
    </w:lvl>
    <w:lvl w:ilvl="6" w:tplc="08130001" w:tentative="1">
      <w:start w:val="1"/>
      <w:numFmt w:val="bullet"/>
      <w:lvlText w:val=""/>
      <w:lvlJc w:val="left"/>
      <w:pPr>
        <w:ind w:left="6032" w:hanging="360"/>
      </w:pPr>
      <w:rPr>
        <w:rFonts w:ascii="Symbol" w:hAnsi="Symbol" w:hint="default"/>
      </w:rPr>
    </w:lvl>
    <w:lvl w:ilvl="7" w:tplc="08130003" w:tentative="1">
      <w:start w:val="1"/>
      <w:numFmt w:val="bullet"/>
      <w:lvlText w:val="o"/>
      <w:lvlJc w:val="left"/>
      <w:pPr>
        <w:ind w:left="6752" w:hanging="360"/>
      </w:pPr>
      <w:rPr>
        <w:rFonts w:ascii="Courier New" w:hAnsi="Courier New" w:cs="Courier New" w:hint="default"/>
      </w:rPr>
    </w:lvl>
    <w:lvl w:ilvl="8" w:tplc="08130005" w:tentative="1">
      <w:start w:val="1"/>
      <w:numFmt w:val="bullet"/>
      <w:lvlText w:val=""/>
      <w:lvlJc w:val="left"/>
      <w:pPr>
        <w:ind w:left="7472" w:hanging="360"/>
      </w:pPr>
      <w:rPr>
        <w:rFonts w:ascii="Wingdings" w:hAnsi="Wingdings" w:hint="default"/>
      </w:rPr>
    </w:lvl>
  </w:abstractNum>
  <w:abstractNum w:abstractNumId="2">
    <w:nsid w:val="17DC1929"/>
    <w:multiLevelType w:val="hybridMultilevel"/>
    <w:tmpl w:val="DFA6737E"/>
    <w:lvl w:ilvl="0" w:tplc="08130001">
      <w:start w:val="1"/>
      <w:numFmt w:val="bullet"/>
      <w:lvlText w:val=""/>
      <w:lvlJc w:val="left"/>
      <w:pPr>
        <w:ind w:left="1712" w:hanging="360"/>
      </w:pPr>
      <w:rPr>
        <w:rFonts w:ascii="Symbol" w:hAnsi="Symbol" w:hint="default"/>
      </w:rPr>
    </w:lvl>
    <w:lvl w:ilvl="1" w:tplc="08130003" w:tentative="1">
      <w:start w:val="1"/>
      <w:numFmt w:val="bullet"/>
      <w:lvlText w:val="o"/>
      <w:lvlJc w:val="left"/>
      <w:pPr>
        <w:ind w:left="2432" w:hanging="360"/>
      </w:pPr>
      <w:rPr>
        <w:rFonts w:ascii="Courier New" w:hAnsi="Courier New" w:cs="Courier New" w:hint="default"/>
      </w:rPr>
    </w:lvl>
    <w:lvl w:ilvl="2" w:tplc="08130005" w:tentative="1">
      <w:start w:val="1"/>
      <w:numFmt w:val="bullet"/>
      <w:lvlText w:val=""/>
      <w:lvlJc w:val="left"/>
      <w:pPr>
        <w:ind w:left="3152" w:hanging="360"/>
      </w:pPr>
      <w:rPr>
        <w:rFonts w:ascii="Wingdings" w:hAnsi="Wingdings" w:hint="default"/>
      </w:rPr>
    </w:lvl>
    <w:lvl w:ilvl="3" w:tplc="08130001" w:tentative="1">
      <w:start w:val="1"/>
      <w:numFmt w:val="bullet"/>
      <w:lvlText w:val=""/>
      <w:lvlJc w:val="left"/>
      <w:pPr>
        <w:ind w:left="3872" w:hanging="360"/>
      </w:pPr>
      <w:rPr>
        <w:rFonts w:ascii="Symbol" w:hAnsi="Symbol" w:hint="default"/>
      </w:rPr>
    </w:lvl>
    <w:lvl w:ilvl="4" w:tplc="08130003" w:tentative="1">
      <w:start w:val="1"/>
      <w:numFmt w:val="bullet"/>
      <w:lvlText w:val="o"/>
      <w:lvlJc w:val="left"/>
      <w:pPr>
        <w:ind w:left="4592" w:hanging="360"/>
      </w:pPr>
      <w:rPr>
        <w:rFonts w:ascii="Courier New" w:hAnsi="Courier New" w:cs="Courier New" w:hint="default"/>
      </w:rPr>
    </w:lvl>
    <w:lvl w:ilvl="5" w:tplc="08130005" w:tentative="1">
      <w:start w:val="1"/>
      <w:numFmt w:val="bullet"/>
      <w:lvlText w:val=""/>
      <w:lvlJc w:val="left"/>
      <w:pPr>
        <w:ind w:left="5312" w:hanging="360"/>
      </w:pPr>
      <w:rPr>
        <w:rFonts w:ascii="Wingdings" w:hAnsi="Wingdings" w:hint="default"/>
      </w:rPr>
    </w:lvl>
    <w:lvl w:ilvl="6" w:tplc="08130001" w:tentative="1">
      <w:start w:val="1"/>
      <w:numFmt w:val="bullet"/>
      <w:lvlText w:val=""/>
      <w:lvlJc w:val="left"/>
      <w:pPr>
        <w:ind w:left="6032" w:hanging="360"/>
      </w:pPr>
      <w:rPr>
        <w:rFonts w:ascii="Symbol" w:hAnsi="Symbol" w:hint="default"/>
      </w:rPr>
    </w:lvl>
    <w:lvl w:ilvl="7" w:tplc="08130003" w:tentative="1">
      <w:start w:val="1"/>
      <w:numFmt w:val="bullet"/>
      <w:lvlText w:val="o"/>
      <w:lvlJc w:val="left"/>
      <w:pPr>
        <w:ind w:left="6752" w:hanging="360"/>
      </w:pPr>
      <w:rPr>
        <w:rFonts w:ascii="Courier New" w:hAnsi="Courier New" w:cs="Courier New" w:hint="default"/>
      </w:rPr>
    </w:lvl>
    <w:lvl w:ilvl="8" w:tplc="08130005" w:tentative="1">
      <w:start w:val="1"/>
      <w:numFmt w:val="bullet"/>
      <w:lvlText w:val=""/>
      <w:lvlJc w:val="left"/>
      <w:pPr>
        <w:ind w:left="7472" w:hanging="360"/>
      </w:pPr>
      <w:rPr>
        <w:rFonts w:ascii="Wingdings" w:hAnsi="Wingdings" w:hint="default"/>
      </w:rPr>
    </w:lvl>
  </w:abstractNum>
  <w:abstractNum w:abstractNumId="3">
    <w:nsid w:val="20505E40"/>
    <w:multiLevelType w:val="hybridMultilevel"/>
    <w:tmpl w:val="F40AC93C"/>
    <w:lvl w:ilvl="0" w:tplc="08130001">
      <w:start w:val="1"/>
      <w:numFmt w:val="bullet"/>
      <w:lvlText w:val=""/>
      <w:lvlJc w:val="left"/>
      <w:pPr>
        <w:ind w:left="1712" w:hanging="360"/>
      </w:pPr>
      <w:rPr>
        <w:rFonts w:ascii="Symbol" w:hAnsi="Symbol" w:hint="default"/>
      </w:rPr>
    </w:lvl>
    <w:lvl w:ilvl="1" w:tplc="08130003" w:tentative="1">
      <w:start w:val="1"/>
      <w:numFmt w:val="bullet"/>
      <w:lvlText w:val="o"/>
      <w:lvlJc w:val="left"/>
      <w:pPr>
        <w:ind w:left="2432" w:hanging="360"/>
      </w:pPr>
      <w:rPr>
        <w:rFonts w:ascii="Courier New" w:hAnsi="Courier New" w:cs="Courier New" w:hint="default"/>
      </w:rPr>
    </w:lvl>
    <w:lvl w:ilvl="2" w:tplc="08130005" w:tentative="1">
      <w:start w:val="1"/>
      <w:numFmt w:val="bullet"/>
      <w:lvlText w:val=""/>
      <w:lvlJc w:val="left"/>
      <w:pPr>
        <w:ind w:left="3152" w:hanging="360"/>
      </w:pPr>
      <w:rPr>
        <w:rFonts w:ascii="Wingdings" w:hAnsi="Wingdings" w:hint="default"/>
      </w:rPr>
    </w:lvl>
    <w:lvl w:ilvl="3" w:tplc="08130001" w:tentative="1">
      <w:start w:val="1"/>
      <w:numFmt w:val="bullet"/>
      <w:lvlText w:val=""/>
      <w:lvlJc w:val="left"/>
      <w:pPr>
        <w:ind w:left="3872" w:hanging="360"/>
      </w:pPr>
      <w:rPr>
        <w:rFonts w:ascii="Symbol" w:hAnsi="Symbol" w:hint="default"/>
      </w:rPr>
    </w:lvl>
    <w:lvl w:ilvl="4" w:tplc="08130003" w:tentative="1">
      <w:start w:val="1"/>
      <w:numFmt w:val="bullet"/>
      <w:lvlText w:val="o"/>
      <w:lvlJc w:val="left"/>
      <w:pPr>
        <w:ind w:left="4592" w:hanging="360"/>
      </w:pPr>
      <w:rPr>
        <w:rFonts w:ascii="Courier New" w:hAnsi="Courier New" w:cs="Courier New" w:hint="default"/>
      </w:rPr>
    </w:lvl>
    <w:lvl w:ilvl="5" w:tplc="08130005" w:tentative="1">
      <w:start w:val="1"/>
      <w:numFmt w:val="bullet"/>
      <w:lvlText w:val=""/>
      <w:lvlJc w:val="left"/>
      <w:pPr>
        <w:ind w:left="5312" w:hanging="360"/>
      </w:pPr>
      <w:rPr>
        <w:rFonts w:ascii="Wingdings" w:hAnsi="Wingdings" w:hint="default"/>
      </w:rPr>
    </w:lvl>
    <w:lvl w:ilvl="6" w:tplc="08130001" w:tentative="1">
      <w:start w:val="1"/>
      <w:numFmt w:val="bullet"/>
      <w:lvlText w:val=""/>
      <w:lvlJc w:val="left"/>
      <w:pPr>
        <w:ind w:left="6032" w:hanging="360"/>
      </w:pPr>
      <w:rPr>
        <w:rFonts w:ascii="Symbol" w:hAnsi="Symbol" w:hint="default"/>
      </w:rPr>
    </w:lvl>
    <w:lvl w:ilvl="7" w:tplc="08130003" w:tentative="1">
      <w:start w:val="1"/>
      <w:numFmt w:val="bullet"/>
      <w:lvlText w:val="o"/>
      <w:lvlJc w:val="left"/>
      <w:pPr>
        <w:ind w:left="6752" w:hanging="360"/>
      </w:pPr>
      <w:rPr>
        <w:rFonts w:ascii="Courier New" w:hAnsi="Courier New" w:cs="Courier New" w:hint="default"/>
      </w:rPr>
    </w:lvl>
    <w:lvl w:ilvl="8" w:tplc="08130005" w:tentative="1">
      <w:start w:val="1"/>
      <w:numFmt w:val="bullet"/>
      <w:lvlText w:val=""/>
      <w:lvlJc w:val="left"/>
      <w:pPr>
        <w:ind w:left="7472" w:hanging="360"/>
      </w:pPr>
      <w:rPr>
        <w:rFonts w:ascii="Wingdings" w:hAnsi="Wingdings" w:hint="default"/>
      </w:rPr>
    </w:lvl>
  </w:abstractNum>
  <w:abstractNum w:abstractNumId="4">
    <w:nsid w:val="28F32C95"/>
    <w:multiLevelType w:val="hybridMultilevel"/>
    <w:tmpl w:val="0DCE150E"/>
    <w:lvl w:ilvl="0" w:tplc="08130001">
      <w:start w:val="1"/>
      <w:numFmt w:val="bullet"/>
      <w:lvlText w:val=""/>
      <w:lvlJc w:val="left"/>
      <w:pPr>
        <w:ind w:left="1712" w:hanging="360"/>
      </w:pPr>
      <w:rPr>
        <w:rFonts w:ascii="Symbol" w:hAnsi="Symbol" w:hint="default"/>
      </w:rPr>
    </w:lvl>
    <w:lvl w:ilvl="1" w:tplc="08130003" w:tentative="1">
      <w:start w:val="1"/>
      <w:numFmt w:val="bullet"/>
      <w:lvlText w:val="o"/>
      <w:lvlJc w:val="left"/>
      <w:pPr>
        <w:ind w:left="2432" w:hanging="360"/>
      </w:pPr>
      <w:rPr>
        <w:rFonts w:ascii="Courier New" w:hAnsi="Courier New" w:cs="Courier New" w:hint="default"/>
      </w:rPr>
    </w:lvl>
    <w:lvl w:ilvl="2" w:tplc="08130005" w:tentative="1">
      <w:start w:val="1"/>
      <w:numFmt w:val="bullet"/>
      <w:lvlText w:val=""/>
      <w:lvlJc w:val="left"/>
      <w:pPr>
        <w:ind w:left="3152" w:hanging="360"/>
      </w:pPr>
      <w:rPr>
        <w:rFonts w:ascii="Wingdings" w:hAnsi="Wingdings" w:hint="default"/>
      </w:rPr>
    </w:lvl>
    <w:lvl w:ilvl="3" w:tplc="08130001" w:tentative="1">
      <w:start w:val="1"/>
      <w:numFmt w:val="bullet"/>
      <w:lvlText w:val=""/>
      <w:lvlJc w:val="left"/>
      <w:pPr>
        <w:ind w:left="3872" w:hanging="360"/>
      </w:pPr>
      <w:rPr>
        <w:rFonts w:ascii="Symbol" w:hAnsi="Symbol" w:hint="default"/>
      </w:rPr>
    </w:lvl>
    <w:lvl w:ilvl="4" w:tplc="08130003" w:tentative="1">
      <w:start w:val="1"/>
      <w:numFmt w:val="bullet"/>
      <w:lvlText w:val="o"/>
      <w:lvlJc w:val="left"/>
      <w:pPr>
        <w:ind w:left="4592" w:hanging="360"/>
      </w:pPr>
      <w:rPr>
        <w:rFonts w:ascii="Courier New" w:hAnsi="Courier New" w:cs="Courier New" w:hint="default"/>
      </w:rPr>
    </w:lvl>
    <w:lvl w:ilvl="5" w:tplc="08130005" w:tentative="1">
      <w:start w:val="1"/>
      <w:numFmt w:val="bullet"/>
      <w:lvlText w:val=""/>
      <w:lvlJc w:val="left"/>
      <w:pPr>
        <w:ind w:left="5312" w:hanging="360"/>
      </w:pPr>
      <w:rPr>
        <w:rFonts w:ascii="Wingdings" w:hAnsi="Wingdings" w:hint="default"/>
      </w:rPr>
    </w:lvl>
    <w:lvl w:ilvl="6" w:tplc="08130001" w:tentative="1">
      <w:start w:val="1"/>
      <w:numFmt w:val="bullet"/>
      <w:lvlText w:val=""/>
      <w:lvlJc w:val="left"/>
      <w:pPr>
        <w:ind w:left="6032" w:hanging="360"/>
      </w:pPr>
      <w:rPr>
        <w:rFonts w:ascii="Symbol" w:hAnsi="Symbol" w:hint="default"/>
      </w:rPr>
    </w:lvl>
    <w:lvl w:ilvl="7" w:tplc="08130003" w:tentative="1">
      <w:start w:val="1"/>
      <w:numFmt w:val="bullet"/>
      <w:lvlText w:val="o"/>
      <w:lvlJc w:val="left"/>
      <w:pPr>
        <w:ind w:left="6752" w:hanging="360"/>
      </w:pPr>
      <w:rPr>
        <w:rFonts w:ascii="Courier New" w:hAnsi="Courier New" w:cs="Courier New" w:hint="default"/>
      </w:rPr>
    </w:lvl>
    <w:lvl w:ilvl="8" w:tplc="08130005" w:tentative="1">
      <w:start w:val="1"/>
      <w:numFmt w:val="bullet"/>
      <w:lvlText w:val=""/>
      <w:lvlJc w:val="left"/>
      <w:pPr>
        <w:ind w:left="7472" w:hanging="360"/>
      </w:pPr>
      <w:rPr>
        <w:rFonts w:ascii="Wingdings" w:hAnsi="Wingdings" w:hint="default"/>
      </w:rPr>
    </w:lvl>
  </w:abstractNum>
  <w:abstractNum w:abstractNumId="5">
    <w:nsid w:val="4CFF1724"/>
    <w:multiLevelType w:val="hybridMultilevel"/>
    <w:tmpl w:val="8C5C29DC"/>
    <w:lvl w:ilvl="0" w:tplc="08130001">
      <w:start w:val="1"/>
      <w:numFmt w:val="bullet"/>
      <w:lvlText w:val=""/>
      <w:lvlJc w:val="left"/>
      <w:pPr>
        <w:ind w:left="1712" w:hanging="360"/>
      </w:pPr>
      <w:rPr>
        <w:rFonts w:ascii="Symbol" w:hAnsi="Symbol" w:hint="default"/>
      </w:rPr>
    </w:lvl>
    <w:lvl w:ilvl="1" w:tplc="08130003" w:tentative="1">
      <w:start w:val="1"/>
      <w:numFmt w:val="bullet"/>
      <w:lvlText w:val="o"/>
      <w:lvlJc w:val="left"/>
      <w:pPr>
        <w:ind w:left="2432" w:hanging="360"/>
      </w:pPr>
      <w:rPr>
        <w:rFonts w:ascii="Courier New" w:hAnsi="Courier New" w:cs="Courier New" w:hint="default"/>
      </w:rPr>
    </w:lvl>
    <w:lvl w:ilvl="2" w:tplc="08130005" w:tentative="1">
      <w:start w:val="1"/>
      <w:numFmt w:val="bullet"/>
      <w:lvlText w:val=""/>
      <w:lvlJc w:val="left"/>
      <w:pPr>
        <w:ind w:left="3152" w:hanging="360"/>
      </w:pPr>
      <w:rPr>
        <w:rFonts w:ascii="Wingdings" w:hAnsi="Wingdings" w:hint="default"/>
      </w:rPr>
    </w:lvl>
    <w:lvl w:ilvl="3" w:tplc="08130001" w:tentative="1">
      <w:start w:val="1"/>
      <w:numFmt w:val="bullet"/>
      <w:lvlText w:val=""/>
      <w:lvlJc w:val="left"/>
      <w:pPr>
        <w:ind w:left="3872" w:hanging="360"/>
      </w:pPr>
      <w:rPr>
        <w:rFonts w:ascii="Symbol" w:hAnsi="Symbol" w:hint="default"/>
      </w:rPr>
    </w:lvl>
    <w:lvl w:ilvl="4" w:tplc="08130003" w:tentative="1">
      <w:start w:val="1"/>
      <w:numFmt w:val="bullet"/>
      <w:lvlText w:val="o"/>
      <w:lvlJc w:val="left"/>
      <w:pPr>
        <w:ind w:left="4592" w:hanging="360"/>
      </w:pPr>
      <w:rPr>
        <w:rFonts w:ascii="Courier New" w:hAnsi="Courier New" w:cs="Courier New" w:hint="default"/>
      </w:rPr>
    </w:lvl>
    <w:lvl w:ilvl="5" w:tplc="08130005" w:tentative="1">
      <w:start w:val="1"/>
      <w:numFmt w:val="bullet"/>
      <w:lvlText w:val=""/>
      <w:lvlJc w:val="left"/>
      <w:pPr>
        <w:ind w:left="5312" w:hanging="360"/>
      </w:pPr>
      <w:rPr>
        <w:rFonts w:ascii="Wingdings" w:hAnsi="Wingdings" w:hint="default"/>
      </w:rPr>
    </w:lvl>
    <w:lvl w:ilvl="6" w:tplc="08130001" w:tentative="1">
      <w:start w:val="1"/>
      <w:numFmt w:val="bullet"/>
      <w:lvlText w:val=""/>
      <w:lvlJc w:val="left"/>
      <w:pPr>
        <w:ind w:left="6032" w:hanging="360"/>
      </w:pPr>
      <w:rPr>
        <w:rFonts w:ascii="Symbol" w:hAnsi="Symbol" w:hint="default"/>
      </w:rPr>
    </w:lvl>
    <w:lvl w:ilvl="7" w:tplc="08130003" w:tentative="1">
      <w:start w:val="1"/>
      <w:numFmt w:val="bullet"/>
      <w:lvlText w:val="o"/>
      <w:lvlJc w:val="left"/>
      <w:pPr>
        <w:ind w:left="6752" w:hanging="360"/>
      </w:pPr>
      <w:rPr>
        <w:rFonts w:ascii="Courier New" w:hAnsi="Courier New" w:cs="Courier New" w:hint="default"/>
      </w:rPr>
    </w:lvl>
    <w:lvl w:ilvl="8" w:tplc="08130005" w:tentative="1">
      <w:start w:val="1"/>
      <w:numFmt w:val="bullet"/>
      <w:lvlText w:val=""/>
      <w:lvlJc w:val="left"/>
      <w:pPr>
        <w:ind w:left="7472" w:hanging="360"/>
      </w:pPr>
      <w:rPr>
        <w:rFonts w:ascii="Wingdings" w:hAnsi="Wingdings" w:hint="default"/>
      </w:rPr>
    </w:lvl>
  </w:abstractNum>
  <w:abstractNum w:abstractNumId="6">
    <w:nsid w:val="581D215B"/>
    <w:multiLevelType w:val="hybridMultilevel"/>
    <w:tmpl w:val="AE20B0A4"/>
    <w:lvl w:ilvl="0" w:tplc="08130001">
      <w:start w:val="1"/>
      <w:numFmt w:val="bullet"/>
      <w:lvlText w:val=""/>
      <w:lvlJc w:val="left"/>
      <w:pPr>
        <w:ind w:left="1712" w:hanging="360"/>
      </w:pPr>
      <w:rPr>
        <w:rFonts w:ascii="Symbol" w:hAnsi="Symbol" w:hint="default"/>
      </w:rPr>
    </w:lvl>
    <w:lvl w:ilvl="1" w:tplc="08130003" w:tentative="1">
      <w:start w:val="1"/>
      <w:numFmt w:val="bullet"/>
      <w:lvlText w:val="o"/>
      <w:lvlJc w:val="left"/>
      <w:pPr>
        <w:ind w:left="2432" w:hanging="360"/>
      </w:pPr>
      <w:rPr>
        <w:rFonts w:ascii="Courier New" w:hAnsi="Courier New" w:cs="Courier New" w:hint="default"/>
      </w:rPr>
    </w:lvl>
    <w:lvl w:ilvl="2" w:tplc="08130005" w:tentative="1">
      <w:start w:val="1"/>
      <w:numFmt w:val="bullet"/>
      <w:lvlText w:val=""/>
      <w:lvlJc w:val="left"/>
      <w:pPr>
        <w:ind w:left="3152" w:hanging="360"/>
      </w:pPr>
      <w:rPr>
        <w:rFonts w:ascii="Wingdings" w:hAnsi="Wingdings" w:hint="default"/>
      </w:rPr>
    </w:lvl>
    <w:lvl w:ilvl="3" w:tplc="08130001" w:tentative="1">
      <w:start w:val="1"/>
      <w:numFmt w:val="bullet"/>
      <w:lvlText w:val=""/>
      <w:lvlJc w:val="left"/>
      <w:pPr>
        <w:ind w:left="3872" w:hanging="360"/>
      </w:pPr>
      <w:rPr>
        <w:rFonts w:ascii="Symbol" w:hAnsi="Symbol" w:hint="default"/>
      </w:rPr>
    </w:lvl>
    <w:lvl w:ilvl="4" w:tplc="08130003" w:tentative="1">
      <w:start w:val="1"/>
      <w:numFmt w:val="bullet"/>
      <w:lvlText w:val="o"/>
      <w:lvlJc w:val="left"/>
      <w:pPr>
        <w:ind w:left="4592" w:hanging="360"/>
      </w:pPr>
      <w:rPr>
        <w:rFonts w:ascii="Courier New" w:hAnsi="Courier New" w:cs="Courier New" w:hint="default"/>
      </w:rPr>
    </w:lvl>
    <w:lvl w:ilvl="5" w:tplc="08130005" w:tentative="1">
      <w:start w:val="1"/>
      <w:numFmt w:val="bullet"/>
      <w:lvlText w:val=""/>
      <w:lvlJc w:val="left"/>
      <w:pPr>
        <w:ind w:left="5312" w:hanging="360"/>
      </w:pPr>
      <w:rPr>
        <w:rFonts w:ascii="Wingdings" w:hAnsi="Wingdings" w:hint="default"/>
      </w:rPr>
    </w:lvl>
    <w:lvl w:ilvl="6" w:tplc="08130001" w:tentative="1">
      <w:start w:val="1"/>
      <w:numFmt w:val="bullet"/>
      <w:lvlText w:val=""/>
      <w:lvlJc w:val="left"/>
      <w:pPr>
        <w:ind w:left="6032" w:hanging="360"/>
      </w:pPr>
      <w:rPr>
        <w:rFonts w:ascii="Symbol" w:hAnsi="Symbol" w:hint="default"/>
      </w:rPr>
    </w:lvl>
    <w:lvl w:ilvl="7" w:tplc="08130003" w:tentative="1">
      <w:start w:val="1"/>
      <w:numFmt w:val="bullet"/>
      <w:lvlText w:val="o"/>
      <w:lvlJc w:val="left"/>
      <w:pPr>
        <w:ind w:left="6752" w:hanging="360"/>
      </w:pPr>
      <w:rPr>
        <w:rFonts w:ascii="Courier New" w:hAnsi="Courier New" w:cs="Courier New" w:hint="default"/>
      </w:rPr>
    </w:lvl>
    <w:lvl w:ilvl="8" w:tplc="08130005" w:tentative="1">
      <w:start w:val="1"/>
      <w:numFmt w:val="bullet"/>
      <w:lvlText w:val=""/>
      <w:lvlJc w:val="left"/>
      <w:pPr>
        <w:ind w:left="7472" w:hanging="360"/>
      </w:pPr>
      <w:rPr>
        <w:rFonts w:ascii="Wingdings" w:hAnsi="Wingdings" w:hint="default"/>
      </w:rPr>
    </w:lvl>
  </w:abstractNum>
  <w:abstractNum w:abstractNumId="7">
    <w:nsid w:val="656F2DD6"/>
    <w:multiLevelType w:val="hybridMultilevel"/>
    <w:tmpl w:val="D0026B46"/>
    <w:lvl w:ilvl="0" w:tplc="08130001">
      <w:start w:val="1"/>
      <w:numFmt w:val="bullet"/>
      <w:lvlText w:val=""/>
      <w:lvlJc w:val="left"/>
      <w:pPr>
        <w:ind w:left="1712" w:hanging="360"/>
      </w:pPr>
      <w:rPr>
        <w:rFonts w:ascii="Symbol" w:hAnsi="Symbol" w:hint="default"/>
      </w:rPr>
    </w:lvl>
    <w:lvl w:ilvl="1" w:tplc="08130003">
      <w:start w:val="1"/>
      <w:numFmt w:val="bullet"/>
      <w:lvlText w:val="o"/>
      <w:lvlJc w:val="left"/>
      <w:pPr>
        <w:ind w:left="2432" w:hanging="360"/>
      </w:pPr>
      <w:rPr>
        <w:rFonts w:ascii="Courier New" w:hAnsi="Courier New" w:cs="Courier New" w:hint="default"/>
      </w:rPr>
    </w:lvl>
    <w:lvl w:ilvl="2" w:tplc="08130005">
      <w:start w:val="1"/>
      <w:numFmt w:val="bullet"/>
      <w:lvlText w:val=""/>
      <w:lvlJc w:val="left"/>
      <w:pPr>
        <w:ind w:left="3152" w:hanging="360"/>
      </w:pPr>
      <w:rPr>
        <w:rFonts w:ascii="Wingdings" w:hAnsi="Wingdings" w:hint="default"/>
      </w:rPr>
    </w:lvl>
    <w:lvl w:ilvl="3" w:tplc="08130001" w:tentative="1">
      <w:start w:val="1"/>
      <w:numFmt w:val="bullet"/>
      <w:lvlText w:val=""/>
      <w:lvlJc w:val="left"/>
      <w:pPr>
        <w:ind w:left="3872" w:hanging="360"/>
      </w:pPr>
      <w:rPr>
        <w:rFonts w:ascii="Symbol" w:hAnsi="Symbol" w:hint="default"/>
      </w:rPr>
    </w:lvl>
    <w:lvl w:ilvl="4" w:tplc="08130003" w:tentative="1">
      <w:start w:val="1"/>
      <w:numFmt w:val="bullet"/>
      <w:lvlText w:val="o"/>
      <w:lvlJc w:val="left"/>
      <w:pPr>
        <w:ind w:left="4592" w:hanging="360"/>
      </w:pPr>
      <w:rPr>
        <w:rFonts w:ascii="Courier New" w:hAnsi="Courier New" w:cs="Courier New" w:hint="default"/>
      </w:rPr>
    </w:lvl>
    <w:lvl w:ilvl="5" w:tplc="08130005" w:tentative="1">
      <w:start w:val="1"/>
      <w:numFmt w:val="bullet"/>
      <w:lvlText w:val=""/>
      <w:lvlJc w:val="left"/>
      <w:pPr>
        <w:ind w:left="5312" w:hanging="360"/>
      </w:pPr>
      <w:rPr>
        <w:rFonts w:ascii="Wingdings" w:hAnsi="Wingdings" w:hint="default"/>
      </w:rPr>
    </w:lvl>
    <w:lvl w:ilvl="6" w:tplc="08130001" w:tentative="1">
      <w:start w:val="1"/>
      <w:numFmt w:val="bullet"/>
      <w:lvlText w:val=""/>
      <w:lvlJc w:val="left"/>
      <w:pPr>
        <w:ind w:left="6032" w:hanging="360"/>
      </w:pPr>
      <w:rPr>
        <w:rFonts w:ascii="Symbol" w:hAnsi="Symbol" w:hint="default"/>
      </w:rPr>
    </w:lvl>
    <w:lvl w:ilvl="7" w:tplc="08130003" w:tentative="1">
      <w:start w:val="1"/>
      <w:numFmt w:val="bullet"/>
      <w:lvlText w:val="o"/>
      <w:lvlJc w:val="left"/>
      <w:pPr>
        <w:ind w:left="6752" w:hanging="360"/>
      </w:pPr>
      <w:rPr>
        <w:rFonts w:ascii="Courier New" w:hAnsi="Courier New" w:cs="Courier New" w:hint="default"/>
      </w:rPr>
    </w:lvl>
    <w:lvl w:ilvl="8" w:tplc="08130005" w:tentative="1">
      <w:start w:val="1"/>
      <w:numFmt w:val="bullet"/>
      <w:lvlText w:val=""/>
      <w:lvlJc w:val="left"/>
      <w:pPr>
        <w:ind w:left="7472" w:hanging="360"/>
      </w:pPr>
      <w:rPr>
        <w:rFonts w:ascii="Wingdings" w:hAnsi="Wingdings" w:hint="default"/>
      </w:rPr>
    </w:lvl>
  </w:abstractNum>
  <w:abstractNum w:abstractNumId="8">
    <w:nsid w:val="6ABE55D8"/>
    <w:multiLevelType w:val="hybridMultilevel"/>
    <w:tmpl w:val="24A63BF2"/>
    <w:lvl w:ilvl="0" w:tplc="08130001">
      <w:start w:val="1"/>
      <w:numFmt w:val="bullet"/>
      <w:lvlText w:val=""/>
      <w:lvlJc w:val="left"/>
      <w:pPr>
        <w:ind w:left="1712" w:hanging="360"/>
      </w:pPr>
      <w:rPr>
        <w:rFonts w:ascii="Symbol" w:hAnsi="Symbol" w:hint="default"/>
      </w:rPr>
    </w:lvl>
    <w:lvl w:ilvl="1" w:tplc="08130003" w:tentative="1">
      <w:start w:val="1"/>
      <w:numFmt w:val="bullet"/>
      <w:lvlText w:val="o"/>
      <w:lvlJc w:val="left"/>
      <w:pPr>
        <w:ind w:left="2432" w:hanging="360"/>
      </w:pPr>
      <w:rPr>
        <w:rFonts w:ascii="Courier New" w:hAnsi="Courier New" w:cs="Courier New" w:hint="default"/>
      </w:rPr>
    </w:lvl>
    <w:lvl w:ilvl="2" w:tplc="08130005" w:tentative="1">
      <w:start w:val="1"/>
      <w:numFmt w:val="bullet"/>
      <w:lvlText w:val=""/>
      <w:lvlJc w:val="left"/>
      <w:pPr>
        <w:ind w:left="3152" w:hanging="360"/>
      </w:pPr>
      <w:rPr>
        <w:rFonts w:ascii="Wingdings" w:hAnsi="Wingdings" w:hint="default"/>
      </w:rPr>
    </w:lvl>
    <w:lvl w:ilvl="3" w:tplc="08130001" w:tentative="1">
      <w:start w:val="1"/>
      <w:numFmt w:val="bullet"/>
      <w:lvlText w:val=""/>
      <w:lvlJc w:val="left"/>
      <w:pPr>
        <w:ind w:left="3872" w:hanging="360"/>
      </w:pPr>
      <w:rPr>
        <w:rFonts w:ascii="Symbol" w:hAnsi="Symbol" w:hint="default"/>
      </w:rPr>
    </w:lvl>
    <w:lvl w:ilvl="4" w:tplc="08130003" w:tentative="1">
      <w:start w:val="1"/>
      <w:numFmt w:val="bullet"/>
      <w:lvlText w:val="o"/>
      <w:lvlJc w:val="left"/>
      <w:pPr>
        <w:ind w:left="4592" w:hanging="360"/>
      </w:pPr>
      <w:rPr>
        <w:rFonts w:ascii="Courier New" w:hAnsi="Courier New" w:cs="Courier New" w:hint="default"/>
      </w:rPr>
    </w:lvl>
    <w:lvl w:ilvl="5" w:tplc="08130005" w:tentative="1">
      <w:start w:val="1"/>
      <w:numFmt w:val="bullet"/>
      <w:lvlText w:val=""/>
      <w:lvlJc w:val="left"/>
      <w:pPr>
        <w:ind w:left="5312" w:hanging="360"/>
      </w:pPr>
      <w:rPr>
        <w:rFonts w:ascii="Wingdings" w:hAnsi="Wingdings" w:hint="default"/>
      </w:rPr>
    </w:lvl>
    <w:lvl w:ilvl="6" w:tplc="08130001" w:tentative="1">
      <w:start w:val="1"/>
      <w:numFmt w:val="bullet"/>
      <w:lvlText w:val=""/>
      <w:lvlJc w:val="left"/>
      <w:pPr>
        <w:ind w:left="6032" w:hanging="360"/>
      </w:pPr>
      <w:rPr>
        <w:rFonts w:ascii="Symbol" w:hAnsi="Symbol" w:hint="default"/>
      </w:rPr>
    </w:lvl>
    <w:lvl w:ilvl="7" w:tplc="08130003" w:tentative="1">
      <w:start w:val="1"/>
      <w:numFmt w:val="bullet"/>
      <w:lvlText w:val="o"/>
      <w:lvlJc w:val="left"/>
      <w:pPr>
        <w:ind w:left="6752" w:hanging="360"/>
      </w:pPr>
      <w:rPr>
        <w:rFonts w:ascii="Courier New" w:hAnsi="Courier New" w:cs="Courier New" w:hint="default"/>
      </w:rPr>
    </w:lvl>
    <w:lvl w:ilvl="8" w:tplc="08130005" w:tentative="1">
      <w:start w:val="1"/>
      <w:numFmt w:val="bullet"/>
      <w:lvlText w:val=""/>
      <w:lvlJc w:val="left"/>
      <w:pPr>
        <w:ind w:left="7472" w:hanging="360"/>
      </w:pPr>
      <w:rPr>
        <w:rFonts w:ascii="Wingdings" w:hAnsi="Wingdings" w:hint="default"/>
      </w:rPr>
    </w:lvl>
  </w:abstractNum>
  <w:abstractNum w:abstractNumId="9">
    <w:nsid w:val="6CD6201A"/>
    <w:multiLevelType w:val="hybridMultilevel"/>
    <w:tmpl w:val="076E66A0"/>
    <w:lvl w:ilvl="0" w:tplc="08130001">
      <w:start w:val="1"/>
      <w:numFmt w:val="bullet"/>
      <w:lvlText w:val=""/>
      <w:lvlJc w:val="left"/>
      <w:pPr>
        <w:ind w:left="1712" w:hanging="360"/>
      </w:pPr>
      <w:rPr>
        <w:rFonts w:ascii="Symbol" w:hAnsi="Symbol" w:hint="default"/>
      </w:rPr>
    </w:lvl>
    <w:lvl w:ilvl="1" w:tplc="08130003" w:tentative="1">
      <w:start w:val="1"/>
      <w:numFmt w:val="bullet"/>
      <w:lvlText w:val="o"/>
      <w:lvlJc w:val="left"/>
      <w:pPr>
        <w:ind w:left="2432" w:hanging="360"/>
      </w:pPr>
      <w:rPr>
        <w:rFonts w:ascii="Courier New" w:hAnsi="Courier New" w:cs="Courier New" w:hint="default"/>
      </w:rPr>
    </w:lvl>
    <w:lvl w:ilvl="2" w:tplc="08130005" w:tentative="1">
      <w:start w:val="1"/>
      <w:numFmt w:val="bullet"/>
      <w:lvlText w:val=""/>
      <w:lvlJc w:val="left"/>
      <w:pPr>
        <w:ind w:left="3152" w:hanging="360"/>
      </w:pPr>
      <w:rPr>
        <w:rFonts w:ascii="Wingdings" w:hAnsi="Wingdings" w:hint="default"/>
      </w:rPr>
    </w:lvl>
    <w:lvl w:ilvl="3" w:tplc="08130001" w:tentative="1">
      <w:start w:val="1"/>
      <w:numFmt w:val="bullet"/>
      <w:lvlText w:val=""/>
      <w:lvlJc w:val="left"/>
      <w:pPr>
        <w:ind w:left="3872" w:hanging="360"/>
      </w:pPr>
      <w:rPr>
        <w:rFonts w:ascii="Symbol" w:hAnsi="Symbol" w:hint="default"/>
      </w:rPr>
    </w:lvl>
    <w:lvl w:ilvl="4" w:tplc="08130003" w:tentative="1">
      <w:start w:val="1"/>
      <w:numFmt w:val="bullet"/>
      <w:lvlText w:val="o"/>
      <w:lvlJc w:val="left"/>
      <w:pPr>
        <w:ind w:left="4592" w:hanging="360"/>
      </w:pPr>
      <w:rPr>
        <w:rFonts w:ascii="Courier New" w:hAnsi="Courier New" w:cs="Courier New" w:hint="default"/>
      </w:rPr>
    </w:lvl>
    <w:lvl w:ilvl="5" w:tplc="08130005" w:tentative="1">
      <w:start w:val="1"/>
      <w:numFmt w:val="bullet"/>
      <w:lvlText w:val=""/>
      <w:lvlJc w:val="left"/>
      <w:pPr>
        <w:ind w:left="5312" w:hanging="360"/>
      </w:pPr>
      <w:rPr>
        <w:rFonts w:ascii="Wingdings" w:hAnsi="Wingdings" w:hint="default"/>
      </w:rPr>
    </w:lvl>
    <w:lvl w:ilvl="6" w:tplc="08130001" w:tentative="1">
      <w:start w:val="1"/>
      <w:numFmt w:val="bullet"/>
      <w:lvlText w:val=""/>
      <w:lvlJc w:val="left"/>
      <w:pPr>
        <w:ind w:left="6032" w:hanging="360"/>
      </w:pPr>
      <w:rPr>
        <w:rFonts w:ascii="Symbol" w:hAnsi="Symbol" w:hint="default"/>
      </w:rPr>
    </w:lvl>
    <w:lvl w:ilvl="7" w:tplc="08130003" w:tentative="1">
      <w:start w:val="1"/>
      <w:numFmt w:val="bullet"/>
      <w:lvlText w:val="o"/>
      <w:lvlJc w:val="left"/>
      <w:pPr>
        <w:ind w:left="6752" w:hanging="360"/>
      </w:pPr>
      <w:rPr>
        <w:rFonts w:ascii="Courier New" w:hAnsi="Courier New" w:cs="Courier New" w:hint="default"/>
      </w:rPr>
    </w:lvl>
    <w:lvl w:ilvl="8" w:tplc="08130005" w:tentative="1">
      <w:start w:val="1"/>
      <w:numFmt w:val="bullet"/>
      <w:lvlText w:val=""/>
      <w:lvlJc w:val="left"/>
      <w:pPr>
        <w:ind w:left="7472" w:hanging="360"/>
      </w:pPr>
      <w:rPr>
        <w:rFonts w:ascii="Wingdings" w:hAnsi="Wingdings" w:hint="default"/>
      </w:rPr>
    </w:lvl>
  </w:abstractNum>
  <w:abstractNum w:abstractNumId="10">
    <w:nsid w:val="717029D3"/>
    <w:multiLevelType w:val="hybridMultilevel"/>
    <w:tmpl w:val="783E56A2"/>
    <w:lvl w:ilvl="0" w:tplc="08130001">
      <w:start w:val="1"/>
      <w:numFmt w:val="bullet"/>
      <w:lvlText w:val=""/>
      <w:lvlJc w:val="left"/>
      <w:pPr>
        <w:ind w:left="1712" w:hanging="360"/>
      </w:pPr>
      <w:rPr>
        <w:rFonts w:ascii="Symbol" w:hAnsi="Symbol" w:hint="default"/>
      </w:rPr>
    </w:lvl>
    <w:lvl w:ilvl="1" w:tplc="08130003" w:tentative="1">
      <w:start w:val="1"/>
      <w:numFmt w:val="bullet"/>
      <w:lvlText w:val="o"/>
      <w:lvlJc w:val="left"/>
      <w:pPr>
        <w:ind w:left="2432" w:hanging="360"/>
      </w:pPr>
      <w:rPr>
        <w:rFonts w:ascii="Courier New" w:hAnsi="Courier New" w:cs="Courier New" w:hint="default"/>
      </w:rPr>
    </w:lvl>
    <w:lvl w:ilvl="2" w:tplc="08130005" w:tentative="1">
      <w:start w:val="1"/>
      <w:numFmt w:val="bullet"/>
      <w:lvlText w:val=""/>
      <w:lvlJc w:val="left"/>
      <w:pPr>
        <w:ind w:left="3152" w:hanging="360"/>
      </w:pPr>
      <w:rPr>
        <w:rFonts w:ascii="Wingdings" w:hAnsi="Wingdings" w:hint="default"/>
      </w:rPr>
    </w:lvl>
    <w:lvl w:ilvl="3" w:tplc="08130001" w:tentative="1">
      <w:start w:val="1"/>
      <w:numFmt w:val="bullet"/>
      <w:lvlText w:val=""/>
      <w:lvlJc w:val="left"/>
      <w:pPr>
        <w:ind w:left="3872" w:hanging="360"/>
      </w:pPr>
      <w:rPr>
        <w:rFonts w:ascii="Symbol" w:hAnsi="Symbol" w:hint="default"/>
      </w:rPr>
    </w:lvl>
    <w:lvl w:ilvl="4" w:tplc="08130003" w:tentative="1">
      <w:start w:val="1"/>
      <w:numFmt w:val="bullet"/>
      <w:lvlText w:val="o"/>
      <w:lvlJc w:val="left"/>
      <w:pPr>
        <w:ind w:left="4592" w:hanging="360"/>
      </w:pPr>
      <w:rPr>
        <w:rFonts w:ascii="Courier New" w:hAnsi="Courier New" w:cs="Courier New" w:hint="default"/>
      </w:rPr>
    </w:lvl>
    <w:lvl w:ilvl="5" w:tplc="08130005" w:tentative="1">
      <w:start w:val="1"/>
      <w:numFmt w:val="bullet"/>
      <w:lvlText w:val=""/>
      <w:lvlJc w:val="left"/>
      <w:pPr>
        <w:ind w:left="5312" w:hanging="360"/>
      </w:pPr>
      <w:rPr>
        <w:rFonts w:ascii="Wingdings" w:hAnsi="Wingdings" w:hint="default"/>
      </w:rPr>
    </w:lvl>
    <w:lvl w:ilvl="6" w:tplc="08130001" w:tentative="1">
      <w:start w:val="1"/>
      <w:numFmt w:val="bullet"/>
      <w:lvlText w:val=""/>
      <w:lvlJc w:val="left"/>
      <w:pPr>
        <w:ind w:left="6032" w:hanging="360"/>
      </w:pPr>
      <w:rPr>
        <w:rFonts w:ascii="Symbol" w:hAnsi="Symbol" w:hint="default"/>
      </w:rPr>
    </w:lvl>
    <w:lvl w:ilvl="7" w:tplc="08130003" w:tentative="1">
      <w:start w:val="1"/>
      <w:numFmt w:val="bullet"/>
      <w:lvlText w:val="o"/>
      <w:lvlJc w:val="left"/>
      <w:pPr>
        <w:ind w:left="6752" w:hanging="360"/>
      </w:pPr>
      <w:rPr>
        <w:rFonts w:ascii="Courier New" w:hAnsi="Courier New" w:cs="Courier New" w:hint="default"/>
      </w:rPr>
    </w:lvl>
    <w:lvl w:ilvl="8" w:tplc="08130005" w:tentative="1">
      <w:start w:val="1"/>
      <w:numFmt w:val="bullet"/>
      <w:lvlText w:val=""/>
      <w:lvlJc w:val="left"/>
      <w:pPr>
        <w:ind w:left="7472" w:hanging="360"/>
      </w:pPr>
      <w:rPr>
        <w:rFonts w:ascii="Wingdings" w:hAnsi="Wingdings" w:hint="default"/>
      </w:rPr>
    </w:lvl>
  </w:abstractNum>
  <w:num w:numId="1">
    <w:abstractNumId w:val="0"/>
  </w:num>
  <w:num w:numId="2">
    <w:abstractNumId w:val="4"/>
  </w:num>
  <w:num w:numId="3">
    <w:abstractNumId w:val="3"/>
  </w:num>
  <w:num w:numId="4">
    <w:abstractNumId w:val="9"/>
  </w:num>
  <w:num w:numId="5">
    <w:abstractNumId w:val="8"/>
  </w:num>
  <w:num w:numId="6">
    <w:abstractNumId w:val="2"/>
  </w:num>
  <w:num w:numId="7">
    <w:abstractNumId w:val="10"/>
  </w:num>
  <w:num w:numId="8">
    <w:abstractNumId w:val="6"/>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C4"/>
    <w:rsid w:val="00001188"/>
    <w:rsid w:val="00017FD1"/>
    <w:rsid w:val="00020337"/>
    <w:rsid w:val="00067351"/>
    <w:rsid w:val="0007720A"/>
    <w:rsid w:val="001044FC"/>
    <w:rsid w:val="00145E8E"/>
    <w:rsid w:val="001572F2"/>
    <w:rsid w:val="00191CF8"/>
    <w:rsid w:val="001E36E6"/>
    <w:rsid w:val="00222803"/>
    <w:rsid w:val="00262D1E"/>
    <w:rsid w:val="00281858"/>
    <w:rsid w:val="00286C63"/>
    <w:rsid w:val="002D59DA"/>
    <w:rsid w:val="00326CB0"/>
    <w:rsid w:val="00334465"/>
    <w:rsid w:val="00340775"/>
    <w:rsid w:val="0038316D"/>
    <w:rsid w:val="0038517C"/>
    <w:rsid w:val="003915CA"/>
    <w:rsid w:val="0039284E"/>
    <w:rsid w:val="003A10F4"/>
    <w:rsid w:val="003A54AC"/>
    <w:rsid w:val="003C1BF8"/>
    <w:rsid w:val="003C3F4A"/>
    <w:rsid w:val="003C61B4"/>
    <w:rsid w:val="004278B1"/>
    <w:rsid w:val="0047091F"/>
    <w:rsid w:val="004F7511"/>
    <w:rsid w:val="004F75DC"/>
    <w:rsid w:val="0052230C"/>
    <w:rsid w:val="005235E3"/>
    <w:rsid w:val="00574F3C"/>
    <w:rsid w:val="005B005E"/>
    <w:rsid w:val="005B5013"/>
    <w:rsid w:val="0064576A"/>
    <w:rsid w:val="00673D3E"/>
    <w:rsid w:val="006917E1"/>
    <w:rsid w:val="006A6C5E"/>
    <w:rsid w:val="006A73EA"/>
    <w:rsid w:val="006C3542"/>
    <w:rsid w:val="006F3BB7"/>
    <w:rsid w:val="00727E16"/>
    <w:rsid w:val="007571D2"/>
    <w:rsid w:val="00770C2F"/>
    <w:rsid w:val="0077354C"/>
    <w:rsid w:val="00775C2F"/>
    <w:rsid w:val="00777C89"/>
    <w:rsid w:val="00791719"/>
    <w:rsid w:val="00820EEE"/>
    <w:rsid w:val="00830F8B"/>
    <w:rsid w:val="00856602"/>
    <w:rsid w:val="008D3EBD"/>
    <w:rsid w:val="009C1678"/>
    <w:rsid w:val="009C4391"/>
    <w:rsid w:val="00A20B2F"/>
    <w:rsid w:val="00A42FB1"/>
    <w:rsid w:val="00A64831"/>
    <w:rsid w:val="00A73521"/>
    <w:rsid w:val="00A9543A"/>
    <w:rsid w:val="00AC7A25"/>
    <w:rsid w:val="00B7736D"/>
    <w:rsid w:val="00B97593"/>
    <w:rsid w:val="00BE46FD"/>
    <w:rsid w:val="00C37A24"/>
    <w:rsid w:val="00C608CE"/>
    <w:rsid w:val="00C879D4"/>
    <w:rsid w:val="00CE168D"/>
    <w:rsid w:val="00CF64D1"/>
    <w:rsid w:val="00D01FB0"/>
    <w:rsid w:val="00D14EBE"/>
    <w:rsid w:val="00D1510A"/>
    <w:rsid w:val="00D24657"/>
    <w:rsid w:val="00D57A50"/>
    <w:rsid w:val="00D61FE6"/>
    <w:rsid w:val="00D651BD"/>
    <w:rsid w:val="00DB78A6"/>
    <w:rsid w:val="00E65043"/>
    <w:rsid w:val="00E67AD1"/>
    <w:rsid w:val="00EA7DF4"/>
    <w:rsid w:val="00EB3BE3"/>
    <w:rsid w:val="00EF1A60"/>
    <w:rsid w:val="00F1792B"/>
    <w:rsid w:val="00F5543C"/>
    <w:rsid w:val="00F56CC4"/>
    <w:rsid w:val="00F83524"/>
    <w:rsid w:val="00F8611A"/>
    <w:rsid w:val="00FB1D51"/>
    <w:rsid w:val="00FC36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9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CC4"/>
    <w:rPr>
      <w:rFonts w:ascii="Tahoma" w:hAnsi="Tahoma" w:cs="Tahoma"/>
      <w:sz w:val="16"/>
      <w:szCs w:val="16"/>
    </w:rPr>
  </w:style>
  <w:style w:type="paragraph" w:styleId="NoSpacing">
    <w:name w:val="No Spacing"/>
    <w:uiPriority w:val="1"/>
    <w:qFormat/>
    <w:rsid w:val="00F56CC4"/>
    <w:rPr>
      <w:sz w:val="22"/>
      <w:szCs w:val="22"/>
      <w:lang w:val="en-US" w:eastAsia="en-US"/>
    </w:rPr>
  </w:style>
  <w:style w:type="character" w:styleId="Hyperlink">
    <w:name w:val="Hyperlink"/>
    <w:basedOn w:val="DefaultParagraphFont"/>
    <w:uiPriority w:val="99"/>
    <w:unhideWhenUsed/>
    <w:rsid w:val="00A20B2F"/>
    <w:rPr>
      <w:color w:val="0000FF"/>
      <w:u w:val="single"/>
    </w:rPr>
  </w:style>
  <w:style w:type="paragraph" w:styleId="Footer">
    <w:name w:val="footer"/>
    <w:basedOn w:val="Normal"/>
    <w:link w:val="FooterChar"/>
    <w:uiPriority w:val="99"/>
    <w:unhideWhenUsed/>
    <w:rsid w:val="00AC7A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A25"/>
  </w:style>
  <w:style w:type="paragraph" w:styleId="Header">
    <w:name w:val="header"/>
    <w:basedOn w:val="Normal"/>
    <w:link w:val="HeaderChar"/>
    <w:uiPriority w:val="99"/>
    <w:semiHidden/>
    <w:unhideWhenUsed/>
    <w:rsid w:val="0077354C"/>
    <w:pPr>
      <w:tabs>
        <w:tab w:val="center" w:pos="4536"/>
        <w:tab w:val="right" w:pos="9072"/>
      </w:tabs>
    </w:pPr>
  </w:style>
  <w:style w:type="character" w:customStyle="1" w:styleId="HeaderChar">
    <w:name w:val="Header Char"/>
    <w:basedOn w:val="DefaultParagraphFont"/>
    <w:link w:val="Header"/>
    <w:uiPriority w:val="99"/>
    <w:semiHidden/>
    <w:rsid w:val="0077354C"/>
    <w:rPr>
      <w:sz w:val="22"/>
      <w:szCs w:val="22"/>
      <w:lang w:val="en-US" w:eastAsia="en-US"/>
    </w:rPr>
  </w:style>
  <w:style w:type="paragraph" w:styleId="ListParagraph">
    <w:name w:val="List Paragraph"/>
    <w:basedOn w:val="Normal"/>
    <w:uiPriority w:val="34"/>
    <w:qFormat/>
    <w:rsid w:val="00A64831"/>
    <w:pPr>
      <w:ind w:left="720"/>
      <w:contextualSpacing/>
    </w:pPr>
  </w:style>
  <w:style w:type="paragraph" w:customStyle="1" w:styleId="Intro">
    <w:name w:val="Intro"/>
    <w:basedOn w:val="Normal"/>
    <w:rsid w:val="00FB1D51"/>
    <w:pPr>
      <w:snapToGrid w:val="0"/>
      <w:spacing w:after="0" w:line="240" w:lineRule="auto"/>
      <w:jc w:val="both"/>
    </w:pPr>
    <w:rPr>
      <w:rFonts w:ascii="Arial" w:eastAsia="Times New Roman" w:hAnsi="Arial"/>
      <w:b/>
      <w:bCs/>
      <w:sz w:val="20"/>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9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CC4"/>
    <w:rPr>
      <w:rFonts w:ascii="Tahoma" w:hAnsi="Tahoma" w:cs="Tahoma"/>
      <w:sz w:val="16"/>
      <w:szCs w:val="16"/>
    </w:rPr>
  </w:style>
  <w:style w:type="paragraph" w:styleId="NoSpacing">
    <w:name w:val="No Spacing"/>
    <w:uiPriority w:val="1"/>
    <w:qFormat/>
    <w:rsid w:val="00F56CC4"/>
    <w:rPr>
      <w:sz w:val="22"/>
      <w:szCs w:val="22"/>
      <w:lang w:val="en-US" w:eastAsia="en-US"/>
    </w:rPr>
  </w:style>
  <w:style w:type="character" w:styleId="Hyperlink">
    <w:name w:val="Hyperlink"/>
    <w:basedOn w:val="DefaultParagraphFont"/>
    <w:uiPriority w:val="99"/>
    <w:unhideWhenUsed/>
    <w:rsid w:val="00A20B2F"/>
    <w:rPr>
      <w:color w:val="0000FF"/>
      <w:u w:val="single"/>
    </w:rPr>
  </w:style>
  <w:style w:type="paragraph" w:styleId="Footer">
    <w:name w:val="footer"/>
    <w:basedOn w:val="Normal"/>
    <w:link w:val="FooterChar"/>
    <w:uiPriority w:val="99"/>
    <w:unhideWhenUsed/>
    <w:rsid w:val="00AC7A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A25"/>
  </w:style>
  <w:style w:type="paragraph" w:styleId="Header">
    <w:name w:val="header"/>
    <w:basedOn w:val="Normal"/>
    <w:link w:val="HeaderChar"/>
    <w:uiPriority w:val="99"/>
    <w:semiHidden/>
    <w:unhideWhenUsed/>
    <w:rsid w:val="0077354C"/>
    <w:pPr>
      <w:tabs>
        <w:tab w:val="center" w:pos="4536"/>
        <w:tab w:val="right" w:pos="9072"/>
      </w:tabs>
    </w:pPr>
  </w:style>
  <w:style w:type="character" w:customStyle="1" w:styleId="HeaderChar">
    <w:name w:val="Header Char"/>
    <w:basedOn w:val="DefaultParagraphFont"/>
    <w:link w:val="Header"/>
    <w:uiPriority w:val="99"/>
    <w:semiHidden/>
    <w:rsid w:val="0077354C"/>
    <w:rPr>
      <w:sz w:val="22"/>
      <w:szCs w:val="22"/>
      <w:lang w:val="en-US" w:eastAsia="en-US"/>
    </w:rPr>
  </w:style>
  <w:style w:type="paragraph" w:styleId="ListParagraph">
    <w:name w:val="List Paragraph"/>
    <w:basedOn w:val="Normal"/>
    <w:uiPriority w:val="34"/>
    <w:qFormat/>
    <w:rsid w:val="00A64831"/>
    <w:pPr>
      <w:ind w:left="720"/>
      <w:contextualSpacing/>
    </w:pPr>
  </w:style>
  <w:style w:type="paragraph" w:customStyle="1" w:styleId="Intro">
    <w:name w:val="Intro"/>
    <w:basedOn w:val="Normal"/>
    <w:rsid w:val="00FB1D51"/>
    <w:pPr>
      <w:snapToGrid w:val="0"/>
      <w:spacing w:after="0" w:line="240" w:lineRule="auto"/>
      <w:jc w:val="both"/>
    </w:pPr>
    <w:rPr>
      <w:rFonts w:ascii="Arial" w:eastAsia="Times New Roman" w:hAnsi="Arial"/>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9482">
      <w:bodyDiv w:val="1"/>
      <w:marLeft w:val="0"/>
      <w:marRight w:val="0"/>
      <w:marTop w:val="0"/>
      <w:marBottom w:val="0"/>
      <w:divBdr>
        <w:top w:val="none" w:sz="0" w:space="0" w:color="auto"/>
        <w:left w:val="none" w:sz="0" w:space="0" w:color="auto"/>
        <w:bottom w:val="none" w:sz="0" w:space="0" w:color="auto"/>
        <w:right w:val="none" w:sz="0" w:space="0" w:color="auto"/>
      </w:divBdr>
    </w:div>
    <w:div w:id="107552586">
      <w:bodyDiv w:val="1"/>
      <w:marLeft w:val="0"/>
      <w:marRight w:val="0"/>
      <w:marTop w:val="0"/>
      <w:marBottom w:val="0"/>
      <w:divBdr>
        <w:top w:val="none" w:sz="0" w:space="0" w:color="auto"/>
        <w:left w:val="none" w:sz="0" w:space="0" w:color="auto"/>
        <w:bottom w:val="none" w:sz="0" w:space="0" w:color="auto"/>
        <w:right w:val="none" w:sz="0" w:space="0" w:color="auto"/>
      </w:divBdr>
    </w:div>
    <w:div w:id="110439204">
      <w:bodyDiv w:val="1"/>
      <w:marLeft w:val="0"/>
      <w:marRight w:val="0"/>
      <w:marTop w:val="0"/>
      <w:marBottom w:val="0"/>
      <w:divBdr>
        <w:top w:val="none" w:sz="0" w:space="0" w:color="auto"/>
        <w:left w:val="none" w:sz="0" w:space="0" w:color="auto"/>
        <w:bottom w:val="none" w:sz="0" w:space="0" w:color="auto"/>
        <w:right w:val="none" w:sz="0" w:space="0" w:color="auto"/>
      </w:divBdr>
    </w:div>
    <w:div w:id="119345608">
      <w:bodyDiv w:val="1"/>
      <w:marLeft w:val="0"/>
      <w:marRight w:val="0"/>
      <w:marTop w:val="0"/>
      <w:marBottom w:val="0"/>
      <w:divBdr>
        <w:top w:val="none" w:sz="0" w:space="0" w:color="auto"/>
        <w:left w:val="none" w:sz="0" w:space="0" w:color="auto"/>
        <w:bottom w:val="none" w:sz="0" w:space="0" w:color="auto"/>
        <w:right w:val="none" w:sz="0" w:space="0" w:color="auto"/>
      </w:divBdr>
    </w:div>
    <w:div w:id="264312381">
      <w:bodyDiv w:val="1"/>
      <w:marLeft w:val="0"/>
      <w:marRight w:val="0"/>
      <w:marTop w:val="0"/>
      <w:marBottom w:val="0"/>
      <w:divBdr>
        <w:top w:val="none" w:sz="0" w:space="0" w:color="auto"/>
        <w:left w:val="none" w:sz="0" w:space="0" w:color="auto"/>
        <w:bottom w:val="none" w:sz="0" w:space="0" w:color="auto"/>
        <w:right w:val="none" w:sz="0" w:space="0" w:color="auto"/>
      </w:divBdr>
    </w:div>
    <w:div w:id="343437285">
      <w:bodyDiv w:val="1"/>
      <w:marLeft w:val="0"/>
      <w:marRight w:val="0"/>
      <w:marTop w:val="0"/>
      <w:marBottom w:val="0"/>
      <w:divBdr>
        <w:top w:val="none" w:sz="0" w:space="0" w:color="auto"/>
        <w:left w:val="none" w:sz="0" w:space="0" w:color="auto"/>
        <w:bottom w:val="none" w:sz="0" w:space="0" w:color="auto"/>
        <w:right w:val="none" w:sz="0" w:space="0" w:color="auto"/>
      </w:divBdr>
      <w:divsChild>
        <w:div w:id="1474248882">
          <w:marLeft w:val="547"/>
          <w:marRight w:val="0"/>
          <w:marTop w:val="0"/>
          <w:marBottom w:val="0"/>
          <w:divBdr>
            <w:top w:val="none" w:sz="0" w:space="0" w:color="auto"/>
            <w:left w:val="none" w:sz="0" w:space="0" w:color="auto"/>
            <w:bottom w:val="none" w:sz="0" w:space="0" w:color="auto"/>
            <w:right w:val="none" w:sz="0" w:space="0" w:color="auto"/>
          </w:divBdr>
        </w:div>
      </w:divsChild>
    </w:div>
    <w:div w:id="423722550">
      <w:bodyDiv w:val="1"/>
      <w:marLeft w:val="0"/>
      <w:marRight w:val="0"/>
      <w:marTop w:val="0"/>
      <w:marBottom w:val="0"/>
      <w:divBdr>
        <w:top w:val="none" w:sz="0" w:space="0" w:color="auto"/>
        <w:left w:val="none" w:sz="0" w:space="0" w:color="auto"/>
        <w:bottom w:val="none" w:sz="0" w:space="0" w:color="auto"/>
        <w:right w:val="none" w:sz="0" w:space="0" w:color="auto"/>
      </w:divBdr>
    </w:div>
    <w:div w:id="465121634">
      <w:bodyDiv w:val="1"/>
      <w:marLeft w:val="0"/>
      <w:marRight w:val="0"/>
      <w:marTop w:val="0"/>
      <w:marBottom w:val="0"/>
      <w:divBdr>
        <w:top w:val="none" w:sz="0" w:space="0" w:color="auto"/>
        <w:left w:val="none" w:sz="0" w:space="0" w:color="auto"/>
        <w:bottom w:val="none" w:sz="0" w:space="0" w:color="auto"/>
        <w:right w:val="none" w:sz="0" w:space="0" w:color="auto"/>
      </w:divBdr>
    </w:div>
    <w:div w:id="465314906">
      <w:bodyDiv w:val="1"/>
      <w:marLeft w:val="0"/>
      <w:marRight w:val="0"/>
      <w:marTop w:val="0"/>
      <w:marBottom w:val="0"/>
      <w:divBdr>
        <w:top w:val="none" w:sz="0" w:space="0" w:color="auto"/>
        <w:left w:val="none" w:sz="0" w:space="0" w:color="auto"/>
        <w:bottom w:val="none" w:sz="0" w:space="0" w:color="auto"/>
        <w:right w:val="none" w:sz="0" w:space="0" w:color="auto"/>
      </w:divBdr>
    </w:div>
    <w:div w:id="473791143">
      <w:bodyDiv w:val="1"/>
      <w:marLeft w:val="0"/>
      <w:marRight w:val="0"/>
      <w:marTop w:val="0"/>
      <w:marBottom w:val="0"/>
      <w:divBdr>
        <w:top w:val="none" w:sz="0" w:space="0" w:color="auto"/>
        <w:left w:val="none" w:sz="0" w:space="0" w:color="auto"/>
        <w:bottom w:val="none" w:sz="0" w:space="0" w:color="auto"/>
        <w:right w:val="none" w:sz="0" w:space="0" w:color="auto"/>
      </w:divBdr>
    </w:div>
    <w:div w:id="480124937">
      <w:bodyDiv w:val="1"/>
      <w:marLeft w:val="0"/>
      <w:marRight w:val="0"/>
      <w:marTop w:val="0"/>
      <w:marBottom w:val="0"/>
      <w:divBdr>
        <w:top w:val="none" w:sz="0" w:space="0" w:color="auto"/>
        <w:left w:val="none" w:sz="0" w:space="0" w:color="auto"/>
        <w:bottom w:val="none" w:sz="0" w:space="0" w:color="auto"/>
        <w:right w:val="none" w:sz="0" w:space="0" w:color="auto"/>
      </w:divBdr>
      <w:divsChild>
        <w:div w:id="1274436111">
          <w:marLeft w:val="547"/>
          <w:marRight w:val="0"/>
          <w:marTop w:val="0"/>
          <w:marBottom w:val="0"/>
          <w:divBdr>
            <w:top w:val="none" w:sz="0" w:space="0" w:color="auto"/>
            <w:left w:val="none" w:sz="0" w:space="0" w:color="auto"/>
            <w:bottom w:val="none" w:sz="0" w:space="0" w:color="auto"/>
            <w:right w:val="none" w:sz="0" w:space="0" w:color="auto"/>
          </w:divBdr>
        </w:div>
      </w:divsChild>
    </w:div>
    <w:div w:id="507716422">
      <w:bodyDiv w:val="1"/>
      <w:marLeft w:val="0"/>
      <w:marRight w:val="0"/>
      <w:marTop w:val="0"/>
      <w:marBottom w:val="0"/>
      <w:divBdr>
        <w:top w:val="none" w:sz="0" w:space="0" w:color="auto"/>
        <w:left w:val="none" w:sz="0" w:space="0" w:color="auto"/>
        <w:bottom w:val="none" w:sz="0" w:space="0" w:color="auto"/>
        <w:right w:val="none" w:sz="0" w:space="0" w:color="auto"/>
      </w:divBdr>
    </w:div>
    <w:div w:id="515265519">
      <w:bodyDiv w:val="1"/>
      <w:marLeft w:val="0"/>
      <w:marRight w:val="0"/>
      <w:marTop w:val="0"/>
      <w:marBottom w:val="0"/>
      <w:divBdr>
        <w:top w:val="none" w:sz="0" w:space="0" w:color="auto"/>
        <w:left w:val="none" w:sz="0" w:space="0" w:color="auto"/>
        <w:bottom w:val="none" w:sz="0" w:space="0" w:color="auto"/>
        <w:right w:val="none" w:sz="0" w:space="0" w:color="auto"/>
      </w:divBdr>
    </w:div>
    <w:div w:id="545530382">
      <w:bodyDiv w:val="1"/>
      <w:marLeft w:val="0"/>
      <w:marRight w:val="0"/>
      <w:marTop w:val="0"/>
      <w:marBottom w:val="0"/>
      <w:divBdr>
        <w:top w:val="none" w:sz="0" w:space="0" w:color="auto"/>
        <w:left w:val="none" w:sz="0" w:space="0" w:color="auto"/>
        <w:bottom w:val="none" w:sz="0" w:space="0" w:color="auto"/>
        <w:right w:val="none" w:sz="0" w:space="0" w:color="auto"/>
      </w:divBdr>
    </w:div>
    <w:div w:id="553584492">
      <w:bodyDiv w:val="1"/>
      <w:marLeft w:val="0"/>
      <w:marRight w:val="0"/>
      <w:marTop w:val="0"/>
      <w:marBottom w:val="0"/>
      <w:divBdr>
        <w:top w:val="none" w:sz="0" w:space="0" w:color="auto"/>
        <w:left w:val="none" w:sz="0" w:space="0" w:color="auto"/>
        <w:bottom w:val="none" w:sz="0" w:space="0" w:color="auto"/>
        <w:right w:val="none" w:sz="0" w:space="0" w:color="auto"/>
      </w:divBdr>
    </w:div>
    <w:div w:id="614142564">
      <w:bodyDiv w:val="1"/>
      <w:marLeft w:val="0"/>
      <w:marRight w:val="0"/>
      <w:marTop w:val="0"/>
      <w:marBottom w:val="0"/>
      <w:divBdr>
        <w:top w:val="none" w:sz="0" w:space="0" w:color="auto"/>
        <w:left w:val="none" w:sz="0" w:space="0" w:color="auto"/>
        <w:bottom w:val="none" w:sz="0" w:space="0" w:color="auto"/>
        <w:right w:val="none" w:sz="0" w:space="0" w:color="auto"/>
      </w:divBdr>
    </w:div>
    <w:div w:id="627660029">
      <w:bodyDiv w:val="1"/>
      <w:marLeft w:val="0"/>
      <w:marRight w:val="0"/>
      <w:marTop w:val="0"/>
      <w:marBottom w:val="0"/>
      <w:divBdr>
        <w:top w:val="none" w:sz="0" w:space="0" w:color="auto"/>
        <w:left w:val="none" w:sz="0" w:space="0" w:color="auto"/>
        <w:bottom w:val="none" w:sz="0" w:space="0" w:color="auto"/>
        <w:right w:val="none" w:sz="0" w:space="0" w:color="auto"/>
      </w:divBdr>
    </w:div>
    <w:div w:id="650594629">
      <w:bodyDiv w:val="1"/>
      <w:marLeft w:val="0"/>
      <w:marRight w:val="0"/>
      <w:marTop w:val="0"/>
      <w:marBottom w:val="0"/>
      <w:divBdr>
        <w:top w:val="none" w:sz="0" w:space="0" w:color="auto"/>
        <w:left w:val="none" w:sz="0" w:space="0" w:color="auto"/>
        <w:bottom w:val="none" w:sz="0" w:space="0" w:color="auto"/>
        <w:right w:val="none" w:sz="0" w:space="0" w:color="auto"/>
      </w:divBdr>
    </w:div>
    <w:div w:id="702677883">
      <w:bodyDiv w:val="1"/>
      <w:marLeft w:val="0"/>
      <w:marRight w:val="0"/>
      <w:marTop w:val="0"/>
      <w:marBottom w:val="0"/>
      <w:divBdr>
        <w:top w:val="none" w:sz="0" w:space="0" w:color="auto"/>
        <w:left w:val="none" w:sz="0" w:space="0" w:color="auto"/>
        <w:bottom w:val="none" w:sz="0" w:space="0" w:color="auto"/>
        <w:right w:val="none" w:sz="0" w:space="0" w:color="auto"/>
      </w:divBdr>
    </w:div>
    <w:div w:id="767585476">
      <w:bodyDiv w:val="1"/>
      <w:marLeft w:val="0"/>
      <w:marRight w:val="0"/>
      <w:marTop w:val="0"/>
      <w:marBottom w:val="0"/>
      <w:divBdr>
        <w:top w:val="none" w:sz="0" w:space="0" w:color="auto"/>
        <w:left w:val="none" w:sz="0" w:space="0" w:color="auto"/>
        <w:bottom w:val="none" w:sz="0" w:space="0" w:color="auto"/>
        <w:right w:val="none" w:sz="0" w:space="0" w:color="auto"/>
      </w:divBdr>
      <w:divsChild>
        <w:div w:id="335622068">
          <w:marLeft w:val="547"/>
          <w:marRight w:val="0"/>
          <w:marTop w:val="0"/>
          <w:marBottom w:val="0"/>
          <w:divBdr>
            <w:top w:val="none" w:sz="0" w:space="0" w:color="auto"/>
            <w:left w:val="none" w:sz="0" w:space="0" w:color="auto"/>
            <w:bottom w:val="none" w:sz="0" w:space="0" w:color="auto"/>
            <w:right w:val="none" w:sz="0" w:space="0" w:color="auto"/>
          </w:divBdr>
        </w:div>
      </w:divsChild>
    </w:div>
    <w:div w:id="798033615">
      <w:bodyDiv w:val="1"/>
      <w:marLeft w:val="0"/>
      <w:marRight w:val="0"/>
      <w:marTop w:val="0"/>
      <w:marBottom w:val="0"/>
      <w:divBdr>
        <w:top w:val="none" w:sz="0" w:space="0" w:color="auto"/>
        <w:left w:val="none" w:sz="0" w:space="0" w:color="auto"/>
        <w:bottom w:val="none" w:sz="0" w:space="0" w:color="auto"/>
        <w:right w:val="none" w:sz="0" w:space="0" w:color="auto"/>
      </w:divBdr>
    </w:div>
    <w:div w:id="840587142">
      <w:bodyDiv w:val="1"/>
      <w:marLeft w:val="0"/>
      <w:marRight w:val="0"/>
      <w:marTop w:val="0"/>
      <w:marBottom w:val="0"/>
      <w:divBdr>
        <w:top w:val="none" w:sz="0" w:space="0" w:color="auto"/>
        <w:left w:val="none" w:sz="0" w:space="0" w:color="auto"/>
        <w:bottom w:val="none" w:sz="0" w:space="0" w:color="auto"/>
        <w:right w:val="none" w:sz="0" w:space="0" w:color="auto"/>
      </w:divBdr>
    </w:div>
    <w:div w:id="860436153">
      <w:bodyDiv w:val="1"/>
      <w:marLeft w:val="0"/>
      <w:marRight w:val="0"/>
      <w:marTop w:val="0"/>
      <w:marBottom w:val="0"/>
      <w:divBdr>
        <w:top w:val="none" w:sz="0" w:space="0" w:color="auto"/>
        <w:left w:val="none" w:sz="0" w:space="0" w:color="auto"/>
        <w:bottom w:val="none" w:sz="0" w:space="0" w:color="auto"/>
        <w:right w:val="none" w:sz="0" w:space="0" w:color="auto"/>
      </w:divBdr>
    </w:div>
    <w:div w:id="867447167">
      <w:bodyDiv w:val="1"/>
      <w:marLeft w:val="0"/>
      <w:marRight w:val="0"/>
      <w:marTop w:val="0"/>
      <w:marBottom w:val="0"/>
      <w:divBdr>
        <w:top w:val="none" w:sz="0" w:space="0" w:color="auto"/>
        <w:left w:val="none" w:sz="0" w:space="0" w:color="auto"/>
        <w:bottom w:val="none" w:sz="0" w:space="0" w:color="auto"/>
        <w:right w:val="none" w:sz="0" w:space="0" w:color="auto"/>
      </w:divBdr>
    </w:div>
    <w:div w:id="873541323">
      <w:bodyDiv w:val="1"/>
      <w:marLeft w:val="0"/>
      <w:marRight w:val="0"/>
      <w:marTop w:val="0"/>
      <w:marBottom w:val="0"/>
      <w:divBdr>
        <w:top w:val="none" w:sz="0" w:space="0" w:color="auto"/>
        <w:left w:val="none" w:sz="0" w:space="0" w:color="auto"/>
        <w:bottom w:val="none" w:sz="0" w:space="0" w:color="auto"/>
        <w:right w:val="none" w:sz="0" w:space="0" w:color="auto"/>
      </w:divBdr>
    </w:div>
    <w:div w:id="884636812">
      <w:bodyDiv w:val="1"/>
      <w:marLeft w:val="0"/>
      <w:marRight w:val="0"/>
      <w:marTop w:val="0"/>
      <w:marBottom w:val="0"/>
      <w:divBdr>
        <w:top w:val="none" w:sz="0" w:space="0" w:color="auto"/>
        <w:left w:val="none" w:sz="0" w:space="0" w:color="auto"/>
        <w:bottom w:val="none" w:sz="0" w:space="0" w:color="auto"/>
        <w:right w:val="none" w:sz="0" w:space="0" w:color="auto"/>
      </w:divBdr>
    </w:div>
    <w:div w:id="951593337">
      <w:bodyDiv w:val="1"/>
      <w:marLeft w:val="0"/>
      <w:marRight w:val="0"/>
      <w:marTop w:val="0"/>
      <w:marBottom w:val="0"/>
      <w:divBdr>
        <w:top w:val="none" w:sz="0" w:space="0" w:color="auto"/>
        <w:left w:val="none" w:sz="0" w:space="0" w:color="auto"/>
        <w:bottom w:val="none" w:sz="0" w:space="0" w:color="auto"/>
        <w:right w:val="none" w:sz="0" w:space="0" w:color="auto"/>
      </w:divBdr>
    </w:div>
    <w:div w:id="956445378">
      <w:bodyDiv w:val="1"/>
      <w:marLeft w:val="0"/>
      <w:marRight w:val="0"/>
      <w:marTop w:val="0"/>
      <w:marBottom w:val="0"/>
      <w:divBdr>
        <w:top w:val="none" w:sz="0" w:space="0" w:color="auto"/>
        <w:left w:val="none" w:sz="0" w:space="0" w:color="auto"/>
        <w:bottom w:val="none" w:sz="0" w:space="0" w:color="auto"/>
        <w:right w:val="none" w:sz="0" w:space="0" w:color="auto"/>
      </w:divBdr>
    </w:div>
    <w:div w:id="972098875">
      <w:bodyDiv w:val="1"/>
      <w:marLeft w:val="0"/>
      <w:marRight w:val="0"/>
      <w:marTop w:val="0"/>
      <w:marBottom w:val="0"/>
      <w:divBdr>
        <w:top w:val="none" w:sz="0" w:space="0" w:color="auto"/>
        <w:left w:val="none" w:sz="0" w:space="0" w:color="auto"/>
        <w:bottom w:val="none" w:sz="0" w:space="0" w:color="auto"/>
        <w:right w:val="none" w:sz="0" w:space="0" w:color="auto"/>
      </w:divBdr>
    </w:div>
    <w:div w:id="974331167">
      <w:bodyDiv w:val="1"/>
      <w:marLeft w:val="0"/>
      <w:marRight w:val="0"/>
      <w:marTop w:val="0"/>
      <w:marBottom w:val="0"/>
      <w:divBdr>
        <w:top w:val="none" w:sz="0" w:space="0" w:color="auto"/>
        <w:left w:val="none" w:sz="0" w:space="0" w:color="auto"/>
        <w:bottom w:val="none" w:sz="0" w:space="0" w:color="auto"/>
        <w:right w:val="none" w:sz="0" w:space="0" w:color="auto"/>
      </w:divBdr>
    </w:div>
    <w:div w:id="1025525165">
      <w:bodyDiv w:val="1"/>
      <w:marLeft w:val="0"/>
      <w:marRight w:val="0"/>
      <w:marTop w:val="0"/>
      <w:marBottom w:val="0"/>
      <w:divBdr>
        <w:top w:val="none" w:sz="0" w:space="0" w:color="auto"/>
        <w:left w:val="none" w:sz="0" w:space="0" w:color="auto"/>
        <w:bottom w:val="none" w:sz="0" w:space="0" w:color="auto"/>
        <w:right w:val="none" w:sz="0" w:space="0" w:color="auto"/>
      </w:divBdr>
    </w:div>
    <w:div w:id="1027872480">
      <w:bodyDiv w:val="1"/>
      <w:marLeft w:val="0"/>
      <w:marRight w:val="0"/>
      <w:marTop w:val="0"/>
      <w:marBottom w:val="0"/>
      <w:divBdr>
        <w:top w:val="none" w:sz="0" w:space="0" w:color="auto"/>
        <w:left w:val="none" w:sz="0" w:space="0" w:color="auto"/>
        <w:bottom w:val="none" w:sz="0" w:space="0" w:color="auto"/>
        <w:right w:val="none" w:sz="0" w:space="0" w:color="auto"/>
      </w:divBdr>
    </w:div>
    <w:div w:id="1071732065">
      <w:bodyDiv w:val="1"/>
      <w:marLeft w:val="0"/>
      <w:marRight w:val="0"/>
      <w:marTop w:val="0"/>
      <w:marBottom w:val="0"/>
      <w:divBdr>
        <w:top w:val="none" w:sz="0" w:space="0" w:color="auto"/>
        <w:left w:val="none" w:sz="0" w:space="0" w:color="auto"/>
        <w:bottom w:val="none" w:sz="0" w:space="0" w:color="auto"/>
        <w:right w:val="none" w:sz="0" w:space="0" w:color="auto"/>
      </w:divBdr>
    </w:div>
    <w:div w:id="1088843351">
      <w:bodyDiv w:val="1"/>
      <w:marLeft w:val="0"/>
      <w:marRight w:val="0"/>
      <w:marTop w:val="0"/>
      <w:marBottom w:val="0"/>
      <w:divBdr>
        <w:top w:val="none" w:sz="0" w:space="0" w:color="auto"/>
        <w:left w:val="none" w:sz="0" w:space="0" w:color="auto"/>
        <w:bottom w:val="none" w:sz="0" w:space="0" w:color="auto"/>
        <w:right w:val="none" w:sz="0" w:space="0" w:color="auto"/>
      </w:divBdr>
    </w:div>
    <w:div w:id="1209025046">
      <w:bodyDiv w:val="1"/>
      <w:marLeft w:val="0"/>
      <w:marRight w:val="0"/>
      <w:marTop w:val="0"/>
      <w:marBottom w:val="0"/>
      <w:divBdr>
        <w:top w:val="none" w:sz="0" w:space="0" w:color="auto"/>
        <w:left w:val="none" w:sz="0" w:space="0" w:color="auto"/>
        <w:bottom w:val="none" w:sz="0" w:space="0" w:color="auto"/>
        <w:right w:val="none" w:sz="0" w:space="0" w:color="auto"/>
      </w:divBdr>
    </w:div>
    <w:div w:id="1217468555">
      <w:bodyDiv w:val="1"/>
      <w:marLeft w:val="0"/>
      <w:marRight w:val="0"/>
      <w:marTop w:val="0"/>
      <w:marBottom w:val="0"/>
      <w:divBdr>
        <w:top w:val="none" w:sz="0" w:space="0" w:color="auto"/>
        <w:left w:val="none" w:sz="0" w:space="0" w:color="auto"/>
        <w:bottom w:val="none" w:sz="0" w:space="0" w:color="auto"/>
        <w:right w:val="none" w:sz="0" w:space="0" w:color="auto"/>
      </w:divBdr>
    </w:div>
    <w:div w:id="1246114985">
      <w:bodyDiv w:val="1"/>
      <w:marLeft w:val="0"/>
      <w:marRight w:val="0"/>
      <w:marTop w:val="0"/>
      <w:marBottom w:val="0"/>
      <w:divBdr>
        <w:top w:val="none" w:sz="0" w:space="0" w:color="auto"/>
        <w:left w:val="none" w:sz="0" w:space="0" w:color="auto"/>
        <w:bottom w:val="none" w:sz="0" w:space="0" w:color="auto"/>
        <w:right w:val="none" w:sz="0" w:space="0" w:color="auto"/>
      </w:divBdr>
    </w:div>
    <w:div w:id="1264534817">
      <w:bodyDiv w:val="1"/>
      <w:marLeft w:val="0"/>
      <w:marRight w:val="0"/>
      <w:marTop w:val="0"/>
      <w:marBottom w:val="0"/>
      <w:divBdr>
        <w:top w:val="none" w:sz="0" w:space="0" w:color="auto"/>
        <w:left w:val="none" w:sz="0" w:space="0" w:color="auto"/>
        <w:bottom w:val="none" w:sz="0" w:space="0" w:color="auto"/>
        <w:right w:val="none" w:sz="0" w:space="0" w:color="auto"/>
      </w:divBdr>
    </w:div>
    <w:div w:id="1320309217">
      <w:bodyDiv w:val="1"/>
      <w:marLeft w:val="0"/>
      <w:marRight w:val="0"/>
      <w:marTop w:val="0"/>
      <w:marBottom w:val="0"/>
      <w:divBdr>
        <w:top w:val="none" w:sz="0" w:space="0" w:color="auto"/>
        <w:left w:val="none" w:sz="0" w:space="0" w:color="auto"/>
        <w:bottom w:val="none" w:sz="0" w:space="0" w:color="auto"/>
        <w:right w:val="none" w:sz="0" w:space="0" w:color="auto"/>
      </w:divBdr>
    </w:div>
    <w:div w:id="1346977840">
      <w:bodyDiv w:val="1"/>
      <w:marLeft w:val="0"/>
      <w:marRight w:val="0"/>
      <w:marTop w:val="0"/>
      <w:marBottom w:val="0"/>
      <w:divBdr>
        <w:top w:val="none" w:sz="0" w:space="0" w:color="auto"/>
        <w:left w:val="none" w:sz="0" w:space="0" w:color="auto"/>
        <w:bottom w:val="none" w:sz="0" w:space="0" w:color="auto"/>
        <w:right w:val="none" w:sz="0" w:space="0" w:color="auto"/>
      </w:divBdr>
    </w:div>
    <w:div w:id="1389567530">
      <w:bodyDiv w:val="1"/>
      <w:marLeft w:val="0"/>
      <w:marRight w:val="0"/>
      <w:marTop w:val="0"/>
      <w:marBottom w:val="0"/>
      <w:divBdr>
        <w:top w:val="none" w:sz="0" w:space="0" w:color="auto"/>
        <w:left w:val="none" w:sz="0" w:space="0" w:color="auto"/>
        <w:bottom w:val="none" w:sz="0" w:space="0" w:color="auto"/>
        <w:right w:val="none" w:sz="0" w:space="0" w:color="auto"/>
      </w:divBdr>
      <w:divsChild>
        <w:div w:id="1481573732">
          <w:marLeft w:val="547"/>
          <w:marRight w:val="0"/>
          <w:marTop w:val="0"/>
          <w:marBottom w:val="0"/>
          <w:divBdr>
            <w:top w:val="none" w:sz="0" w:space="0" w:color="auto"/>
            <w:left w:val="none" w:sz="0" w:space="0" w:color="auto"/>
            <w:bottom w:val="none" w:sz="0" w:space="0" w:color="auto"/>
            <w:right w:val="none" w:sz="0" w:space="0" w:color="auto"/>
          </w:divBdr>
        </w:div>
      </w:divsChild>
    </w:div>
    <w:div w:id="1414009809">
      <w:bodyDiv w:val="1"/>
      <w:marLeft w:val="0"/>
      <w:marRight w:val="0"/>
      <w:marTop w:val="0"/>
      <w:marBottom w:val="0"/>
      <w:divBdr>
        <w:top w:val="none" w:sz="0" w:space="0" w:color="auto"/>
        <w:left w:val="none" w:sz="0" w:space="0" w:color="auto"/>
        <w:bottom w:val="none" w:sz="0" w:space="0" w:color="auto"/>
        <w:right w:val="none" w:sz="0" w:space="0" w:color="auto"/>
      </w:divBdr>
    </w:div>
    <w:div w:id="1453674336">
      <w:bodyDiv w:val="1"/>
      <w:marLeft w:val="0"/>
      <w:marRight w:val="0"/>
      <w:marTop w:val="0"/>
      <w:marBottom w:val="0"/>
      <w:divBdr>
        <w:top w:val="none" w:sz="0" w:space="0" w:color="auto"/>
        <w:left w:val="none" w:sz="0" w:space="0" w:color="auto"/>
        <w:bottom w:val="none" w:sz="0" w:space="0" w:color="auto"/>
        <w:right w:val="none" w:sz="0" w:space="0" w:color="auto"/>
      </w:divBdr>
    </w:div>
    <w:div w:id="1516530952">
      <w:bodyDiv w:val="1"/>
      <w:marLeft w:val="0"/>
      <w:marRight w:val="0"/>
      <w:marTop w:val="0"/>
      <w:marBottom w:val="0"/>
      <w:divBdr>
        <w:top w:val="none" w:sz="0" w:space="0" w:color="auto"/>
        <w:left w:val="none" w:sz="0" w:space="0" w:color="auto"/>
        <w:bottom w:val="none" w:sz="0" w:space="0" w:color="auto"/>
        <w:right w:val="none" w:sz="0" w:space="0" w:color="auto"/>
      </w:divBdr>
      <w:divsChild>
        <w:div w:id="660350427">
          <w:marLeft w:val="547"/>
          <w:marRight w:val="0"/>
          <w:marTop w:val="0"/>
          <w:marBottom w:val="0"/>
          <w:divBdr>
            <w:top w:val="none" w:sz="0" w:space="0" w:color="auto"/>
            <w:left w:val="none" w:sz="0" w:space="0" w:color="auto"/>
            <w:bottom w:val="none" w:sz="0" w:space="0" w:color="auto"/>
            <w:right w:val="none" w:sz="0" w:space="0" w:color="auto"/>
          </w:divBdr>
        </w:div>
      </w:divsChild>
    </w:div>
    <w:div w:id="1539967958">
      <w:bodyDiv w:val="1"/>
      <w:marLeft w:val="0"/>
      <w:marRight w:val="0"/>
      <w:marTop w:val="0"/>
      <w:marBottom w:val="0"/>
      <w:divBdr>
        <w:top w:val="none" w:sz="0" w:space="0" w:color="auto"/>
        <w:left w:val="none" w:sz="0" w:space="0" w:color="auto"/>
        <w:bottom w:val="none" w:sz="0" w:space="0" w:color="auto"/>
        <w:right w:val="none" w:sz="0" w:space="0" w:color="auto"/>
      </w:divBdr>
    </w:div>
    <w:div w:id="1546866138">
      <w:bodyDiv w:val="1"/>
      <w:marLeft w:val="0"/>
      <w:marRight w:val="0"/>
      <w:marTop w:val="0"/>
      <w:marBottom w:val="0"/>
      <w:divBdr>
        <w:top w:val="none" w:sz="0" w:space="0" w:color="auto"/>
        <w:left w:val="none" w:sz="0" w:space="0" w:color="auto"/>
        <w:bottom w:val="none" w:sz="0" w:space="0" w:color="auto"/>
        <w:right w:val="none" w:sz="0" w:space="0" w:color="auto"/>
      </w:divBdr>
    </w:div>
    <w:div w:id="1559823979">
      <w:bodyDiv w:val="1"/>
      <w:marLeft w:val="0"/>
      <w:marRight w:val="0"/>
      <w:marTop w:val="0"/>
      <w:marBottom w:val="0"/>
      <w:divBdr>
        <w:top w:val="none" w:sz="0" w:space="0" w:color="auto"/>
        <w:left w:val="none" w:sz="0" w:space="0" w:color="auto"/>
        <w:bottom w:val="none" w:sz="0" w:space="0" w:color="auto"/>
        <w:right w:val="none" w:sz="0" w:space="0" w:color="auto"/>
      </w:divBdr>
    </w:div>
    <w:div w:id="1614245737">
      <w:bodyDiv w:val="1"/>
      <w:marLeft w:val="0"/>
      <w:marRight w:val="0"/>
      <w:marTop w:val="0"/>
      <w:marBottom w:val="0"/>
      <w:divBdr>
        <w:top w:val="none" w:sz="0" w:space="0" w:color="auto"/>
        <w:left w:val="none" w:sz="0" w:space="0" w:color="auto"/>
        <w:bottom w:val="none" w:sz="0" w:space="0" w:color="auto"/>
        <w:right w:val="none" w:sz="0" w:space="0" w:color="auto"/>
      </w:divBdr>
    </w:div>
    <w:div w:id="1617101674">
      <w:bodyDiv w:val="1"/>
      <w:marLeft w:val="0"/>
      <w:marRight w:val="0"/>
      <w:marTop w:val="0"/>
      <w:marBottom w:val="0"/>
      <w:divBdr>
        <w:top w:val="none" w:sz="0" w:space="0" w:color="auto"/>
        <w:left w:val="none" w:sz="0" w:space="0" w:color="auto"/>
        <w:bottom w:val="none" w:sz="0" w:space="0" w:color="auto"/>
        <w:right w:val="none" w:sz="0" w:space="0" w:color="auto"/>
      </w:divBdr>
    </w:div>
    <w:div w:id="1687444647">
      <w:bodyDiv w:val="1"/>
      <w:marLeft w:val="0"/>
      <w:marRight w:val="0"/>
      <w:marTop w:val="0"/>
      <w:marBottom w:val="0"/>
      <w:divBdr>
        <w:top w:val="none" w:sz="0" w:space="0" w:color="auto"/>
        <w:left w:val="none" w:sz="0" w:space="0" w:color="auto"/>
        <w:bottom w:val="none" w:sz="0" w:space="0" w:color="auto"/>
        <w:right w:val="none" w:sz="0" w:space="0" w:color="auto"/>
      </w:divBdr>
    </w:div>
    <w:div w:id="1740636183">
      <w:bodyDiv w:val="1"/>
      <w:marLeft w:val="0"/>
      <w:marRight w:val="0"/>
      <w:marTop w:val="0"/>
      <w:marBottom w:val="0"/>
      <w:divBdr>
        <w:top w:val="none" w:sz="0" w:space="0" w:color="auto"/>
        <w:left w:val="none" w:sz="0" w:space="0" w:color="auto"/>
        <w:bottom w:val="none" w:sz="0" w:space="0" w:color="auto"/>
        <w:right w:val="none" w:sz="0" w:space="0" w:color="auto"/>
      </w:divBdr>
      <w:divsChild>
        <w:div w:id="411195134">
          <w:marLeft w:val="547"/>
          <w:marRight w:val="0"/>
          <w:marTop w:val="0"/>
          <w:marBottom w:val="0"/>
          <w:divBdr>
            <w:top w:val="none" w:sz="0" w:space="0" w:color="auto"/>
            <w:left w:val="none" w:sz="0" w:space="0" w:color="auto"/>
            <w:bottom w:val="none" w:sz="0" w:space="0" w:color="auto"/>
            <w:right w:val="none" w:sz="0" w:space="0" w:color="auto"/>
          </w:divBdr>
        </w:div>
      </w:divsChild>
    </w:div>
    <w:div w:id="1810633904">
      <w:bodyDiv w:val="1"/>
      <w:marLeft w:val="0"/>
      <w:marRight w:val="0"/>
      <w:marTop w:val="0"/>
      <w:marBottom w:val="0"/>
      <w:divBdr>
        <w:top w:val="none" w:sz="0" w:space="0" w:color="auto"/>
        <w:left w:val="none" w:sz="0" w:space="0" w:color="auto"/>
        <w:bottom w:val="none" w:sz="0" w:space="0" w:color="auto"/>
        <w:right w:val="none" w:sz="0" w:space="0" w:color="auto"/>
      </w:divBdr>
    </w:div>
    <w:div w:id="1842701245">
      <w:bodyDiv w:val="1"/>
      <w:marLeft w:val="0"/>
      <w:marRight w:val="0"/>
      <w:marTop w:val="0"/>
      <w:marBottom w:val="0"/>
      <w:divBdr>
        <w:top w:val="none" w:sz="0" w:space="0" w:color="auto"/>
        <w:left w:val="none" w:sz="0" w:space="0" w:color="auto"/>
        <w:bottom w:val="none" w:sz="0" w:space="0" w:color="auto"/>
        <w:right w:val="none" w:sz="0" w:space="0" w:color="auto"/>
      </w:divBdr>
      <w:divsChild>
        <w:div w:id="836967005">
          <w:marLeft w:val="547"/>
          <w:marRight w:val="0"/>
          <w:marTop w:val="0"/>
          <w:marBottom w:val="0"/>
          <w:divBdr>
            <w:top w:val="none" w:sz="0" w:space="0" w:color="auto"/>
            <w:left w:val="none" w:sz="0" w:space="0" w:color="auto"/>
            <w:bottom w:val="none" w:sz="0" w:space="0" w:color="auto"/>
            <w:right w:val="none" w:sz="0" w:space="0" w:color="auto"/>
          </w:divBdr>
        </w:div>
      </w:divsChild>
    </w:div>
    <w:div w:id="1979071083">
      <w:bodyDiv w:val="1"/>
      <w:marLeft w:val="0"/>
      <w:marRight w:val="0"/>
      <w:marTop w:val="0"/>
      <w:marBottom w:val="0"/>
      <w:divBdr>
        <w:top w:val="none" w:sz="0" w:space="0" w:color="auto"/>
        <w:left w:val="none" w:sz="0" w:space="0" w:color="auto"/>
        <w:bottom w:val="none" w:sz="0" w:space="0" w:color="auto"/>
        <w:right w:val="none" w:sz="0" w:space="0" w:color="auto"/>
      </w:divBdr>
    </w:div>
    <w:div w:id="1983923782">
      <w:bodyDiv w:val="1"/>
      <w:marLeft w:val="0"/>
      <w:marRight w:val="0"/>
      <w:marTop w:val="0"/>
      <w:marBottom w:val="0"/>
      <w:divBdr>
        <w:top w:val="none" w:sz="0" w:space="0" w:color="auto"/>
        <w:left w:val="none" w:sz="0" w:space="0" w:color="auto"/>
        <w:bottom w:val="none" w:sz="0" w:space="0" w:color="auto"/>
        <w:right w:val="none" w:sz="0" w:space="0" w:color="auto"/>
      </w:divBdr>
    </w:div>
    <w:div w:id="21472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yperlink" Target="mailto:wim.allegaert@kbc.b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kbc.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mailto:pressofficekbc@kbc.b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twitter.com/kbc_group" TargetMode="External"/><Relationship Id="rId10" Type="http://schemas.openxmlformats.org/officeDocument/2006/relationships/image" Target="media/image3.jpeg"/><Relationship Id="rId19" Type="http://schemas.openxmlformats.org/officeDocument/2006/relationships/hyperlink" Target="mailto:pressofficekbc@kbc.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hyperlink" Target="mailto:pressofficekbc@kbc.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8841</Words>
  <Characters>48628</Characters>
  <Application>Microsoft Office Word</Application>
  <DocSecurity>0</DocSecurity>
  <Lines>405</Lines>
  <Paragraphs>114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KBC Group</Company>
  <LinksUpToDate>false</LinksUpToDate>
  <CharactersWithSpaces>57355</CharactersWithSpaces>
  <SharedDoc>false</SharedDoc>
  <HLinks>
    <vt:vector size="36" baseType="variant">
      <vt:variant>
        <vt:i4>5111906</vt:i4>
      </vt:variant>
      <vt:variant>
        <vt:i4>15</vt:i4>
      </vt:variant>
      <vt:variant>
        <vt:i4>0</vt:i4>
      </vt:variant>
      <vt:variant>
        <vt:i4>5</vt:i4>
      </vt:variant>
      <vt:variant>
        <vt:lpwstr>http://www.twitter.com/kbc_group</vt:lpwstr>
      </vt:variant>
      <vt:variant>
        <vt:lpwstr/>
      </vt:variant>
      <vt:variant>
        <vt:i4>6619203</vt:i4>
      </vt:variant>
      <vt:variant>
        <vt:i4>12</vt:i4>
      </vt:variant>
      <vt:variant>
        <vt:i4>0</vt:i4>
      </vt:variant>
      <vt:variant>
        <vt:i4>5</vt:i4>
      </vt:variant>
      <vt:variant>
        <vt:lpwstr>mailto:pressofficekbc@kbc.be</vt:lpwstr>
      </vt:variant>
      <vt:variant>
        <vt:lpwstr/>
      </vt:variant>
      <vt:variant>
        <vt:i4>2949235</vt:i4>
      </vt:variant>
      <vt:variant>
        <vt:i4>9</vt:i4>
      </vt:variant>
      <vt:variant>
        <vt:i4>0</vt:i4>
      </vt:variant>
      <vt:variant>
        <vt:i4>5</vt:i4>
      </vt:variant>
      <vt:variant>
        <vt:lpwstr>http://www.kbc.com/</vt:lpwstr>
      </vt:variant>
      <vt:variant>
        <vt:lpwstr/>
      </vt:variant>
      <vt:variant>
        <vt:i4>6619203</vt:i4>
      </vt:variant>
      <vt:variant>
        <vt:i4>6</vt:i4>
      </vt:variant>
      <vt:variant>
        <vt:i4>0</vt:i4>
      </vt:variant>
      <vt:variant>
        <vt:i4>5</vt:i4>
      </vt:variant>
      <vt:variant>
        <vt:lpwstr>mailto:pressofficekbc@kbc.be</vt:lpwstr>
      </vt:variant>
      <vt:variant>
        <vt:lpwstr/>
      </vt:variant>
      <vt:variant>
        <vt:i4>6619203</vt:i4>
      </vt:variant>
      <vt:variant>
        <vt:i4>3</vt:i4>
      </vt:variant>
      <vt:variant>
        <vt:i4>0</vt:i4>
      </vt:variant>
      <vt:variant>
        <vt:i4>5</vt:i4>
      </vt:variant>
      <vt:variant>
        <vt:lpwstr>mailto:pressofficekbc@kbc.be</vt:lpwstr>
      </vt:variant>
      <vt:variant>
        <vt:lpwstr/>
      </vt:variant>
      <vt:variant>
        <vt:i4>6881307</vt:i4>
      </vt:variant>
      <vt:variant>
        <vt:i4>0</vt:i4>
      </vt:variant>
      <vt:variant>
        <vt:i4>0</vt:i4>
      </vt:variant>
      <vt:variant>
        <vt:i4>5</vt:i4>
      </vt:variant>
      <vt:variant>
        <vt:lpwstr>mailto:wim.allegaert@kbc.be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JD30767</dc:creator>
  <cp:lastModifiedBy>Leunens Stephane</cp:lastModifiedBy>
  <cp:revision>10</cp:revision>
  <cp:lastPrinted>2013-03-11T10:30:00Z</cp:lastPrinted>
  <dcterms:created xsi:type="dcterms:W3CDTF">2014-02-12T12:05:00Z</dcterms:created>
  <dcterms:modified xsi:type="dcterms:W3CDTF">2014-02-12T15:22:00Z</dcterms:modified>
</cp:coreProperties>
</file>