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idi w:val="0"/>
      </w:pPr>
      <w:r>
        <w:rPr>
          <w:sz w:val="18"/>
          <w:szCs w:val="18"/>
          <w:lang w:val="bg"/>
          <w:b w:val="1"/>
          <w:bCs w:val="1"/>
          <w:i w:val="0"/>
          <w:iCs w:val="0"/>
          <w:u w:val="none"/>
          <w:vertAlign w:val="baseline"/>
          <w:rtl w:val="0"/>
        </w:rPr>
        <w:drawing>
          <wp:inline distB="0" distT="0" distL="0" distR="0">
            <wp:extent cx="1381916" cy="214197"/>
            <wp:effectExtent b="0" l="0" r="0" t="0"/>
            <wp:docPr descr="Синя буква на черен фон&#10;&#10;Автоматично генерирано описание" id="4" name="image1.png"/>
            <a:graphic>
              <a:graphicData uri="http://schemas.openxmlformats.org/drawingml/2006/picture">
                <pic:pic>
                  <pic:nvPicPr>
                    <pic:cNvPr descr="A blue letter on a black background&#10;&#10;Description automatically generated" id="0" name="image1.png"/>
                    <pic:cNvPicPr preferRelativeResize="0"/>
                  </pic:nvPicPr>
                  <pic:blipFill>
                    <a:blip r:embed="rId8"/>
                    <a:srcRect b="0" l="0" r="0" t="0"/>
                    <a:stretch>
                      <a:fillRect/>
                    </a:stretch>
                  </pic:blipFill>
                  <pic:spPr>
                    <a:xfrm>
                      <a:off x="0" y="0"/>
                      <a:ext cx="1381916" cy="214197"/>
                    </a:xfrm>
                    <a:prstGeom prst="rect"/>
                    <a:ln/>
                  </pic:spPr>
                </pic:pic>
              </a:graphicData>
            </a:graphic>
          </wp:inline>
        </w:drawing>
      </w:r>
    </w:p>
    <w:p w:rsidR="00000000" w:rsidDel="00000000" w:rsidP="00000000" w:rsidRDefault="00000000" w:rsidRPr="00000000" w14:paraId="00000002">
      <w:pPr>
        <w:rPr>
          <w:rFonts w:ascii="Arial" w:cs="Arial" w:eastAsia="Arial" w:hAnsi="Arial"/>
          <w:b w:val="1"/>
          <w:sz w:val="30"/>
          <w:szCs w:val="30"/>
        </w:rPr>
        <w:bidi w:val="0"/>
      </w:pPr>
      <w:bookmarkStart w:colFirst="0" w:colLast="0" w:name="_heading=h.gjdgxs" w:id="0"/>
      <w:bookmarkEnd w:id="0"/>
      <w:r>
        <w:rPr>
          <w:rFonts w:ascii="Arial" w:cs="Arial" w:eastAsia="Arial" w:hAnsi="Arial"/>
          <w:sz w:val="30"/>
          <w:szCs w:val="30"/>
          <w:lang w:val="bg"/>
          <w:b w:val="1"/>
          <w:bCs w:val="1"/>
          <w:i w:val="0"/>
          <w:iCs w:val="0"/>
          <w:u w:val="none"/>
          <w:vertAlign w:val="baseline"/>
          <w:rtl w:val="0"/>
        </w:rPr>
        <w:t xml:space="preserve">Samsung пуска нов потребителски SSD диск, 9100 PRO, </w:t>
      </w:r>
      <w:r>
        <w:rPr>
          <w:rFonts w:ascii="Arial" w:cs="Arial" w:eastAsia="Arial" w:hAnsi="Arial"/>
          <w:sz w:val="30"/>
          <w:szCs w:val="30"/>
          <w:lang w:val="bg"/>
          <w:b w:val="0"/>
          <w:bCs w:val="0"/>
          <w:i w:val="0"/>
          <w:iCs w:val="0"/>
          <w:u w:val="none"/>
          <w:vertAlign w:val="baseline"/>
          <w:rtl w:val="0"/>
        </w:rPr>
        <w:br w:type="textWrapping"/>
      </w:r>
      <w:r>
        <w:rPr>
          <w:rFonts w:ascii="Arial" w:cs="Arial" w:eastAsia="Arial" w:hAnsi="Arial"/>
          <w:sz w:val="30"/>
          <w:szCs w:val="30"/>
          <w:lang w:val="bg"/>
          <w:b w:val="1"/>
          <w:bCs w:val="1"/>
          <w:i w:val="0"/>
          <w:iCs w:val="0"/>
          <w:u w:val="none"/>
          <w:vertAlign w:val="baseline"/>
          <w:rtl w:val="0"/>
        </w:rPr>
        <w:t xml:space="preserve">който поддържа PCIe 5.0 </w:t>
      </w:r>
    </w:p>
    <w:p w:rsidR="00000000" w:rsidDel="00000000" w:rsidP="00000000" w:rsidRDefault="00000000" w:rsidRPr="00000000" w14:paraId="00000003">
      <w:pPr>
        <w:rPr>
          <w:rFonts w:ascii="Arial" w:cs="Arial" w:eastAsia="Arial" w:hAnsi="Arial"/>
          <w:b w:val="1"/>
        </w:rPr>
        <w:bidi w:val="0"/>
      </w:pPr>
      <w:r>
        <w:rPr>
          <w:rFonts w:ascii="Arial" w:cs="Arial" w:eastAsia="Arial" w:hAnsi="Arial"/>
          <w:lang w:val="bg"/>
          <w:b w:val="1"/>
          <w:bCs w:val="1"/>
          <w:i w:val="0"/>
          <w:iCs w:val="0"/>
          <w:u w:val="none"/>
          <w:vertAlign w:val="baseline"/>
          <w:rtl w:val="0"/>
        </w:rPr>
        <w:t xml:space="preserve">27 февруари, 2025 г.</w:t>
      </w:r>
    </w:p>
    <w:p w:rsidR="00000000" w:rsidDel="00000000" w:rsidP="00000000" w:rsidRDefault="00000000" w:rsidRPr="00000000" w14:paraId="00000004">
      <w:pPr>
        <w:rPr>
          <w:rFonts w:ascii="Arial" w:cs="Arial" w:eastAsia="Arial" w:hAnsi="Arial"/>
        </w:rPr>
      </w:pPr>
    </w:p>
    <w:p w:rsidR="00000000" w:rsidDel="00000000" w:rsidP="00000000" w:rsidRDefault="00000000" w:rsidRPr="00000000" w14:paraId="00000005">
      <w:pPr>
        <w:spacing w:after="0" w:lineRule="auto"/>
        <w:rPr>
          <w:rFonts w:ascii="Arial" w:cs="Arial" w:eastAsia="Arial" w:hAnsi="Arial"/>
        </w:rPr>
        <w:bidi w:val="0"/>
      </w:pPr>
      <w:r>
        <w:rPr>
          <w:rFonts w:ascii="Arial" w:cs="Arial" w:eastAsia="Arial" w:hAnsi="Arial"/>
          <w:lang w:val="bg"/>
          <w:b w:val="0"/>
          <w:bCs w:val="0"/>
          <w:i w:val="0"/>
          <w:iCs w:val="0"/>
          <w:u w:val="none"/>
          <w:vertAlign w:val="baseline"/>
          <w:rtl w:val="0"/>
        </w:rPr>
        <w:t xml:space="preserve">9100 PRO на Samsung Electronics е най-новото попълнение в гамата на компанията от потребителски SSD дискове. Благодарение на интерфейса PCIe® 5.0, 9100 PRO предлага подобрена производителност и продуктивност за многозадачност и разширена съвместимост с лаптопи, игрови конзоли и компютри.</w:t>
      </w:r>
    </w:p>
    <w:p w:rsidR="00000000" w:rsidDel="00000000" w:rsidP="00000000" w:rsidRDefault="00000000" w:rsidRPr="00000000" w14:paraId="00000006">
      <w:pPr>
        <w:spacing w:after="0" w:lineRule="auto"/>
        <w:rPr>
          <w:rFonts w:ascii="Arial" w:cs="Arial" w:eastAsia="Arial" w:hAnsi="Arial"/>
        </w:rPr>
      </w:pPr>
    </w:p>
    <w:p w:rsidR="00000000" w:rsidDel="00000000" w:rsidP="00000000" w:rsidRDefault="00000000" w:rsidRPr="00000000" w14:paraId="00000007">
      <w:pPr>
        <w:spacing w:after="0" w:lineRule="auto"/>
        <w:rPr>
          <w:rFonts w:ascii="Arial" w:cs="Arial" w:eastAsia="Arial" w:hAnsi="Arial"/>
        </w:rPr>
        <w:bidi w:val="0"/>
      </w:pPr>
      <w:r>
        <w:rPr>
          <w:rFonts w:ascii="Arial" w:hAnsi="Arial"/>
          <w:color w:val="000000"/>
          <w:lang w:val="bg"/>
          <w:b w:val="0"/>
          <w:bCs w:val="0"/>
          <w:i w:val="0"/>
          <w:iCs w:val="0"/>
          <w:u w:val="none"/>
          <w:vertAlign w:val="baseline"/>
          <w:rtl w:val="0"/>
        </w:rPr>
        <w:t xml:space="preserve">Очаква се 9100 PRO да бъде ефективно решение за потребители на лаптопи и настолни компютри, които имат нужда от бърз достъп за паралелно обработване на данни, особени при създаване на професионално базирано на изкуствен интелект съдържание. Потребителите, които играят интензивно, ще могат да се възползват от високата производителност и разширената памет на SSD диска.</w:t>
      </w:r>
    </w:p>
    <w:p w:rsidR="00000000" w:rsidDel="00000000" w:rsidP="00000000" w:rsidRDefault="00000000" w:rsidRPr="00000000" w14:paraId="00000008">
      <w:pPr>
        <w:rPr>
          <w:rFonts w:ascii="Arial" w:cs="Arial" w:eastAsia="Arial" w:hAnsi="Arial"/>
        </w:rPr>
      </w:pPr>
    </w:p>
    <w:p w:rsidR="00000000" w:rsidDel="00000000" w:rsidP="00000000" w:rsidRDefault="00000000" w:rsidRPr="00000000" w14:paraId="0000000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59" w:lineRule="auto"/>
        <w:ind w:left="542" w:right="0" w:hanging="400"/>
        <w:jc w:val="both"/>
        <w:rPr>
          <w:rFonts w:ascii="Arial" w:cs="Arial" w:eastAsia="Arial" w:hAnsi="Arial"/>
          <w:b w:val="1"/>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bg"/>
          <w:b w:val="1"/>
          <w:bCs w:val="1"/>
          <w:i w:val="0"/>
          <w:iCs w:val="0"/>
          <w:u w:val="none"/>
          <w:vertAlign w:val="baseline"/>
          <w:rtl w:val="0"/>
        </w:rPr>
        <w:t xml:space="preserve">Подобрена производителност и енергийна ефективност</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00" w:right="0" w:firstLine="0"/>
        <w:jc w:val="left"/>
        <w:rPr>
          <w:rFonts w:ascii="Arial" w:cs="Arial" w:eastAsia="Arial" w:hAnsi="Arial"/>
          <w:b w:val="1"/>
          <w:i w:val="0"/>
          <w:smallCaps w:val="0"/>
          <w:strike w:val="0"/>
          <w:color w:val="000000"/>
          <w:sz w:val="20"/>
          <w:szCs w:val="20"/>
          <w:u w:val="none"/>
          <w:shd w:fill="auto" w:val="clear"/>
          <w:vertAlign w:val="baseline"/>
        </w:rPr>
      </w:pPr>
    </w:p>
    <w:p w:rsidR="00000000" w:rsidDel="00000000" w:rsidP="00000000" w:rsidRDefault="00000000" w:rsidRPr="00000000" w14:paraId="0000000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hAnsi="Arial"/>
          <w:smallCaps w:val="0"/>
          <w:strike w:val="0"/>
          <w:color w:val="000000"/>
          <w:sz w:val="20"/>
          <w:szCs w:val="20"/>
          <w:shd w:fill="auto" w:val="clear"/>
          <w:lang w:val="bg"/>
          <w:b w:val="0"/>
          <w:bCs w:val="0"/>
          <w:i w:val="0"/>
          <w:iCs w:val="0"/>
          <w:u w:val="none"/>
          <w:vertAlign w:val="baseline"/>
          <w:rtl w:val="0"/>
        </w:rPr>
        <w:t xml:space="preserve">Поддържа интерфейса PCIe 5.0, който е два пъти по-бърз от предишното поколение</w:t>
      </w:r>
      <w:r>
        <w:rPr>
          <w:rFonts w:ascii="Arial" w:hAnsi="Arial"/>
          <w:lang w:val="bg"/>
          <w:b w:val="0"/>
          <w:bCs w:val="0"/>
          <w:i w:val="0"/>
          <w:iCs w:val="0"/>
          <w:u w:val="none"/>
          <w:vertAlign w:val="baseline"/>
          <w:rtl w:val="0"/>
        </w:rPr>
        <w:t xml:space="preserve">.</w:t>
      </w:r>
    </w:p>
    <w:p w:rsidR="00000000" w:rsidDel="00000000" w:rsidP="00000000" w:rsidRDefault="00000000" w:rsidRPr="00000000" w14:paraId="0000000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bg"/>
          <w:b w:val="0"/>
          <w:bCs w:val="0"/>
          <w:i w:val="0"/>
          <w:iCs w:val="0"/>
          <w:u w:val="none"/>
          <w:vertAlign w:val="baseline"/>
          <w:rtl w:val="0"/>
        </w:rPr>
        <w:t xml:space="preserve">Осигурява скорост на последователно четене до 14800 MB/s и скорост на запис до 13 400 MB/s и предлага подобрена с до 99% производителност в сравнение с предишния модел, 990 PRO</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2" w:right="0" w:firstLine="0"/>
        <w:jc w:val="left"/>
        <w:rPr>
          <w:rFonts w:ascii="Arial" w:cs="Arial" w:eastAsia="Arial" w:hAnsi="Arial"/>
          <w:b w:val="0"/>
          <w:i w:val="0"/>
          <w:smallCaps w:val="0"/>
          <w:strike w:val="0"/>
          <w:color w:val="000000"/>
          <w:sz w:val="18"/>
          <w:szCs w:val="18"/>
          <w:u w:val="none"/>
          <w:shd w:fill="auto" w:val="clear"/>
          <w:vertAlign w:val="baseline"/>
        </w:rPr>
        <w:bidi w:val="0"/>
      </w:pPr>
      <w:r>
        <w:rPr>
          <w:rFonts w:ascii="Arial" w:cs="Arial" w:eastAsia="Arial" w:hAnsi="Arial"/>
          <w:smallCaps w:val="0"/>
          <w:strike w:val="0"/>
          <w:color w:val="000000"/>
          <w:sz w:val="18"/>
          <w:szCs w:val="18"/>
          <w:shd w:fill="auto" w:val="clear"/>
          <w:lang w:val="bg"/>
          <w:b w:val="0"/>
          <w:bCs w:val="0"/>
          <w:i w:val="0"/>
          <w:iCs w:val="0"/>
          <w:u w:val="none"/>
          <w:vertAlign w:val="baseline"/>
          <w:rtl w:val="0"/>
        </w:rPr>
        <w:t xml:space="preserve">* Скоростта на последователно четене на 9100 PRO 4 TB е 14 800 MB/s, докато скоростта на 990 PRO 4 TB е 7450 MB/s</w:t>
      </w:r>
    </w:p>
    <w:p w:rsidR="00000000" w:rsidDel="00000000" w:rsidP="00000000" w:rsidRDefault="00000000" w:rsidRPr="00000000" w14:paraId="0000000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bg"/>
          <w:b w:val="0"/>
          <w:bCs w:val="0"/>
          <w:i w:val="0"/>
          <w:iCs w:val="0"/>
          <w:u w:val="none"/>
          <w:vertAlign w:val="baseline"/>
          <w:rtl w:val="0"/>
        </w:rPr>
        <w:t xml:space="preserve">Скоростта на произволно четене и записване също така е подобрена до 2200 и 2600 хиляди входящи/изходящи операции в секунда (KIOPS) съответно</w:t>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bg"/>
          <w:b w:val="0"/>
          <w:bCs w:val="0"/>
          <w:i w:val="0"/>
          <w:iCs w:val="0"/>
          <w:u w:val="none"/>
          <w:vertAlign w:val="baseline"/>
          <w:rtl w:val="0"/>
        </w:rPr>
        <w:t xml:space="preserve">Енергийната ефективност е подобрена с 49% в сравнение с предишния модел благодарение на съвременно решение за управление на температурата</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42" w:right="0" w:firstLine="0"/>
        <w:jc w:val="left"/>
        <w:rPr>
          <w:rFonts w:ascii="Arial" w:cs="Arial" w:eastAsia="Arial" w:hAnsi="Arial"/>
          <w:b w:val="0"/>
          <w:i w:val="0"/>
          <w:smallCaps w:val="0"/>
          <w:strike w:val="0"/>
          <w:color w:val="000000"/>
          <w:sz w:val="18"/>
          <w:szCs w:val="18"/>
          <w:u w:val="none"/>
          <w:shd w:fill="auto" w:val="clear"/>
          <w:vertAlign w:val="baseline"/>
        </w:rPr>
        <w:bidi w:val="0"/>
      </w:pPr>
      <w:r>
        <w:rPr>
          <w:rFonts w:ascii="Arial" w:cs="Arial" w:eastAsia="Arial" w:hAnsi="Arial"/>
          <w:smallCaps w:val="0"/>
          <w:strike w:val="0"/>
          <w:color w:val="000000"/>
          <w:sz w:val="18"/>
          <w:szCs w:val="18"/>
          <w:shd w:fill="auto" w:val="clear"/>
          <w:lang w:val="bg"/>
          <w:b w:val="0"/>
          <w:bCs w:val="0"/>
          <w:i w:val="0"/>
          <w:iCs w:val="0"/>
          <w:u w:val="none"/>
          <w:vertAlign w:val="baseline"/>
          <w:rtl w:val="0"/>
        </w:rPr>
        <w:t xml:space="preserve">Енергийната ефективност на 9100 PRO 2 TB при последователно четене и запис е 1822 и 1703 MB/s на ват съответно, докато за 990 PRO 4 TB тези стойности са 1221 и 1255 MB/s на ват съответно.</w:t>
      </w:r>
    </w:p>
    <w:p w:rsidR="00000000" w:rsidDel="00000000" w:rsidP="00000000" w:rsidRDefault="00000000" w:rsidRPr="00000000" w14:paraId="00000011">
      <w:pPr>
        <w:spacing w:after="0" w:line="240" w:lineRule="auto"/>
        <w:jc w:val="left"/>
        <w:rPr>
          <w:rFonts w:ascii="Arial" w:cs="Arial" w:eastAsia="Arial" w:hAnsi="Arial"/>
          <w:b w:val="1"/>
        </w:rPr>
      </w:pP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400"/>
        <w:jc w:val="left"/>
        <w:rPr>
          <w:rFonts w:ascii="Arial" w:cs="Arial" w:eastAsia="Arial" w:hAnsi="Arial"/>
          <w:b w:val="1"/>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bg"/>
          <w:b w:val="1"/>
          <w:bCs w:val="1"/>
          <w:i w:val="0"/>
          <w:iCs w:val="0"/>
          <w:u w:val="none"/>
          <w:vertAlign w:val="baseline"/>
          <w:rtl w:val="0"/>
        </w:rPr>
        <w:t xml:space="preserve">Предотвратяване на прегряване, разширена памет и широка съвместимост</w:t>
      </w:r>
    </w:p>
    <w:p w:rsidR="00000000" w:rsidDel="00000000" w:rsidP="00000000" w:rsidRDefault="00000000" w:rsidRPr="00000000" w14:paraId="00000013">
      <w:pPr>
        <w:spacing w:after="0" w:line="240" w:lineRule="auto"/>
        <w:jc w:val="left"/>
        <w:rPr>
          <w:rFonts w:ascii="Arial" w:cs="Arial" w:eastAsia="Arial" w:hAnsi="Arial"/>
          <w:b w:val="1"/>
        </w:rPr>
      </w:pPr>
    </w:p>
    <w:p w:rsidR="00000000" w:rsidDel="00000000" w:rsidP="00000000" w:rsidRDefault="00000000" w:rsidRPr="00000000" w14:paraId="000000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bg"/>
          <w:b w:val="0"/>
          <w:bCs w:val="0"/>
          <w:i w:val="0"/>
          <w:iCs w:val="0"/>
          <w:u w:val="none"/>
          <w:vertAlign w:val="baseline"/>
          <w:rtl w:val="0"/>
        </w:rPr>
        <w:t xml:space="preserve">Моделите с от 1 до 4 TB памет са снабдени с радиатор 8,8 mmT, който улеснява контрола на температурата и предотвратява прегряването. Устройството е в съответствие със стандарта PCI-SIG® D8.</w:t>
      </w:r>
      <w:r>
        <w:rPr>
          <w:rFonts w:ascii="Arial" w:cs="Arial" w:eastAsia="Arial" w:hAnsi="Arial"/>
          <w:smallCaps w:val="0"/>
          <w:strike w:val="0"/>
          <w:color w:val="000000"/>
          <w:sz w:val="20"/>
          <w:szCs w:val="20"/>
          <w:shd w:fill="auto" w:val="clear"/>
          <w:lang w:val="bg"/>
          <w:b w:val="0"/>
          <w:bCs w:val="0"/>
          <w:i w:val="0"/>
          <w:iCs w:val="0"/>
          <w:u w:val="none"/>
          <w:vertAlign w:val="superscript"/>
          <w:rtl w:val="0"/>
        </w:rPr>
        <w:footnoteReference w:customMarkFollows="0" w:id="0"/>
      </w:r>
      <w:r>
        <w:rPr>
          <w:rFonts w:ascii="Arial" w:cs="Arial" w:eastAsia="Arial" w:hAnsi="Arial"/>
          <w:smallCaps w:val="0"/>
          <w:strike w:val="0"/>
          <w:color w:val="000000"/>
          <w:sz w:val="20"/>
          <w:szCs w:val="20"/>
          <w:shd w:fill="auto" w:val="clear"/>
          <w:lang w:val="bg"/>
          <w:b w:val="0"/>
          <w:bCs w:val="0"/>
          <w:i w:val="0"/>
          <w:iCs w:val="0"/>
          <w:u w:val="none"/>
          <w:vertAlign w:val="baseline"/>
          <w:rtl w:val="0"/>
        </w:rPr>
        <w:t xml:space="preserve"> </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bg"/>
          <w:b w:val="0"/>
          <w:bCs w:val="0"/>
          <w:i w:val="0"/>
          <w:iCs w:val="0"/>
          <w:u w:val="none"/>
          <w:vertAlign w:val="baseline"/>
          <w:rtl w:val="0"/>
        </w:rPr>
        <w:t xml:space="preserve">Моделът 8 TB с радиатор 11,25 mmT ще бъде </w:t>
      </w:r>
      <w:r>
        <w:rPr>
          <w:rFonts w:ascii="Arial" w:cs="Arial" w:eastAsia="Arial" w:hAnsi="Arial"/>
          <w:lang w:val="bg"/>
          <w:b w:val="0"/>
          <w:bCs w:val="0"/>
          <w:i w:val="0"/>
          <w:iCs w:val="0"/>
          <w:u w:val="none"/>
          <w:vertAlign w:val="baseline"/>
          <w:rtl w:val="0"/>
        </w:rPr>
        <w:t xml:space="preserve">достъпен по-късно тази година</w:t>
      </w:r>
      <w:r>
        <w:rPr>
          <w:rFonts w:ascii="Arial" w:cs="Arial" w:eastAsia="Arial" w:hAnsi="Arial"/>
          <w:smallCaps w:val="0"/>
          <w:strike w:val="0"/>
          <w:color w:val="000000"/>
          <w:sz w:val="20"/>
          <w:szCs w:val="20"/>
          <w:shd w:fill="auto" w:val="clear"/>
          <w:lang w:val="bg"/>
          <w:b w:val="0"/>
          <w:bCs w:val="0"/>
          <w:i w:val="0"/>
          <w:iCs w:val="0"/>
          <w:u w:val="none"/>
          <w:vertAlign w:val="baseline"/>
          <w:rtl w:val="0"/>
        </w:rPr>
        <w:t xml:space="preserve">. Моделът 8 TB е първият от потребителската гама NVMe SSD дискове на Samsung, който ще бъде предложен на пазара. Обемът на паметта му е достатъчен за разнообразни гейминг изживявания и разработка на съдържание и на игри от следващото поколение.</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bg"/>
          <w:b w:val="0"/>
          <w:bCs w:val="0"/>
          <w:i w:val="0"/>
          <w:iCs w:val="0"/>
          <w:u w:val="none"/>
          <w:vertAlign w:val="baseline"/>
          <w:rtl w:val="0"/>
        </w:rPr>
        <w:t xml:space="preserve">Потребителите могат да инсталират 9100 PRO в широка гама от устройства – лаптопи, настолни компютри и игрови конзоли, както и лесно да надграждат производителността и паметта.</w:t>
      </w:r>
    </w:p>
    <w:p w:rsidR="00000000" w:rsidDel="00000000" w:rsidP="00000000" w:rsidRDefault="00000000" w:rsidRPr="00000000" w14:paraId="00000017">
      <w:pPr>
        <w:spacing w:line="240" w:lineRule="auto"/>
        <w:ind w:firstLine="200"/>
        <w:jc w:val="left"/>
        <w:rPr>
          <w:rFonts w:ascii="Arial" w:cs="Arial" w:eastAsia="Arial" w:hAnsi="Arial"/>
        </w:rPr>
      </w:pPr>
    </w:p>
    <w:p w:rsidR="00000000" w:rsidDel="00000000" w:rsidP="00000000" w:rsidRDefault="00000000" w:rsidRPr="00000000" w14:paraId="0000001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400" w:right="0" w:hanging="400"/>
        <w:jc w:val="left"/>
        <w:rPr>
          <w:rFonts w:ascii="Arial" w:cs="Arial" w:eastAsia="Arial" w:hAnsi="Arial"/>
          <w:b w:val="1"/>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bg"/>
          <w:b w:val="1"/>
          <w:bCs w:val="1"/>
          <w:i w:val="0"/>
          <w:iCs w:val="0"/>
          <w:u w:val="none"/>
          <w:vertAlign w:val="baseline"/>
          <w:rtl w:val="0"/>
        </w:rPr>
        <w:t xml:space="preserve">Поддръжка на софтуера Samsung Magician</w:t>
      </w:r>
    </w:p>
    <w:p w:rsidR="00000000" w:rsidDel="00000000" w:rsidP="00000000" w:rsidRDefault="00000000" w:rsidRPr="00000000" w14:paraId="00000019">
      <w:pPr>
        <w:spacing w:after="0" w:line="240" w:lineRule="auto"/>
        <w:jc w:val="left"/>
        <w:rPr>
          <w:rFonts w:ascii="Arial" w:cs="Arial" w:eastAsia="Arial" w:hAnsi="Arial"/>
          <w:b w:val="1"/>
        </w:rPr>
      </w:pP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bg"/>
          <w:b w:val="0"/>
          <w:bCs w:val="0"/>
          <w:i w:val="0"/>
          <w:iCs w:val="0"/>
          <w:u w:val="none"/>
          <w:vertAlign w:val="baseline"/>
          <w:rtl w:val="0"/>
        </w:rPr>
        <w:t xml:space="preserve">Програма с инструменти за подобряване на функционалността на всички SSD дискове на Samsung, включително 9100 PRO.</w:t>
      </w:r>
    </w:p>
    <w:p w:rsidR="00000000" w:rsidDel="00000000" w:rsidP="00000000" w:rsidRDefault="00000000" w:rsidRPr="00000000" w14:paraId="0000001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bg"/>
          <w:b w:val="0"/>
          <w:bCs w:val="0"/>
          <w:i w:val="0"/>
          <w:iCs w:val="0"/>
          <w:u w:val="none"/>
          <w:vertAlign w:val="baseline"/>
          <w:rtl w:val="0"/>
        </w:rPr>
        <w:t xml:space="preserve">Опростен процес на прехвърляне на данни за ъпгрейди на SSD.</w:t>
      </w:r>
    </w:p>
    <w:p w:rsidR="00000000" w:rsidDel="00000000" w:rsidP="00000000" w:rsidRDefault="00000000" w:rsidRPr="00000000" w14:paraId="0000001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542" w:right="0" w:hanging="400"/>
        <w:jc w:val="left"/>
        <w:rPr>
          <w:rFonts w:ascii="Arial" w:cs="Arial" w:eastAsia="Arial" w:hAnsi="Arial"/>
          <w:b w:val="0"/>
          <w:i w:val="0"/>
          <w:smallCaps w:val="0"/>
          <w:strike w:val="0"/>
          <w:color w:val="000000"/>
          <w:sz w:val="20"/>
          <w:szCs w:val="20"/>
          <w:u w:val="none"/>
          <w:shd w:fill="auto" w:val="clear"/>
          <w:vertAlign w:val="baseline"/>
        </w:rPr>
        <w:bidi w:val="0"/>
      </w:pPr>
      <w:r>
        <w:rPr>
          <w:rFonts w:ascii="Arial" w:cs="Arial" w:eastAsia="Arial" w:hAnsi="Arial"/>
          <w:smallCaps w:val="0"/>
          <w:strike w:val="0"/>
          <w:color w:val="000000"/>
          <w:sz w:val="20"/>
          <w:szCs w:val="20"/>
          <w:shd w:fill="auto" w:val="clear"/>
          <w:lang w:val="bg"/>
          <w:b w:val="0"/>
          <w:bCs w:val="0"/>
          <w:i w:val="0"/>
          <w:iCs w:val="0"/>
          <w:u w:val="none"/>
          <w:vertAlign w:val="baseline"/>
          <w:rtl w:val="0"/>
        </w:rPr>
        <w:t xml:space="preserve">Защита на данните, мониторинг на състоянието на диска и своевременни уведомления за ъпгрейди на фърмуера.</w:t>
      </w:r>
    </w:p>
    <w:p w:rsidR="00000000" w:rsidDel="00000000" w:rsidP="00000000" w:rsidRDefault="00000000" w:rsidRPr="00000000" w14:paraId="0000001D">
      <w:pPr>
        <w:spacing w:after="0" w:line="240" w:lineRule="auto"/>
        <w:rPr>
          <w:rFonts w:ascii="Arial" w:cs="Arial" w:eastAsia="Arial" w:hAnsi="Arial"/>
          <w:b w:val="1"/>
          <w:sz w:val="30"/>
          <w:szCs w:val="30"/>
        </w:rPr>
      </w:pPr>
    </w:p>
    <w:p w:rsidR="00000000" w:rsidDel="00000000" w:rsidP="00000000" w:rsidRDefault="00000000" w:rsidRPr="00000000" w14:paraId="0000001E">
      <w:pPr>
        <w:spacing w:after="0" w:line="240" w:lineRule="auto"/>
        <w:rPr>
          <w:rFonts w:ascii="Arial" w:cs="Arial" w:eastAsia="Arial" w:hAnsi="Arial"/>
        </w:rPr>
        <w:bidi w:val="0"/>
      </w:pPr>
      <w:r>
        <w:rPr>
          <w:rFonts w:ascii="Arial" w:cs="Arial" w:eastAsia="Arial" w:hAnsi="Arial"/>
          <w:lang w:val="bg"/>
          <w:b w:val="0"/>
          <w:bCs w:val="0"/>
          <w:i w:val="0"/>
          <w:iCs w:val="0"/>
          <w:u w:val="none"/>
          <w:vertAlign w:val="baseline"/>
          <w:rtl w:val="0"/>
        </w:rPr>
        <w:t xml:space="preserve">Моделът 9100 PRO ще бъде пуснат на световния пазар в четири варианта един след друг: 1, 2, 4 и 8 TB. Вариантите с 1, 2 и 4 TB ще бъдат достъпни за покупка от samsung.com и други продавачи от 18 март, а моделът с 8 TB ще стане достъпен през втората половина на 2025 година. </w:t>
      </w:r>
    </w:p>
    <w:p w:rsidR="00000000" w:rsidDel="00000000" w:rsidP="00000000" w:rsidRDefault="00000000" w:rsidRPr="00000000" w14:paraId="0000001F">
      <w:pPr>
        <w:spacing w:after="0" w:line="240" w:lineRule="auto"/>
        <w:rPr>
          <w:rFonts w:ascii="Arial" w:cs="Arial" w:eastAsia="Arial" w:hAnsi="Arial"/>
        </w:rPr>
      </w:pPr>
    </w:p>
    <w:p w:rsidR="00000000" w:rsidDel="00000000" w:rsidP="00000000" w:rsidRDefault="00000000" w:rsidRPr="00000000" w14:paraId="00000020">
      <w:pPr>
        <w:spacing w:after="0" w:line="240" w:lineRule="auto"/>
        <w:jc w:val="left"/>
        <w:rPr>
          <w:rFonts w:ascii="Arial" w:cs="Arial" w:eastAsia="Arial" w:hAnsi="Arial"/>
        </w:rPr>
        <w:bidi w:val="0"/>
      </w:pPr>
      <w:r>
        <w:rPr>
          <w:rFonts w:ascii="Arial" w:cs="Arial" w:eastAsia="Arial" w:hAnsi="Arial"/>
          <w:lang w:val="bg"/>
          <w:b w:val="0"/>
          <w:bCs w:val="0"/>
          <w:i w:val="0"/>
          <w:iCs w:val="0"/>
          <w:u w:val="none"/>
          <w:vertAlign w:val="baseline"/>
          <w:rtl w:val="0"/>
        </w:rPr>
        <w:t xml:space="preserve">За повече информация, включително подробности за гаранцията, посетете samsung.com/SSD или semiconductor.samsung.com/internal-ssd/.</w:t>
      </w:r>
    </w:p>
    <w:sectPr>
      <w:pgSz w:h="16838" w:w="11906" w:orient="portrait"/>
      <w:pgMar w:bottom="1247" w:top="1247" w:left="1247" w:right="1247" w:header="85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algun Gothic"/>
  <w:font w:name="Georgia"/>
  <w:font w:name="Arial"/>
  <w:font w:name="Batangche"/>
  <w:font w:name="Noto Sans Symbols">
    <w:embedRegular w:fontKey="{00000000-0000-0000-0000-000000000000}" r:id="rId1" w:subsetted="0"/>
    <w:embedBold w:fontKey="{00000000-0000-0000-0000-000000000000}" r:id="rId2"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6"/>
          <w:szCs w:val="16"/>
          <w:u w:val="none"/>
          <w:shd w:fill="auto" w:val="clear"/>
          <w:vertAlign w:val="baseline"/>
        </w:rPr>
        <w:bidi w:val="0"/>
      </w:pPr>
      <w:r>
        <w:rPr>
          <w:rStyle w:val="FootnoteReference"/>
          <w:lang w:val="bg"/>
          <w:b w:val="0"/>
          <w:bCs w:val="0"/>
          <w:i w:val="0"/>
          <w:iCs w:val="0"/>
          <w:u w:val="none"/>
          <w:vertAlign w:val="superscript"/>
          <w:rtl w:val="0"/>
        </w:rPr>
        <w:footnoteRef/>
      </w:r>
      <w:r>
        <w:rPr>
          <w:rFonts w:ascii="Arial" w:cs="Arial" w:eastAsia="Arial" w:hAnsi="Arial"/>
          <w:smallCaps w:val="0"/>
          <w:strike w:val="0"/>
          <w:color w:val="000000"/>
          <w:sz w:val="16"/>
          <w:szCs w:val="16"/>
          <w:shd w:fill="auto" w:val="clear"/>
          <w:lang w:val="bg"/>
          <w:b w:val="0"/>
          <w:bCs w:val="0"/>
          <w:i w:val="0"/>
          <w:iCs w:val="0"/>
          <w:u w:val="none"/>
          <w:vertAlign w:val="baseline"/>
          <w:rtl w:val="0"/>
        </w:rPr>
        <w:t xml:space="preserve"> Стандартът PCI-SIG D8 е с височина на радиатора от 8,8 мм или по-малка.</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542" w:hanging="400"/>
      </w:pPr>
      <w:rPr>
        <w:rFonts w:ascii="Batangche" w:cs="Batangche" w:eastAsia="Batangche" w:hAnsi="Batangche"/>
        <w:sz w:val="24"/>
        <w:szCs w:val="24"/>
      </w:rPr>
    </w:lvl>
    <w:lvl w:ilvl="1">
      <w:start w:val="1"/>
      <w:numFmt w:val="bullet"/>
      <w:lvlText w:val="■"/>
      <w:lvlJc w:val="left"/>
      <w:pPr>
        <w:ind w:left="942" w:hanging="400"/>
      </w:pPr>
      <w:rPr>
        <w:rFonts w:ascii="Noto Sans Symbols" w:cs="Noto Sans Symbols" w:eastAsia="Noto Sans Symbols" w:hAnsi="Noto Sans Symbols"/>
      </w:rPr>
    </w:lvl>
    <w:lvl w:ilvl="2">
      <w:start w:val="1"/>
      <w:numFmt w:val="bullet"/>
      <w:lvlText w:val="◆"/>
      <w:lvlJc w:val="left"/>
      <w:pPr>
        <w:ind w:left="1342" w:hanging="400.0000000000001"/>
      </w:pPr>
      <w:rPr>
        <w:rFonts w:ascii="Noto Sans Symbols" w:cs="Noto Sans Symbols" w:eastAsia="Noto Sans Symbols" w:hAnsi="Noto Sans Symbols"/>
      </w:rPr>
    </w:lvl>
    <w:lvl w:ilvl="3">
      <w:start w:val="1"/>
      <w:numFmt w:val="bullet"/>
      <w:lvlText w:val="●"/>
      <w:lvlJc w:val="left"/>
      <w:pPr>
        <w:ind w:left="1742" w:hanging="400"/>
      </w:pPr>
      <w:rPr>
        <w:rFonts w:ascii="Noto Sans Symbols" w:cs="Noto Sans Symbols" w:eastAsia="Noto Sans Symbols" w:hAnsi="Noto Sans Symbols"/>
      </w:rPr>
    </w:lvl>
    <w:lvl w:ilvl="4">
      <w:start w:val="1"/>
      <w:numFmt w:val="bullet"/>
      <w:lvlText w:val="■"/>
      <w:lvlJc w:val="left"/>
      <w:pPr>
        <w:ind w:left="2142" w:hanging="400"/>
      </w:pPr>
      <w:rPr>
        <w:rFonts w:ascii="Noto Sans Symbols" w:cs="Noto Sans Symbols" w:eastAsia="Noto Sans Symbols" w:hAnsi="Noto Sans Symbols"/>
      </w:rPr>
    </w:lvl>
    <w:lvl w:ilvl="5">
      <w:start w:val="1"/>
      <w:numFmt w:val="bullet"/>
      <w:lvlText w:val="◆"/>
      <w:lvlJc w:val="left"/>
      <w:pPr>
        <w:ind w:left="2542" w:hanging="400"/>
      </w:pPr>
      <w:rPr>
        <w:rFonts w:ascii="Noto Sans Symbols" w:cs="Noto Sans Symbols" w:eastAsia="Noto Sans Symbols" w:hAnsi="Noto Sans Symbols"/>
      </w:rPr>
    </w:lvl>
    <w:lvl w:ilvl="6">
      <w:start w:val="1"/>
      <w:numFmt w:val="bullet"/>
      <w:lvlText w:val="●"/>
      <w:lvlJc w:val="left"/>
      <w:pPr>
        <w:ind w:left="2942" w:hanging="400"/>
      </w:pPr>
      <w:rPr>
        <w:rFonts w:ascii="Noto Sans Symbols" w:cs="Noto Sans Symbols" w:eastAsia="Noto Sans Symbols" w:hAnsi="Noto Sans Symbols"/>
      </w:rPr>
    </w:lvl>
    <w:lvl w:ilvl="7">
      <w:start w:val="1"/>
      <w:numFmt w:val="bullet"/>
      <w:lvlText w:val="■"/>
      <w:lvlJc w:val="left"/>
      <w:pPr>
        <w:ind w:left="3342" w:hanging="400"/>
      </w:pPr>
      <w:rPr>
        <w:rFonts w:ascii="Noto Sans Symbols" w:cs="Noto Sans Symbols" w:eastAsia="Noto Sans Symbols" w:hAnsi="Noto Sans Symbols"/>
      </w:rPr>
    </w:lvl>
    <w:lvl w:ilvl="8">
      <w:start w:val="1"/>
      <w:numFmt w:val="bullet"/>
      <w:lvlText w:val="◆"/>
      <w:lvlJc w:val="left"/>
      <w:pPr>
        <w:ind w:left="3742" w:hanging="400"/>
      </w:pPr>
      <w:rPr>
        <w:rFonts w:ascii="Noto Sans Symbols" w:cs="Noto Sans Symbols" w:eastAsia="Noto Sans Symbols" w:hAnsi="Noto Sans Symbols"/>
      </w:rPr>
    </w:lvl>
  </w:abstractNum>
  <w:abstractNum w:abstractNumId="2">
    <w:lvl w:ilvl="0">
      <w:start w:val="1"/>
      <w:numFmt w:val="bullet"/>
      <w:lvlText w:val="■"/>
      <w:lvlJc w:val="left"/>
      <w:pPr>
        <w:ind w:left="400" w:hanging="400"/>
      </w:pPr>
      <w:rPr>
        <w:rFonts w:ascii="Noto Sans Symbols" w:cs="Noto Sans Symbols" w:eastAsia="Noto Sans Symbols" w:hAnsi="Noto Sans Symbols"/>
      </w:rPr>
    </w:lvl>
    <w:lvl w:ilvl="1">
      <w:start w:val="1"/>
      <w:numFmt w:val="bullet"/>
      <w:lvlText w:val="■"/>
      <w:lvlJc w:val="left"/>
      <w:pPr>
        <w:ind w:left="800" w:hanging="400"/>
      </w:pPr>
      <w:rPr>
        <w:rFonts w:ascii="Noto Sans Symbols" w:cs="Noto Sans Symbols" w:eastAsia="Noto Sans Symbols" w:hAnsi="Noto Sans Symbols"/>
      </w:rPr>
    </w:lvl>
    <w:lvl w:ilvl="2">
      <w:start w:val="1"/>
      <w:numFmt w:val="bullet"/>
      <w:lvlText w:val="◆"/>
      <w:lvlJc w:val="left"/>
      <w:pPr>
        <w:ind w:left="1200" w:hanging="400"/>
      </w:pPr>
      <w:rPr>
        <w:rFonts w:ascii="Noto Sans Symbols" w:cs="Noto Sans Symbols" w:eastAsia="Noto Sans Symbols" w:hAnsi="Noto Sans Symbols"/>
      </w:rPr>
    </w:lvl>
    <w:lvl w:ilvl="3">
      <w:start w:val="1"/>
      <w:numFmt w:val="bullet"/>
      <w:lvlText w:val="●"/>
      <w:lvlJc w:val="left"/>
      <w:pPr>
        <w:ind w:left="1600" w:hanging="400"/>
      </w:pPr>
      <w:rPr>
        <w:rFonts w:ascii="Noto Sans Symbols" w:cs="Noto Sans Symbols" w:eastAsia="Noto Sans Symbols" w:hAnsi="Noto Sans Symbols"/>
      </w:rPr>
    </w:lvl>
    <w:lvl w:ilvl="4">
      <w:start w:val="1"/>
      <w:numFmt w:val="bullet"/>
      <w:lvlText w:val="■"/>
      <w:lvlJc w:val="left"/>
      <w:pPr>
        <w:ind w:left="2000" w:hanging="400"/>
      </w:pPr>
      <w:rPr>
        <w:rFonts w:ascii="Noto Sans Symbols" w:cs="Noto Sans Symbols" w:eastAsia="Noto Sans Symbols" w:hAnsi="Noto Sans Symbols"/>
      </w:rPr>
    </w:lvl>
    <w:lvl w:ilvl="5">
      <w:start w:val="1"/>
      <w:numFmt w:val="bullet"/>
      <w:lvlText w:val="◆"/>
      <w:lvlJc w:val="left"/>
      <w:pPr>
        <w:ind w:left="2400" w:hanging="400"/>
      </w:pPr>
      <w:rPr>
        <w:rFonts w:ascii="Noto Sans Symbols" w:cs="Noto Sans Symbols" w:eastAsia="Noto Sans Symbols" w:hAnsi="Noto Sans Symbols"/>
      </w:rPr>
    </w:lvl>
    <w:lvl w:ilvl="6">
      <w:start w:val="1"/>
      <w:numFmt w:val="bullet"/>
      <w:lvlText w:val="●"/>
      <w:lvlJc w:val="left"/>
      <w:pPr>
        <w:ind w:left="2800" w:hanging="400"/>
      </w:pPr>
      <w:rPr>
        <w:rFonts w:ascii="Noto Sans Symbols" w:cs="Noto Sans Symbols" w:eastAsia="Noto Sans Symbols" w:hAnsi="Noto Sans Symbols"/>
      </w:rPr>
    </w:lvl>
    <w:lvl w:ilvl="7">
      <w:start w:val="1"/>
      <w:numFmt w:val="bullet"/>
      <w:lvlText w:val="■"/>
      <w:lvlJc w:val="left"/>
      <w:pPr>
        <w:ind w:left="3200" w:hanging="400"/>
      </w:pPr>
      <w:rPr>
        <w:rFonts w:ascii="Noto Sans Symbols" w:cs="Noto Sans Symbols" w:eastAsia="Noto Sans Symbols" w:hAnsi="Noto Sans Symbols"/>
      </w:rPr>
    </w:lvl>
    <w:lvl w:ilvl="8">
      <w:start w:val="1"/>
      <w:numFmt w:val="bullet"/>
      <w:lvlText w:val="◆"/>
      <w:lvlJc w:val="left"/>
      <w:pPr>
        <w:ind w:left="3600" w:hanging="400"/>
      </w:pPr>
      <w:rPr>
        <w:rFonts w:ascii="Noto Sans Symbols" w:cs="Noto Sans Symbols" w:eastAsia="Noto Sans Symbols" w:hAnsi="Noto Sans Symbols"/>
      </w:rPr>
    </w:lvl>
  </w:abstractNum>
  <w:abstractNum w:abstractNumId="3">
    <w:lvl w:ilvl="0">
      <w:start w:val="1"/>
      <w:numFmt w:val="bullet"/>
      <w:lvlText w:val="■"/>
      <w:lvlJc w:val="left"/>
      <w:pPr>
        <w:ind w:left="542" w:hanging="400"/>
      </w:pPr>
      <w:rPr>
        <w:rFonts w:ascii="Noto Sans Symbols" w:cs="Noto Sans Symbols" w:eastAsia="Noto Sans Symbols" w:hAnsi="Noto Sans Symbols"/>
      </w:rPr>
    </w:lvl>
    <w:lvl w:ilvl="1">
      <w:start w:val="1"/>
      <w:numFmt w:val="bullet"/>
      <w:lvlText w:val="■"/>
      <w:lvlJc w:val="left"/>
      <w:pPr>
        <w:ind w:left="942" w:hanging="400"/>
      </w:pPr>
      <w:rPr>
        <w:rFonts w:ascii="Noto Sans Symbols" w:cs="Noto Sans Symbols" w:eastAsia="Noto Sans Symbols" w:hAnsi="Noto Sans Symbols"/>
      </w:rPr>
    </w:lvl>
    <w:lvl w:ilvl="2">
      <w:start w:val="1"/>
      <w:numFmt w:val="bullet"/>
      <w:lvlText w:val="◆"/>
      <w:lvlJc w:val="left"/>
      <w:pPr>
        <w:ind w:left="1342" w:hanging="400.0000000000001"/>
      </w:pPr>
      <w:rPr>
        <w:rFonts w:ascii="Noto Sans Symbols" w:cs="Noto Sans Symbols" w:eastAsia="Noto Sans Symbols" w:hAnsi="Noto Sans Symbols"/>
      </w:rPr>
    </w:lvl>
    <w:lvl w:ilvl="3">
      <w:start w:val="1"/>
      <w:numFmt w:val="bullet"/>
      <w:lvlText w:val="●"/>
      <w:lvlJc w:val="left"/>
      <w:pPr>
        <w:ind w:left="1742" w:hanging="400"/>
      </w:pPr>
      <w:rPr>
        <w:rFonts w:ascii="Noto Sans Symbols" w:cs="Noto Sans Symbols" w:eastAsia="Noto Sans Symbols" w:hAnsi="Noto Sans Symbols"/>
      </w:rPr>
    </w:lvl>
    <w:lvl w:ilvl="4">
      <w:start w:val="1"/>
      <w:numFmt w:val="bullet"/>
      <w:lvlText w:val="■"/>
      <w:lvlJc w:val="left"/>
      <w:pPr>
        <w:ind w:left="2142" w:hanging="400"/>
      </w:pPr>
      <w:rPr>
        <w:rFonts w:ascii="Noto Sans Symbols" w:cs="Noto Sans Symbols" w:eastAsia="Noto Sans Symbols" w:hAnsi="Noto Sans Symbols"/>
      </w:rPr>
    </w:lvl>
    <w:lvl w:ilvl="5">
      <w:start w:val="1"/>
      <w:numFmt w:val="bullet"/>
      <w:lvlText w:val="◆"/>
      <w:lvlJc w:val="left"/>
      <w:pPr>
        <w:ind w:left="2542" w:hanging="400"/>
      </w:pPr>
      <w:rPr>
        <w:rFonts w:ascii="Noto Sans Symbols" w:cs="Noto Sans Symbols" w:eastAsia="Noto Sans Symbols" w:hAnsi="Noto Sans Symbols"/>
      </w:rPr>
    </w:lvl>
    <w:lvl w:ilvl="6">
      <w:start w:val="1"/>
      <w:numFmt w:val="bullet"/>
      <w:lvlText w:val="●"/>
      <w:lvlJc w:val="left"/>
      <w:pPr>
        <w:ind w:left="2942" w:hanging="400"/>
      </w:pPr>
      <w:rPr>
        <w:rFonts w:ascii="Noto Sans Symbols" w:cs="Noto Sans Symbols" w:eastAsia="Noto Sans Symbols" w:hAnsi="Noto Sans Symbols"/>
      </w:rPr>
    </w:lvl>
    <w:lvl w:ilvl="7">
      <w:start w:val="1"/>
      <w:numFmt w:val="bullet"/>
      <w:lvlText w:val="■"/>
      <w:lvlJc w:val="left"/>
      <w:pPr>
        <w:ind w:left="3342" w:hanging="400"/>
      </w:pPr>
      <w:rPr>
        <w:rFonts w:ascii="Noto Sans Symbols" w:cs="Noto Sans Symbols" w:eastAsia="Noto Sans Symbols" w:hAnsi="Noto Sans Symbols"/>
      </w:rPr>
    </w:lvl>
    <w:lvl w:ilvl="8">
      <w:start w:val="1"/>
      <w:numFmt w:val="bullet"/>
      <w:lvlText w:val="◆"/>
      <w:lvlJc w:val="left"/>
      <w:pPr>
        <w:ind w:left="3742" w:hanging="40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algun Gothic" w:cs="Malgun Gothic" w:eastAsia="Malgun Gothic" w:hAnsi="Malgun Gothic"/>
        <w:lang w:val="en-US"/>
      </w:rPr>
    </w:rPrDefault>
    <w:pPrDefault>
      <w:pPr>
        <w:widowControl w:val="0"/>
        <w:spacing w:after="160" w:line="259"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pPr>
      <w:widowControl w:val="0"/>
      <w:wordWrap w:val="0"/>
      <w:autoSpaceDE w:val="0"/>
      <w:autoSpaceDN w:val="0"/>
    </w:p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normaltextrun" w:customStyle="1">
    <w:name w:val="normaltextrun"/>
    <w:basedOn w:val="a0"/>
    <w:rsid w:val="0012341D"/>
  </w:style>
  <w:style w:type="paragraph" w:styleId="a3">
    <w:name w:val="List Paragraph"/>
    <w:basedOn w:val="a"/>
    <w:uiPriority w:val="34"/>
    <w:qFormat w:val="1"/>
    <w:rsid w:val="0012341D"/>
    <w:pPr>
      <w:ind w:left="800" w:leftChars="400"/>
    </w:pPr>
  </w:style>
  <w:style w:type="paragraph" w:styleId="a4">
    <w:name w:val="header"/>
    <w:basedOn w:val="a"/>
    <w:link w:val="Char"/>
    <w:uiPriority w:val="99"/>
    <w:unhideWhenUsed w:val="1"/>
    <w:rsid w:val="000A7B5C"/>
    <w:pPr>
      <w:tabs>
        <w:tab w:val="center" w:pos="4513"/>
        <w:tab w:val="right" w:pos="9026"/>
      </w:tabs>
      <w:snapToGrid w:val="0"/>
    </w:pPr>
  </w:style>
  <w:style w:type="character" w:styleId="Char" w:customStyle="1">
    <w:name w:val="머리글 Char"/>
    <w:basedOn w:val="a0"/>
    <w:link w:val="a4"/>
    <w:uiPriority w:val="99"/>
    <w:rsid w:val="000A7B5C"/>
  </w:style>
  <w:style w:type="paragraph" w:styleId="a5">
    <w:name w:val="footer"/>
    <w:basedOn w:val="a"/>
    <w:link w:val="Char0"/>
    <w:uiPriority w:val="99"/>
    <w:unhideWhenUsed w:val="1"/>
    <w:rsid w:val="000A7B5C"/>
    <w:pPr>
      <w:tabs>
        <w:tab w:val="center" w:pos="4513"/>
        <w:tab w:val="right" w:pos="9026"/>
      </w:tabs>
      <w:snapToGrid w:val="0"/>
    </w:pPr>
  </w:style>
  <w:style w:type="character" w:styleId="Char0" w:customStyle="1">
    <w:name w:val="바닥글 Char"/>
    <w:basedOn w:val="a0"/>
    <w:link w:val="a5"/>
    <w:uiPriority w:val="99"/>
    <w:rsid w:val="000A7B5C"/>
  </w:style>
  <w:style w:type="paragraph" w:styleId="a6">
    <w:name w:val="Date"/>
    <w:basedOn w:val="a"/>
    <w:next w:val="a"/>
    <w:link w:val="Char1"/>
    <w:uiPriority w:val="99"/>
    <w:semiHidden w:val="1"/>
    <w:unhideWhenUsed w:val="1"/>
    <w:rsid w:val="000A7B5C"/>
  </w:style>
  <w:style w:type="character" w:styleId="Char1" w:customStyle="1">
    <w:name w:val="날짜 Char"/>
    <w:basedOn w:val="a0"/>
    <w:link w:val="a6"/>
    <w:uiPriority w:val="99"/>
    <w:semiHidden w:val="1"/>
    <w:rsid w:val="000A7B5C"/>
  </w:style>
  <w:style w:type="paragraph" w:styleId="a7">
    <w:name w:val="Balloon Text"/>
    <w:basedOn w:val="a"/>
    <w:link w:val="Char2"/>
    <w:uiPriority w:val="99"/>
    <w:semiHidden w:val="1"/>
    <w:unhideWhenUsed w:val="1"/>
    <w:rsid w:val="00214450"/>
    <w:pPr>
      <w:spacing w:after="0" w:line="240" w:lineRule="auto"/>
    </w:pPr>
    <w:rPr>
      <w:rFonts w:asciiTheme="majorHAnsi" w:cstheme="majorBidi" w:eastAsiaTheme="majorEastAsia" w:hAnsiTheme="majorHAnsi"/>
      <w:sz w:val="18"/>
      <w:szCs w:val="18"/>
    </w:rPr>
  </w:style>
  <w:style w:type="character" w:styleId="Char2" w:customStyle="1">
    <w:name w:val="풍선 도움말 텍스트 Char"/>
    <w:basedOn w:val="a0"/>
    <w:link w:val="a7"/>
    <w:uiPriority w:val="99"/>
    <w:semiHidden w:val="1"/>
    <w:rsid w:val="00214450"/>
    <w:rPr>
      <w:rFonts w:asciiTheme="majorHAnsi" w:cstheme="majorBidi" w:eastAsiaTheme="majorEastAsia" w:hAnsiTheme="majorHAnsi"/>
      <w:sz w:val="18"/>
      <w:szCs w:val="18"/>
    </w:rPr>
  </w:style>
  <w:style w:type="paragraph" w:styleId="a8">
    <w:name w:val="annotation text"/>
    <w:basedOn w:val="a"/>
    <w:link w:val="Char3"/>
    <w:uiPriority w:val="99"/>
    <w:unhideWhenUsed w:val="1"/>
    <w:rsid w:val="004571F6"/>
    <w:pPr>
      <w:widowControl w:val="1"/>
      <w:wordWrap w:val="1"/>
      <w:autoSpaceDE w:val="1"/>
      <w:autoSpaceDN w:val="1"/>
      <w:spacing w:line="240" w:lineRule="auto"/>
      <w:jc w:val="left"/>
    </w:pPr>
    <w:rPr>
      <w:kern w:val="0"/>
      <w:szCs w:val="20"/>
      <w:lang w:eastAsia="ja-JP"/>
    </w:rPr>
  </w:style>
  <w:style w:type="character" w:styleId="Char3" w:customStyle="1">
    <w:name w:val="메모 텍스트 Char"/>
    <w:basedOn w:val="a0"/>
    <w:link w:val="a8"/>
    <w:uiPriority w:val="99"/>
    <w:rsid w:val="004571F6"/>
    <w:rPr>
      <w:kern w:val="0"/>
      <w:szCs w:val="20"/>
      <w:lang w:eastAsia="ja-JP"/>
    </w:rPr>
  </w:style>
  <w:style w:type="character" w:styleId="a9">
    <w:name w:val="annotation reference"/>
    <w:basedOn w:val="a0"/>
    <w:uiPriority w:val="99"/>
    <w:semiHidden w:val="1"/>
    <w:unhideWhenUsed w:val="1"/>
    <w:rsid w:val="004571F6"/>
    <w:rPr>
      <w:sz w:val="16"/>
      <w:szCs w:val="16"/>
    </w:rPr>
  </w:style>
  <w:style w:type="paragraph" w:styleId="aa">
    <w:name w:val="footnote text"/>
    <w:basedOn w:val="a"/>
    <w:link w:val="Char4"/>
    <w:uiPriority w:val="99"/>
    <w:semiHidden w:val="1"/>
    <w:unhideWhenUsed w:val="1"/>
    <w:rsid w:val="004571F6"/>
    <w:pPr>
      <w:spacing w:after="0" w:line="240" w:lineRule="auto"/>
    </w:pPr>
    <w:rPr>
      <w:szCs w:val="20"/>
    </w:rPr>
  </w:style>
  <w:style w:type="character" w:styleId="Char4" w:customStyle="1">
    <w:name w:val="각주 텍스트 Char"/>
    <w:basedOn w:val="a0"/>
    <w:link w:val="aa"/>
    <w:uiPriority w:val="99"/>
    <w:semiHidden w:val="1"/>
    <w:rsid w:val="004571F6"/>
    <w:rPr>
      <w:szCs w:val="20"/>
    </w:rPr>
  </w:style>
  <w:style w:type="character" w:styleId="ab">
    <w:name w:val="footnote reference"/>
    <w:basedOn w:val="a0"/>
    <w:uiPriority w:val="99"/>
    <w:semiHidden w:val="1"/>
    <w:unhideWhenUsed w:val="1"/>
    <w:rsid w:val="004571F6"/>
    <w:rPr>
      <w:vertAlign w:val="superscri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footnotes" Target="footnotes.xml" /><Relationship Id="rId5" Type="http://schemas.openxmlformats.org/officeDocument/2006/relationships/numbering" Target="numbering.xml" /><Relationship Id="rId6" Type="http://schemas.openxmlformats.org/officeDocument/2006/relationships/styles" Target="styles.xml" /><Relationship Id="rId7" Type="http://schemas.openxmlformats.org/officeDocument/2006/relationships/customXml" Target="../customXML/item1.xml" /><Relationship Id="rId8" Type="http://schemas.openxmlformats.org/officeDocument/2006/relationships/image" Target="media/image1.png" /></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D7vaDdvgGD04OlYyG1XOJumyc0w==">CgMxLjAyCGguZ2pkZ3hzOAByITE3U2VBUDNxMEVEM1dHUUdDOU1YR045eGpXU2JKb3k4TA==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2025-02-13T04:11:00Z</dcterms:created>
  <dc:creator>김예빈/ YEBIN KIM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