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980479" w:rsidTr="00624A03">
        <w:trPr>
          <w:trHeight w:val="433"/>
        </w:trPr>
        <w:tc>
          <w:tcPr>
            <w:tcW w:w="7621" w:type="dxa"/>
            <w:gridSpan w:val="2"/>
          </w:tcPr>
          <w:p w:rsidR="009924EC" w:rsidRPr="00980479" w:rsidRDefault="00B808C7" w:rsidP="00F15EE8">
            <w:pPr>
              <w:rPr>
                <w:b/>
                <w:bCs/>
                <w:color w:val="00A0CB"/>
                <w:spacing w:val="38"/>
                <w:sz w:val="36"/>
                <w:szCs w:val="36"/>
              </w:rPr>
            </w:pPr>
            <w:r w:rsidRPr="00980479">
              <w:rPr>
                <w:b/>
                <w:color w:val="00A0CB"/>
                <w:sz w:val="36"/>
              </w:rPr>
              <w:t xml:space="preserve">Anciënniteitsgeschenken: welke regels moeten worden nageleefd? </w:t>
            </w:r>
          </w:p>
        </w:tc>
        <w:tc>
          <w:tcPr>
            <w:tcW w:w="1902" w:type="dxa"/>
            <w:vMerge w:val="restart"/>
          </w:tcPr>
          <w:p w:rsidR="009924EC" w:rsidRPr="00980479" w:rsidRDefault="009924EC" w:rsidP="00B40816">
            <w:pPr>
              <w:rPr>
                <w:rFonts w:ascii="Calibri" w:hAnsi="Calibri"/>
                <w:sz w:val="24"/>
              </w:rPr>
            </w:pPr>
            <w:r w:rsidRPr="00980479">
              <w:rPr>
                <w:rFonts w:ascii="Calibri" w:hAnsi="Calibri"/>
                <w:noProof/>
                <w:sz w:val="24"/>
                <w:lang w:val="nl-BE" w:eastAsia="nl-BE" w:bidi="ar-SA"/>
              </w:rPr>
              <w:drawing>
                <wp:inline distT="0" distB="0" distL="0" distR="0">
                  <wp:extent cx="1080000" cy="1438024"/>
                  <wp:effectExtent l="38100" t="19050" r="24900" b="9776"/>
                  <wp:docPr id="4" name="Picture 1" descr="5EB1DD21-69F4-4E1E-9FE2-CF069E690ED3"/>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7" cstate="print">
                            <a:duotone>
                              <a:schemeClr val="accent1">
                                <a:shade val="45000"/>
                                <a:satMod val="135000"/>
                              </a:schemeClr>
                              <a:prstClr val="white"/>
                            </a:duotone>
                          </a:blip>
                          <a:stretch>
                            <a:fillRect/>
                          </a:stretch>
                        </pic:blipFill>
                        <pic:spPr bwMode="auto">
                          <a:xfrm>
                            <a:off x="0" y="0"/>
                            <a:ext cx="1080000" cy="1438024"/>
                          </a:xfrm>
                          <a:prstGeom prst="rect">
                            <a:avLst/>
                          </a:prstGeom>
                          <a:ln>
                            <a:solidFill>
                              <a:schemeClr val="tx2">
                                <a:lumMod val="40000"/>
                                <a:lumOff val="60000"/>
                              </a:schemeClr>
                            </a:solidFill>
                          </a:ln>
                          <a:effectLst/>
                        </pic:spPr>
                      </pic:pic>
                    </a:graphicData>
                  </a:graphic>
                </wp:inline>
              </w:drawing>
            </w:r>
          </w:p>
        </w:tc>
      </w:tr>
      <w:tr w:rsidR="005539DF" w:rsidRPr="00980479" w:rsidTr="00624A03">
        <w:trPr>
          <w:trHeight w:val="1680"/>
        </w:trPr>
        <w:tc>
          <w:tcPr>
            <w:tcW w:w="5642" w:type="dxa"/>
          </w:tcPr>
          <w:p w:rsidR="005539DF" w:rsidRPr="00980479" w:rsidRDefault="005539DF" w:rsidP="00B40816">
            <w:pPr>
              <w:spacing w:line="280" w:lineRule="exact"/>
              <w:jc w:val="both"/>
              <w:rPr>
                <w:rFonts w:cs="Arial"/>
                <w:color w:val="0071A7"/>
                <w:sz w:val="28"/>
                <w:szCs w:val="28"/>
              </w:rPr>
            </w:pPr>
            <w:r w:rsidRPr="00980479">
              <w:rPr>
                <w:color w:val="0071A7"/>
                <w:sz w:val="28"/>
              </w:rPr>
              <w:t xml:space="preserve"> </w:t>
            </w:r>
          </w:p>
          <w:p w:rsidR="005539DF" w:rsidRPr="00980479" w:rsidRDefault="005539DF" w:rsidP="00B40816">
            <w:pPr>
              <w:spacing w:line="280" w:lineRule="exact"/>
              <w:jc w:val="both"/>
              <w:rPr>
                <w:rFonts w:cs="Arial"/>
                <w:sz w:val="28"/>
                <w:szCs w:val="28"/>
              </w:rPr>
            </w:pPr>
          </w:p>
          <w:p w:rsidR="005539DF" w:rsidRPr="00980479" w:rsidRDefault="005539DF" w:rsidP="00B40816">
            <w:pPr>
              <w:spacing w:line="280" w:lineRule="exact"/>
              <w:jc w:val="both"/>
              <w:rPr>
                <w:rFonts w:cs="Arial"/>
                <w:sz w:val="28"/>
                <w:szCs w:val="28"/>
              </w:rPr>
            </w:pPr>
          </w:p>
          <w:p w:rsidR="005539DF" w:rsidRPr="00980479" w:rsidRDefault="005539DF" w:rsidP="00B40816">
            <w:pPr>
              <w:spacing w:line="280" w:lineRule="exact"/>
              <w:jc w:val="both"/>
              <w:rPr>
                <w:rFonts w:cs="Arial"/>
                <w:sz w:val="28"/>
                <w:szCs w:val="28"/>
              </w:rPr>
            </w:pPr>
          </w:p>
          <w:p w:rsidR="005539DF" w:rsidRPr="00980479" w:rsidRDefault="005539DF" w:rsidP="00B40816">
            <w:pPr>
              <w:spacing w:line="280" w:lineRule="exact"/>
              <w:jc w:val="both"/>
              <w:rPr>
                <w:rFonts w:cs="Arial"/>
                <w:sz w:val="28"/>
                <w:szCs w:val="28"/>
              </w:rPr>
            </w:pPr>
          </w:p>
          <w:p w:rsidR="005539DF" w:rsidRPr="00980479" w:rsidRDefault="005539DF" w:rsidP="00B40816">
            <w:pPr>
              <w:spacing w:line="280" w:lineRule="exact"/>
              <w:jc w:val="both"/>
              <w:rPr>
                <w:rFonts w:cs="Arial"/>
                <w:sz w:val="28"/>
                <w:szCs w:val="28"/>
              </w:rPr>
            </w:pPr>
          </w:p>
        </w:tc>
        <w:tc>
          <w:tcPr>
            <w:tcW w:w="1979" w:type="dxa"/>
            <w:vAlign w:val="bottom"/>
          </w:tcPr>
          <w:p w:rsidR="005539DF" w:rsidRPr="00980479" w:rsidRDefault="0005144F" w:rsidP="005539DF">
            <w:pPr>
              <w:jc w:val="right"/>
              <w:rPr>
                <w:rFonts w:cs="Arial"/>
                <w:sz w:val="18"/>
                <w:szCs w:val="18"/>
              </w:rPr>
            </w:pPr>
            <w:proofErr w:type="spellStart"/>
            <w:r w:rsidRPr="00980479">
              <w:rPr>
                <w:sz w:val="18"/>
              </w:rPr>
              <w:t>Françoise</w:t>
            </w:r>
            <w:proofErr w:type="spellEnd"/>
            <w:r w:rsidRPr="00980479">
              <w:rPr>
                <w:sz w:val="18"/>
              </w:rPr>
              <w:t xml:space="preserve"> Leus</w:t>
            </w:r>
          </w:p>
          <w:p w:rsidR="005539DF" w:rsidRPr="00980479" w:rsidRDefault="0005144F" w:rsidP="005539DF">
            <w:pPr>
              <w:jc w:val="right"/>
              <w:rPr>
                <w:rFonts w:cs="Arial"/>
                <w:sz w:val="28"/>
                <w:szCs w:val="28"/>
              </w:rPr>
            </w:pPr>
            <w:r w:rsidRPr="00980479">
              <w:rPr>
                <w:sz w:val="18"/>
              </w:rPr>
              <w:t xml:space="preserve">Senior Legal Consultant </w:t>
            </w:r>
            <w:proofErr w:type="spellStart"/>
            <w:r w:rsidRPr="00980479">
              <w:rPr>
                <w:sz w:val="18"/>
              </w:rPr>
              <w:t>Partena</w:t>
            </w:r>
            <w:proofErr w:type="spellEnd"/>
            <w:r w:rsidRPr="00980479">
              <w:rPr>
                <w:sz w:val="18"/>
              </w:rPr>
              <w:t xml:space="preserve"> Professional</w:t>
            </w:r>
          </w:p>
        </w:tc>
        <w:tc>
          <w:tcPr>
            <w:tcW w:w="1902" w:type="dxa"/>
            <w:vMerge/>
          </w:tcPr>
          <w:p w:rsidR="005539DF" w:rsidRPr="00980479" w:rsidRDefault="005539DF" w:rsidP="00B40816">
            <w:pPr>
              <w:jc w:val="center"/>
              <w:rPr>
                <w:rFonts w:ascii="Calibri" w:hAnsi="Calibri"/>
                <w:sz w:val="24"/>
              </w:rPr>
            </w:pPr>
          </w:p>
        </w:tc>
      </w:tr>
    </w:tbl>
    <w:p w:rsidR="0071493A" w:rsidRPr="00980479" w:rsidRDefault="004C3C3C" w:rsidP="00AA4348">
      <w:pPr>
        <w:autoSpaceDE w:val="0"/>
        <w:autoSpaceDN w:val="0"/>
        <w:adjustRightInd w:val="0"/>
        <w:jc w:val="both"/>
        <w:rPr>
          <w:rFonts w:ascii="Calibri" w:hAnsi="Calibri" w:cs="Arial"/>
          <w:sz w:val="24"/>
        </w:rPr>
      </w:pPr>
      <w:r w:rsidRPr="00980479">
        <w:rPr>
          <w:noProof/>
          <w:lang w:val="nl-BE" w:eastAsia="nl-BE" w:bidi="ar-SA"/>
        </w:rPr>
        <mc:AlternateContent>
          <mc:Choice Requires="wps">
            <w:drawing>
              <wp:anchor distT="4294967293" distB="4294967293" distL="114300" distR="114300" simplePos="0" relativeHeight="251658752" behindDoc="0" locked="0" layoutInCell="1" allowOverlap="1">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A4BD773"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rsidR="00ED5E2F" w:rsidRPr="00980479" w:rsidRDefault="00ED5E2F" w:rsidP="00E564FF">
      <w:pPr>
        <w:spacing w:line="280" w:lineRule="exact"/>
        <w:jc w:val="both"/>
        <w:rPr>
          <w:rFonts w:cs="Arial"/>
          <w:sz w:val="28"/>
          <w:szCs w:val="28"/>
        </w:rPr>
      </w:pPr>
    </w:p>
    <w:p w:rsidR="00F15EE8" w:rsidRPr="00980479" w:rsidRDefault="00F15EE8" w:rsidP="00F15EE8">
      <w:pPr>
        <w:spacing w:line="280" w:lineRule="exact"/>
        <w:jc w:val="both"/>
        <w:rPr>
          <w:b/>
          <w:color w:val="404040" w:themeColor="text1" w:themeTint="BF"/>
          <w:sz w:val="24"/>
        </w:rPr>
      </w:pPr>
      <w:r w:rsidRPr="00980479">
        <w:rPr>
          <w:b/>
          <w:color w:val="404040" w:themeColor="text1" w:themeTint="BF"/>
          <w:sz w:val="24"/>
        </w:rPr>
        <w:t xml:space="preserve">Sommige werkgevers willen hun werknemers die al een tijdje in dienst zijn graag belonen door hen een premie of geschenk toe te kennen. Zo’n premie of geschenk kan slechts onder welbepaalde voorwaarden als een </w:t>
      </w:r>
      <w:proofErr w:type="spellStart"/>
      <w:r w:rsidRPr="00980479">
        <w:rPr>
          <w:b/>
          <w:color w:val="404040" w:themeColor="text1" w:themeTint="BF"/>
          <w:sz w:val="24"/>
        </w:rPr>
        <w:t>nettovoordeel</w:t>
      </w:r>
      <w:proofErr w:type="spellEnd"/>
      <w:r w:rsidRPr="00980479">
        <w:rPr>
          <w:b/>
          <w:color w:val="404040" w:themeColor="text1" w:themeTint="BF"/>
          <w:sz w:val="24"/>
        </w:rPr>
        <w:t xml:space="preserve"> worden toegekend. </w:t>
      </w:r>
    </w:p>
    <w:p w:rsidR="00F15EE8" w:rsidRPr="00980479" w:rsidRDefault="00F15EE8" w:rsidP="00F15EE8">
      <w:pPr>
        <w:spacing w:line="280" w:lineRule="exact"/>
        <w:jc w:val="both"/>
        <w:rPr>
          <w:b/>
          <w:color w:val="404040" w:themeColor="text1" w:themeTint="BF"/>
          <w:sz w:val="24"/>
        </w:rPr>
      </w:pPr>
    </w:p>
    <w:p w:rsidR="008E038F" w:rsidRPr="00980479" w:rsidRDefault="00F15EE8" w:rsidP="00F15EE8">
      <w:pPr>
        <w:spacing w:line="280" w:lineRule="exact"/>
        <w:jc w:val="both"/>
        <w:rPr>
          <w:b/>
          <w:color w:val="404040" w:themeColor="text1" w:themeTint="BF"/>
          <w:sz w:val="24"/>
        </w:rPr>
      </w:pPr>
      <w:r w:rsidRPr="00980479">
        <w:rPr>
          <w:b/>
          <w:color w:val="404040" w:themeColor="text1" w:themeTint="BF"/>
          <w:sz w:val="24"/>
        </w:rPr>
        <w:t xml:space="preserve">De principes hieronder gelden zowel voor de geschenken die in cash aan de werknemer worden toegekend als voor de geschenken die onder de vorm van cheques of in natura (een huishoudtoestel, een wijnkist, enz.) worden toegekend. </w:t>
      </w:r>
    </w:p>
    <w:p w:rsidR="00430958" w:rsidRPr="00980479" w:rsidRDefault="00430958" w:rsidP="008E038F">
      <w:pPr>
        <w:spacing w:line="280" w:lineRule="exact"/>
        <w:jc w:val="both"/>
        <w:rPr>
          <w:rFonts w:cs="Arial"/>
          <w:b/>
          <w:color w:val="404040" w:themeColor="text1" w:themeTint="BF"/>
          <w:sz w:val="24"/>
        </w:rPr>
      </w:pPr>
    </w:p>
    <w:p w:rsidR="005035FC" w:rsidRPr="00980479" w:rsidRDefault="00C777CB" w:rsidP="008E038F">
      <w:pPr>
        <w:spacing w:line="280" w:lineRule="exact"/>
        <w:jc w:val="both"/>
        <w:rPr>
          <w:rFonts w:cs="Arial"/>
          <w:b/>
          <w:color w:val="00B0F0"/>
          <w:sz w:val="24"/>
        </w:rPr>
      </w:pPr>
      <w:r w:rsidRPr="00980479">
        <w:rPr>
          <w:b/>
          <w:color w:val="00B0F0"/>
          <w:sz w:val="24"/>
        </w:rPr>
        <w:t>Na hoeveel jaar anciënniteit kan de werkgever aan zijn werknemer een premie of geschenk toekennen?</w:t>
      </w:r>
    </w:p>
    <w:p w:rsidR="005035FC" w:rsidRPr="00980479" w:rsidRDefault="005035FC" w:rsidP="008E038F">
      <w:pPr>
        <w:spacing w:line="280" w:lineRule="exact"/>
        <w:jc w:val="both"/>
        <w:rPr>
          <w:rFonts w:cs="Arial"/>
          <w:color w:val="404040" w:themeColor="text1" w:themeTint="BF"/>
          <w:szCs w:val="20"/>
        </w:rPr>
      </w:pPr>
    </w:p>
    <w:p w:rsidR="00A25EC1" w:rsidRPr="00980479" w:rsidRDefault="00A25EC1" w:rsidP="008E038F">
      <w:pPr>
        <w:spacing w:line="280" w:lineRule="exact"/>
        <w:jc w:val="both"/>
        <w:rPr>
          <w:rFonts w:cs="Arial"/>
          <w:color w:val="404040" w:themeColor="text1" w:themeTint="BF"/>
          <w:szCs w:val="20"/>
        </w:rPr>
      </w:pPr>
      <w:r w:rsidRPr="00980479">
        <w:rPr>
          <w:color w:val="404040" w:themeColor="text1" w:themeTint="BF"/>
        </w:rPr>
        <w:t>Tijdens de loopbaan van een werknemer bij een welbepaalde werkgever kan deze werkgever hem slechts tweemaal een geschenk toekennen zonder dat er sociale zekerheidsbijdragen of bedrijfsvoorheffing moeten betaald worden op dit geschenk:</w:t>
      </w:r>
    </w:p>
    <w:p w:rsidR="00A25EC1" w:rsidRPr="00980479" w:rsidRDefault="00A25EC1" w:rsidP="00A25EC1">
      <w:pPr>
        <w:pStyle w:val="ListParagraph"/>
        <w:numPr>
          <w:ilvl w:val="0"/>
          <w:numId w:val="21"/>
        </w:numPr>
        <w:spacing w:line="280" w:lineRule="exact"/>
        <w:jc w:val="both"/>
        <w:rPr>
          <w:rFonts w:cs="Arial"/>
          <w:color w:val="404040" w:themeColor="text1" w:themeTint="BF"/>
          <w:szCs w:val="20"/>
        </w:rPr>
      </w:pPr>
      <w:r w:rsidRPr="00980479">
        <w:rPr>
          <w:color w:val="404040" w:themeColor="text1" w:themeTint="BF"/>
        </w:rPr>
        <w:t>een eerste maal ten vroegste in het kalenderjaar waarin de werknemer 25 jaar anciënniteit heeft bij zijn werkgever;</w:t>
      </w:r>
    </w:p>
    <w:p w:rsidR="00A559C6" w:rsidRPr="00980479" w:rsidRDefault="00A25EC1" w:rsidP="00BC35DD">
      <w:pPr>
        <w:pStyle w:val="ListParagraph"/>
        <w:numPr>
          <w:ilvl w:val="0"/>
          <w:numId w:val="21"/>
        </w:numPr>
        <w:spacing w:line="280" w:lineRule="exact"/>
        <w:rPr>
          <w:rFonts w:cs="Arial"/>
          <w:color w:val="404040" w:themeColor="text1" w:themeTint="BF"/>
          <w:szCs w:val="20"/>
        </w:rPr>
      </w:pPr>
      <w:r w:rsidRPr="00980479">
        <w:rPr>
          <w:color w:val="404040" w:themeColor="text1" w:themeTint="BF"/>
        </w:rPr>
        <w:t>een tweede maal ten vroegste in het kalenderjaar waarin de werknemer 35 jaar anciënniteit heeft bij zijn werkgever.</w:t>
      </w:r>
      <w:r w:rsidRPr="00980479">
        <w:rPr>
          <w:color w:val="404040" w:themeColor="text1" w:themeTint="BF"/>
        </w:rPr>
        <w:br/>
      </w:r>
    </w:p>
    <w:p w:rsidR="00A559C6" w:rsidRPr="00980479" w:rsidRDefault="00A559C6" w:rsidP="00BC35DD">
      <w:pPr>
        <w:spacing w:line="280" w:lineRule="exact"/>
        <w:jc w:val="both"/>
        <w:rPr>
          <w:rFonts w:cs="Arial"/>
          <w:color w:val="404040" w:themeColor="text1" w:themeTint="BF"/>
          <w:szCs w:val="20"/>
        </w:rPr>
      </w:pPr>
      <w:r w:rsidRPr="00980479">
        <w:rPr>
          <w:color w:val="404040" w:themeColor="text1" w:themeTint="BF"/>
        </w:rPr>
        <w:t>De werkgever moet evenwel kunnen aantonen dat het geschenk toegekend werd omwille van het bereiken van de anciënniteit van 25 jaar of 35 jaar en niet omwille van een andere reden. Het is dus raadzaam om hierover een schriftelijk document op te stellen.</w:t>
      </w:r>
    </w:p>
    <w:p w:rsidR="00A25EC1" w:rsidRPr="00980479" w:rsidRDefault="00A25EC1">
      <w:pPr>
        <w:spacing w:line="280" w:lineRule="exact"/>
        <w:jc w:val="both"/>
        <w:rPr>
          <w:rFonts w:cs="Arial"/>
          <w:color w:val="404040" w:themeColor="text1" w:themeTint="BF"/>
          <w:szCs w:val="20"/>
        </w:rPr>
      </w:pPr>
    </w:p>
    <w:p w:rsidR="00D02E01" w:rsidRPr="00980479" w:rsidRDefault="00C777CB" w:rsidP="008E038F">
      <w:pPr>
        <w:spacing w:line="280" w:lineRule="exact"/>
        <w:jc w:val="both"/>
        <w:rPr>
          <w:rFonts w:cs="Arial"/>
          <w:color w:val="404040" w:themeColor="text1" w:themeTint="BF"/>
          <w:szCs w:val="20"/>
        </w:rPr>
      </w:pPr>
      <w:r w:rsidRPr="00980479">
        <w:rPr>
          <w:color w:val="404040" w:themeColor="text1" w:themeTint="BF"/>
        </w:rPr>
        <w:t xml:space="preserve">De geschenken die aan de werknemer worden toegekend ter gelegenheid van 5 jaar, 10 jaar, 15 jaar of 20 jaar anciënniteit bij zijn werkgever zijn bijgevolg bezoldigingen die onderworpen zijn aan </w:t>
      </w:r>
      <w:proofErr w:type="spellStart"/>
      <w:r w:rsidRPr="00980479">
        <w:rPr>
          <w:color w:val="404040" w:themeColor="text1" w:themeTint="BF"/>
        </w:rPr>
        <w:t>socialezekerheidsbijdragen</w:t>
      </w:r>
      <w:proofErr w:type="spellEnd"/>
      <w:r w:rsidRPr="00980479">
        <w:rPr>
          <w:color w:val="404040" w:themeColor="text1" w:themeTint="BF"/>
        </w:rPr>
        <w:t xml:space="preserve"> en bedrijfsvoorheffing.</w:t>
      </w:r>
    </w:p>
    <w:p w:rsidR="00D02E01" w:rsidRPr="00980479" w:rsidRDefault="00D02E01" w:rsidP="008E038F">
      <w:pPr>
        <w:spacing w:line="280" w:lineRule="exact"/>
        <w:jc w:val="both"/>
        <w:rPr>
          <w:rFonts w:cs="Arial"/>
          <w:color w:val="404040" w:themeColor="text1" w:themeTint="BF"/>
          <w:szCs w:val="20"/>
        </w:rPr>
      </w:pPr>
    </w:p>
    <w:p w:rsidR="00C777CB" w:rsidRPr="00980479" w:rsidRDefault="005E3E82" w:rsidP="008E038F">
      <w:pPr>
        <w:spacing w:line="280" w:lineRule="exact"/>
        <w:jc w:val="both"/>
        <w:rPr>
          <w:rFonts w:cs="Arial"/>
          <w:b/>
          <w:color w:val="00B0F0"/>
          <w:sz w:val="24"/>
        </w:rPr>
      </w:pPr>
      <w:r w:rsidRPr="00980479">
        <w:rPr>
          <w:b/>
          <w:color w:val="00B0F0"/>
          <w:sz w:val="24"/>
        </w:rPr>
        <w:t>Hoeveel bedraagt de premie of de waarde van het geschenk dat de werkgever aan zijn werknemer kan toekennen?</w:t>
      </w:r>
    </w:p>
    <w:p w:rsidR="005E3E82" w:rsidRPr="00980479" w:rsidRDefault="005E3E82" w:rsidP="008E038F">
      <w:pPr>
        <w:spacing w:line="280" w:lineRule="exact"/>
        <w:jc w:val="both"/>
        <w:rPr>
          <w:rFonts w:cs="Arial"/>
          <w:color w:val="404040" w:themeColor="text1" w:themeTint="BF"/>
          <w:szCs w:val="20"/>
        </w:rPr>
      </w:pPr>
    </w:p>
    <w:p w:rsidR="005E3E82" w:rsidRPr="00980479" w:rsidRDefault="005E3E82" w:rsidP="008E038F">
      <w:pPr>
        <w:spacing w:line="280" w:lineRule="exact"/>
        <w:jc w:val="both"/>
        <w:rPr>
          <w:rFonts w:cs="Arial"/>
          <w:color w:val="404040" w:themeColor="text1" w:themeTint="BF"/>
          <w:szCs w:val="20"/>
        </w:rPr>
      </w:pPr>
      <w:r w:rsidRPr="00980479">
        <w:rPr>
          <w:color w:val="404040" w:themeColor="text1" w:themeTint="BF"/>
        </w:rPr>
        <w:t xml:space="preserve">Na 25 jaar dienst bij dezelfde werkgever kan een premie of geschenk ter waarde van maximum één keer het </w:t>
      </w:r>
      <w:proofErr w:type="spellStart"/>
      <w:r w:rsidRPr="00980479">
        <w:rPr>
          <w:color w:val="404040" w:themeColor="text1" w:themeTint="BF"/>
        </w:rPr>
        <w:t>brutomaandloon</w:t>
      </w:r>
      <w:proofErr w:type="spellEnd"/>
      <w:r w:rsidRPr="00980479">
        <w:rPr>
          <w:color w:val="404040" w:themeColor="text1" w:themeTint="BF"/>
        </w:rPr>
        <w:t xml:space="preserve"> aan de werknemer toegekend worden. Na 35 jaar mag de premie of het gesch</w:t>
      </w:r>
      <w:r w:rsidR="006333A5" w:rsidRPr="00980479">
        <w:rPr>
          <w:color w:val="404040" w:themeColor="text1" w:themeTint="BF"/>
        </w:rPr>
        <w:t>enk niet meer bedragen dan twee</w:t>
      </w:r>
      <w:r w:rsidRPr="00980479">
        <w:rPr>
          <w:color w:val="404040" w:themeColor="text1" w:themeTint="BF"/>
        </w:rPr>
        <w:t xml:space="preserve">maal het </w:t>
      </w:r>
      <w:proofErr w:type="spellStart"/>
      <w:r w:rsidRPr="00980479">
        <w:rPr>
          <w:color w:val="404040" w:themeColor="text1" w:themeTint="BF"/>
        </w:rPr>
        <w:t>brutomaandloon</w:t>
      </w:r>
      <w:proofErr w:type="spellEnd"/>
      <w:r w:rsidRPr="00980479">
        <w:rPr>
          <w:color w:val="404040" w:themeColor="text1" w:themeTint="BF"/>
        </w:rPr>
        <w:t xml:space="preserve"> van de werknemer.</w:t>
      </w:r>
    </w:p>
    <w:p w:rsidR="00DA59A9" w:rsidRPr="00980479" w:rsidRDefault="00DA59A9" w:rsidP="008E038F">
      <w:pPr>
        <w:spacing w:line="280" w:lineRule="exact"/>
        <w:jc w:val="both"/>
        <w:rPr>
          <w:rFonts w:cs="Arial"/>
          <w:color w:val="404040" w:themeColor="text1" w:themeTint="BF"/>
          <w:szCs w:val="20"/>
        </w:rPr>
      </w:pPr>
    </w:p>
    <w:p w:rsidR="00ED4FF8" w:rsidRPr="00980479" w:rsidRDefault="00ED4FF8" w:rsidP="008E038F">
      <w:pPr>
        <w:spacing w:line="280" w:lineRule="exact"/>
        <w:jc w:val="both"/>
        <w:rPr>
          <w:rFonts w:cs="Arial"/>
          <w:color w:val="404040" w:themeColor="text1" w:themeTint="BF"/>
          <w:szCs w:val="20"/>
        </w:rPr>
      </w:pPr>
      <w:r w:rsidRPr="00980479">
        <w:rPr>
          <w:color w:val="404040" w:themeColor="text1" w:themeTint="BF"/>
        </w:rPr>
        <w:lastRenderedPageBreak/>
        <w:t xml:space="preserve">Voorbeeld: uw werknemer heeft een </w:t>
      </w:r>
      <w:proofErr w:type="spellStart"/>
      <w:r w:rsidRPr="00980479">
        <w:rPr>
          <w:color w:val="404040" w:themeColor="text1" w:themeTint="BF"/>
        </w:rPr>
        <w:t>brutomaandloon</w:t>
      </w:r>
      <w:proofErr w:type="spellEnd"/>
      <w:r w:rsidRPr="00980479">
        <w:rPr>
          <w:color w:val="404040" w:themeColor="text1" w:themeTint="BF"/>
        </w:rPr>
        <w:t xml:space="preserve"> van 3.000 euro en heeft 25 jaar anciënniteit in 2018. De werkgever kan hem dit jaar een premie van maximum 3.000 euro betalen. De werknemer ontvangt 3.000 euro netto en dit is eveneens de kostprijs voor de werkgever.</w:t>
      </w:r>
    </w:p>
    <w:p w:rsidR="007F2E23" w:rsidRPr="00980479" w:rsidRDefault="007F2E23" w:rsidP="008E038F">
      <w:pPr>
        <w:spacing w:line="280" w:lineRule="exact"/>
        <w:jc w:val="both"/>
        <w:rPr>
          <w:rFonts w:cs="Arial"/>
          <w:color w:val="404040" w:themeColor="text1" w:themeTint="BF"/>
          <w:szCs w:val="20"/>
        </w:rPr>
      </w:pPr>
    </w:p>
    <w:p w:rsidR="00DA59A9" w:rsidRPr="00980479" w:rsidRDefault="00AA055C" w:rsidP="008E038F">
      <w:pPr>
        <w:spacing w:line="280" w:lineRule="exact"/>
        <w:jc w:val="both"/>
        <w:rPr>
          <w:rFonts w:cs="Arial"/>
          <w:color w:val="454545"/>
          <w:szCs w:val="20"/>
        </w:rPr>
      </w:pPr>
      <w:r w:rsidRPr="00980479">
        <w:rPr>
          <w:color w:val="454545"/>
        </w:rPr>
        <w:t xml:space="preserve">Indien het toegekende bedrag hoger is, zullen </w:t>
      </w:r>
      <w:proofErr w:type="spellStart"/>
      <w:r w:rsidRPr="00980479">
        <w:rPr>
          <w:color w:val="454545"/>
        </w:rPr>
        <w:t>socialezekerheidsbijdragen</w:t>
      </w:r>
      <w:proofErr w:type="spellEnd"/>
      <w:r w:rsidRPr="00980479">
        <w:rPr>
          <w:color w:val="454545"/>
        </w:rPr>
        <w:t xml:space="preserve"> en bedrijfsvoorheffing verschuldigd zijn op het gedeelte dat het maximumbedrag overschrijdt.</w:t>
      </w:r>
      <w:r w:rsidRPr="00980479">
        <w:rPr>
          <w:color w:val="404040" w:themeColor="text1" w:themeTint="BF"/>
        </w:rPr>
        <w:t xml:space="preserve"> Onder bepaalde voorwaarden kan de werkgever de premie berekenen op basis</w:t>
      </w:r>
      <w:r w:rsidRPr="00980479">
        <w:rPr>
          <w:color w:val="454545"/>
        </w:rPr>
        <w:t xml:space="preserve"> van het gemiddelde brutobedrag van een maandloon in zijn onderneming en dus niet op basis van het maandloon van de werknemer zelf.</w:t>
      </w:r>
    </w:p>
    <w:p w:rsidR="000D37A9" w:rsidRPr="00980479" w:rsidRDefault="000D37A9" w:rsidP="008E038F">
      <w:pPr>
        <w:spacing w:line="280" w:lineRule="exact"/>
        <w:jc w:val="both"/>
        <w:rPr>
          <w:rFonts w:cs="Arial"/>
          <w:color w:val="454545"/>
          <w:szCs w:val="20"/>
        </w:rPr>
      </w:pPr>
    </w:p>
    <w:p w:rsidR="00001F93" w:rsidRPr="00980479" w:rsidRDefault="00DA59A9" w:rsidP="008E038F">
      <w:pPr>
        <w:spacing w:line="280" w:lineRule="exact"/>
        <w:jc w:val="both"/>
        <w:rPr>
          <w:color w:val="454545"/>
        </w:rPr>
      </w:pPr>
      <w:r w:rsidRPr="00980479">
        <w:rPr>
          <w:color w:val="454545"/>
        </w:rPr>
        <w:t xml:space="preserve">Opgelet: voor de werkgever is het anciënniteitsgeschenk geen aftrekbare beroepskost in de vennootschapsbelasting, tenzij voor het gedeelte dat het maximumbedrag overschrijdt. </w:t>
      </w:r>
      <w:r w:rsidRPr="00980479">
        <w:rPr>
          <w:color w:val="404040" w:themeColor="text1" w:themeTint="BF"/>
        </w:rPr>
        <w:t>In geval van eventuele controle kunnen de RSZ en de fiscus tot 3 jaar teruggaan in de tijd om de aangifte te regulariseren.</w:t>
      </w:r>
    </w:p>
    <w:p w:rsidR="00142FC4" w:rsidRPr="00980479" w:rsidRDefault="00142FC4" w:rsidP="008E038F">
      <w:pPr>
        <w:spacing w:line="280" w:lineRule="exact"/>
        <w:jc w:val="both"/>
        <w:rPr>
          <w:rFonts w:cs="Arial"/>
          <w:color w:val="454545"/>
          <w:szCs w:val="20"/>
        </w:rPr>
      </w:pPr>
    </w:p>
    <w:p w:rsidR="00142FC4" w:rsidRPr="00980479" w:rsidRDefault="006463E3" w:rsidP="008E038F">
      <w:pPr>
        <w:spacing w:line="280" w:lineRule="exact"/>
        <w:jc w:val="both"/>
        <w:rPr>
          <w:rFonts w:cs="Arial"/>
          <w:b/>
          <w:color w:val="00B0F0"/>
          <w:sz w:val="24"/>
        </w:rPr>
      </w:pPr>
      <w:r w:rsidRPr="00980479">
        <w:rPr>
          <w:b/>
          <w:color w:val="00B0F0"/>
          <w:sz w:val="24"/>
        </w:rPr>
        <w:t>Wat indien de werknemer met pensioen gaat op het ogenblik dat hij 25 jaar of 35 jaar anciënniteit heeft?</w:t>
      </w:r>
    </w:p>
    <w:p w:rsidR="005E3E82" w:rsidRPr="00980479" w:rsidRDefault="005E3E82" w:rsidP="008E038F">
      <w:pPr>
        <w:spacing w:line="280" w:lineRule="exact"/>
        <w:jc w:val="both"/>
        <w:rPr>
          <w:rFonts w:cs="Arial"/>
          <w:color w:val="404040" w:themeColor="text1" w:themeTint="BF"/>
          <w:szCs w:val="20"/>
        </w:rPr>
      </w:pPr>
    </w:p>
    <w:p w:rsidR="00615231" w:rsidRPr="00980479" w:rsidRDefault="00615231" w:rsidP="008E038F">
      <w:pPr>
        <w:spacing w:line="280" w:lineRule="exact"/>
        <w:jc w:val="both"/>
        <w:rPr>
          <w:rFonts w:cs="Arial"/>
          <w:color w:val="454545"/>
          <w:szCs w:val="20"/>
        </w:rPr>
      </w:pPr>
      <w:r w:rsidRPr="00980479">
        <w:rPr>
          <w:color w:val="404040" w:themeColor="text1" w:themeTint="BF"/>
        </w:rPr>
        <w:t xml:space="preserve">Wanneer een werknemer met pensioen gaat en de werkgever hem een premie wil toekennen omdat hij ook 25 jaar of 35 jaar anciënniteit heeft, zal hij rekening moeten houden met de specifieke bedragen die gelden voor geschenken die toegekend kunnen worden bij pensionering en die heel wat lager liggen: maximum 35 euro per dienstjaar met een </w:t>
      </w:r>
      <w:r w:rsidRPr="00980479">
        <w:rPr>
          <w:color w:val="454545"/>
        </w:rPr>
        <w:t>minimum van 105 euro en een maximum van 875 euro.</w:t>
      </w:r>
    </w:p>
    <w:p w:rsidR="00557EDE" w:rsidRPr="00980479" w:rsidRDefault="00557EDE" w:rsidP="008E038F">
      <w:pPr>
        <w:spacing w:line="280" w:lineRule="exact"/>
        <w:jc w:val="both"/>
        <w:rPr>
          <w:rFonts w:cs="Arial"/>
          <w:color w:val="454545"/>
          <w:szCs w:val="20"/>
        </w:rPr>
      </w:pPr>
    </w:p>
    <w:p w:rsidR="00D167AA" w:rsidRPr="00980479" w:rsidRDefault="00810F5A" w:rsidP="008E038F">
      <w:pPr>
        <w:spacing w:line="280" w:lineRule="exact"/>
        <w:jc w:val="both"/>
        <w:rPr>
          <w:rFonts w:cs="Arial"/>
          <w:b/>
          <w:color w:val="00B0F0"/>
          <w:sz w:val="24"/>
        </w:rPr>
      </w:pPr>
      <w:r w:rsidRPr="00980479">
        <w:rPr>
          <w:b/>
          <w:color w:val="00B0F0"/>
          <w:sz w:val="24"/>
        </w:rPr>
        <w:t>Kan anciënniteitsverlof worden toegekend?</w:t>
      </w:r>
    </w:p>
    <w:p w:rsidR="00D167AA" w:rsidRPr="00980479" w:rsidRDefault="00D167AA" w:rsidP="008E038F">
      <w:pPr>
        <w:spacing w:line="280" w:lineRule="exact"/>
        <w:jc w:val="both"/>
        <w:rPr>
          <w:rFonts w:cs="Arial"/>
          <w:color w:val="404040" w:themeColor="text1" w:themeTint="BF"/>
          <w:szCs w:val="20"/>
        </w:rPr>
      </w:pPr>
    </w:p>
    <w:p w:rsidR="00AA055C" w:rsidRPr="00980479" w:rsidRDefault="007C700B" w:rsidP="0045165B">
      <w:pPr>
        <w:spacing w:line="280" w:lineRule="exact"/>
        <w:jc w:val="both"/>
        <w:rPr>
          <w:rFonts w:cs="Arial"/>
          <w:color w:val="404040" w:themeColor="text1" w:themeTint="BF"/>
          <w:szCs w:val="20"/>
        </w:rPr>
      </w:pPr>
      <w:r w:rsidRPr="00980479">
        <w:rPr>
          <w:color w:val="404040" w:themeColor="text1" w:themeTint="BF"/>
        </w:rPr>
        <w:t xml:space="preserve">De werkgever kan de werknemers die een welbepaalde anciënniteit bereiken belonen door hen extra verlofdagen toe te kennen. Er bestaat hiervoor geen algemene wettelijke regeling. Verschillende paritaire comités kennen wel anciënniteitsdagen toe maar het staat de werkgever vrij om extra anciënniteitsdagen toe te kennen bovenop wat al is voorzien in het paritair comité. </w:t>
      </w:r>
    </w:p>
    <w:p w:rsidR="00373431" w:rsidRPr="00980479" w:rsidRDefault="00373431" w:rsidP="0045165B">
      <w:pPr>
        <w:spacing w:line="280" w:lineRule="exact"/>
        <w:jc w:val="both"/>
        <w:rPr>
          <w:rFonts w:cs="Arial"/>
          <w:color w:val="404040" w:themeColor="text1" w:themeTint="BF"/>
          <w:szCs w:val="20"/>
        </w:rPr>
      </w:pPr>
    </w:p>
    <w:p w:rsidR="0045165B" w:rsidRDefault="00810F5A" w:rsidP="0045165B">
      <w:pPr>
        <w:spacing w:line="280" w:lineRule="exact"/>
        <w:jc w:val="both"/>
        <w:rPr>
          <w:color w:val="404040" w:themeColor="text1" w:themeTint="BF"/>
        </w:rPr>
      </w:pPr>
      <w:r w:rsidRPr="00980479">
        <w:rPr>
          <w:color w:val="404040" w:themeColor="text1" w:themeTint="BF"/>
        </w:rPr>
        <w:t xml:space="preserve">Hij bepaalt dan zelf de voorwaarden waaronder hij dit anciënniteitsverlof wil toekennen. Die voorwaarden moeten in het arbeidsreglement worden opgenomen: de anciënniteitsvoorwaarden (5 jaar, 10 jaar…), de </w:t>
      </w:r>
      <w:proofErr w:type="spellStart"/>
      <w:r w:rsidRPr="00980479">
        <w:rPr>
          <w:color w:val="404040" w:themeColor="text1" w:themeTint="BF"/>
        </w:rPr>
        <w:t>prorataberekening</w:t>
      </w:r>
      <w:proofErr w:type="spellEnd"/>
      <w:r w:rsidRPr="00980479">
        <w:rPr>
          <w:color w:val="404040" w:themeColor="text1" w:themeTint="BF"/>
        </w:rPr>
        <w:t xml:space="preserve"> voor deeltijdse werknemers, de volgorde waarin de verschillende types verlof opgenomen moeten worden, de mogelijkheid om het anciënniteitsverlof al dan niet over te dragen naar de volgende jaren, enz.</w:t>
      </w:r>
      <w:r w:rsidRPr="00980479">
        <w:rPr>
          <w:color w:val="404040" w:themeColor="text1" w:themeTint="BF"/>
        </w:rPr>
        <w:cr/>
      </w:r>
      <w:bookmarkStart w:id="0" w:name="_GoBack"/>
      <w:bookmarkEnd w:id="0"/>
    </w:p>
    <w:p w:rsidR="00373431" w:rsidRPr="00980479" w:rsidRDefault="00810F5A" w:rsidP="0045165B">
      <w:pPr>
        <w:spacing w:line="280" w:lineRule="exact"/>
        <w:jc w:val="center"/>
        <w:rPr>
          <w:rFonts w:cs="Arial"/>
          <w:color w:val="404040" w:themeColor="text1" w:themeTint="BF"/>
          <w:szCs w:val="20"/>
        </w:rPr>
      </w:pPr>
      <w:r w:rsidRPr="00980479">
        <w:rPr>
          <w:color w:val="404040" w:themeColor="text1" w:themeTint="BF"/>
        </w:rPr>
        <w:br/>
      </w:r>
      <w:r w:rsidR="0045165B">
        <w:rPr>
          <w:rFonts w:cs="Arial"/>
          <w:color w:val="404040" w:themeColor="text1" w:themeTint="BF"/>
          <w:szCs w:val="20"/>
        </w:rPr>
        <w:t>***</w:t>
      </w:r>
    </w:p>
    <w:p w:rsidR="00827118" w:rsidRPr="00980479" w:rsidRDefault="00827118" w:rsidP="008E038F">
      <w:pPr>
        <w:spacing w:line="280" w:lineRule="exact"/>
        <w:jc w:val="both"/>
        <w:rPr>
          <w:rFonts w:cs="Arial"/>
          <w:color w:val="404040" w:themeColor="text1" w:themeTint="BF"/>
          <w:szCs w:val="20"/>
        </w:rPr>
      </w:pPr>
    </w:p>
    <w:p w:rsidR="00BF365E" w:rsidRPr="0045165B" w:rsidRDefault="00BF365E" w:rsidP="00BF365E">
      <w:pPr>
        <w:rPr>
          <w:b/>
          <w:color w:val="404040" w:themeColor="text1" w:themeTint="BF"/>
          <w:sz w:val="18"/>
          <w:szCs w:val="18"/>
        </w:rPr>
      </w:pPr>
      <w:r w:rsidRPr="0045165B">
        <w:rPr>
          <w:b/>
          <w:color w:val="404040" w:themeColor="text1" w:themeTint="BF"/>
          <w:sz w:val="18"/>
          <w:szCs w:val="18"/>
        </w:rPr>
        <w:t xml:space="preserve">Over </w:t>
      </w:r>
      <w:proofErr w:type="spellStart"/>
      <w:r w:rsidRPr="0045165B">
        <w:rPr>
          <w:b/>
          <w:color w:val="404040" w:themeColor="text1" w:themeTint="BF"/>
          <w:sz w:val="18"/>
          <w:szCs w:val="18"/>
        </w:rPr>
        <w:t>Partena</w:t>
      </w:r>
      <w:proofErr w:type="spellEnd"/>
      <w:r w:rsidRPr="0045165B">
        <w:rPr>
          <w:b/>
          <w:color w:val="404040" w:themeColor="text1" w:themeTint="BF"/>
          <w:sz w:val="18"/>
          <w:szCs w:val="18"/>
        </w:rPr>
        <w:t xml:space="preserve"> Professional.</w:t>
      </w:r>
    </w:p>
    <w:p w:rsidR="00BF365E" w:rsidRPr="0045165B" w:rsidRDefault="00BF365E" w:rsidP="00BF365E">
      <w:pPr>
        <w:rPr>
          <w:color w:val="404040" w:themeColor="text1" w:themeTint="BF"/>
          <w:sz w:val="18"/>
          <w:szCs w:val="18"/>
        </w:rPr>
      </w:pPr>
      <w:proofErr w:type="spellStart"/>
      <w:r w:rsidRPr="0045165B">
        <w:rPr>
          <w:color w:val="404040" w:themeColor="text1" w:themeTint="BF"/>
          <w:sz w:val="18"/>
          <w:szCs w:val="18"/>
        </w:rPr>
        <w:t>Partena</w:t>
      </w:r>
      <w:proofErr w:type="spellEnd"/>
      <w:r w:rsidRPr="0045165B">
        <w:rPr>
          <w:color w:val="404040" w:themeColor="text1" w:themeTint="BF"/>
          <w:sz w:val="18"/>
          <w:szCs w:val="18"/>
        </w:rPr>
        <w:t xml:space="preserve"> Professional is een dienstverlener met een sterke focus op ondernemerschap en personeelsbeleid.</w:t>
      </w:r>
      <w:r w:rsidRPr="0045165B">
        <w:rPr>
          <w:color w:val="404040" w:themeColor="text1" w:themeTint="BF"/>
          <w:sz w:val="18"/>
          <w:szCs w:val="18"/>
        </w:rPr>
        <w:br/>
      </w:r>
      <w:proofErr w:type="spellStart"/>
      <w:r w:rsidRPr="0045165B">
        <w:rPr>
          <w:color w:val="404040" w:themeColor="text1" w:themeTint="BF"/>
          <w:sz w:val="18"/>
          <w:szCs w:val="18"/>
        </w:rPr>
        <w:t>Partena</w:t>
      </w:r>
      <w:proofErr w:type="spellEnd"/>
      <w:r w:rsidRPr="0045165B">
        <w:rPr>
          <w:color w:val="404040" w:themeColor="text1" w:themeTint="BF"/>
          <w:sz w:val="18"/>
          <w:szCs w:val="18"/>
        </w:rPr>
        <w:t xml:space="preserve"> Professional ondersteunt en begeleidt starters, </w:t>
      </w:r>
      <w:proofErr w:type="spellStart"/>
      <w:r w:rsidRPr="0045165B">
        <w:rPr>
          <w:color w:val="404040" w:themeColor="text1" w:themeTint="BF"/>
          <w:sz w:val="18"/>
          <w:szCs w:val="18"/>
        </w:rPr>
        <w:t>kmo’s</w:t>
      </w:r>
      <w:proofErr w:type="spellEnd"/>
      <w:r w:rsidRPr="0045165B">
        <w:rPr>
          <w:color w:val="404040" w:themeColor="text1" w:themeTint="BF"/>
          <w:sz w:val="18"/>
          <w:szCs w:val="18"/>
        </w:rPr>
        <w:t xml:space="preserve"> en grote ondernemingen in hun administratieve processen en HR-beleid. Bij de oprichting van een bedrijf, het sociaal statuut van zelfstandigen, het loon- en personeelsbeheer van werknemers en hun kinderbijslag, medische controle bij absenteïsme, opleidingen, juridisch advies en HR-consultancy.</w:t>
      </w:r>
    </w:p>
    <w:p w:rsidR="00BF365E" w:rsidRPr="0045165B" w:rsidRDefault="00BF365E" w:rsidP="00BF365E">
      <w:pPr>
        <w:rPr>
          <w:color w:val="404040" w:themeColor="text1" w:themeTint="BF"/>
          <w:sz w:val="18"/>
          <w:szCs w:val="18"/>
        </w:rPr>
      </w:pPr>
      <w:r w:rsidRPr="0045165B">
        <w:rPr>
          <w:color w:val="404040" w:themeColor="text1" w:themeTint="BF"/>
          <w:sz w:val="18"/>
          <w:szCs w:val="18"/>
        </w:rPr>
        <w:t xml:space="preserve">Sinds 2012 vormen </w:t>
      </w:r>
      <w:proofErr w:type="spellStart"/>
      <w:r w:rsidRPr="0045165B">
        <w:rPr>
          <w:color w:val="404040" w:themeColor="text1" w:themeTint="BF"/>
          <w:sz w:val="18"/>
          <w:szCs w:val="18"/>
        </w:rPr>
        <w:t>Partena</w:t>
      </w:r>
      <w:proofErr w:type="spellEnd"/>
      <w:r w:rsidRPr="0045165B">
        <w:rPr>
          <w:color w:val="404040" w:themeColor="text1" w:themeTint="BF"/>
          <w:sz w:val="18"/>
          <w:szCs w:val="18"/>
        </w:rPr>
        <w:t xml:space="preserve"> en HDP samen </w:t>
      </w:r>
      <w:proofErr w:type="spellStart"/>
      <w:r w:rsidRPr="0045165B">
        <w:rPr>
          <w:color w:val="404040" w:themeColor="text1" w:themeTint="BF"/>
          <w:sz w:val="18"/>
          <w:szCs w:val="18"/>
        </w:rPr>
        <w:t>Partena</w:t>
      </w:r>
      <w:proofErr w:type="spellEnd"/>
      <w:r w:rsidRPr="0045165B">
        <w:rPr>
          <w:color w:val="404040" w:themeColor="text1" w:themeTint="BF"/>
          <w:sz w:val="18"/>
          <w:szCs w:val="18"/>
        </w:rPr>
        <w:t xml:space="preserve"> Professional. 1.500 medewerkers bedienen er ruim 200.000 bedrijven en zelfstandigen, en realiseren een jaaromzet van 150 miljoen euro. Daarmee behoort </w:t>
      </w:r>
      <w:proofErr w:type="spellStart"/>
      <w:r w:rsidRPr="0045165B">
        <w:rPr>
          <w:color w:val="404040" w:themeColor="text1" w:themeTint="BF"/>
          <w:sz w:val="18"/>
          <w:szCs w:val="18"/>
        </w:rPr>
        <w:t>Partena</w:t>
      </w:r>
      <w:proofErr w:type="spellEnd"/>
      <w:r w:rsidRPr="0045165B">
        <w:rPr>
          <w:color w:val="404040" w:themeColor="text1" w:themeTint="BF"/>
          <w:sz w:val="18"/>
          <w:szCs w:val="18"/>
        </w:rPr>
        <w:t xml:space="preserve"> Professional tot de drie belangrijkste spelers op de Belgische markt.</w:t>
      </w:r>
    </w:p>
    <w:p w:rsidR="00BF365E" w:rsidRPr="0045165B" w:rsidRDefault="00BF365E" w:rsidP="00BF365E">
      <w:pPr>
        <w:rPr>
          <w:color w:val="404040" w:themeColor="text1" w:themeTint="BF"/>
          <w:sz w:val="18"/>
          <w:szCs w:val="18"/>
        </w:rPr>
      </w:pPr>
    </w:p>
    <w:p w:rsidR="00BF365E" w:rsidRPr="0045165B" w:rsidRDefault="00BF365E" w:rsidP="00BF365E">
      <w:pPr>
        <w:rPr>
          <w:color w:val="404040" w:themeColor="text1" w:themeTint="BF"/>
          <w:sz w:val="18"/>
          <w:szCs w:val="18"/>
        </w:rPr>
      </w:pPr>
      <w:r w:rsidRPr="0045165B">
        <w:rPr>
          <w:color w:val="404040" w:themeColor="text1" w:themeTint="BF"/>
          <w:sz w:val="18"/>
          <w:szCs w:val="18"/>
        </w:rPr>
        <w:t xml:space="preserve">Meer info op </w:t>
      </w:r>
      <w:hyperlink r:id="rId8" w:history="1">
        <w:proofErr w:type="spellStart"/>
        <w:r w:rsidRPr="0045165B">
          <w:rPr>
            <w:color w:val="404040" w:themeColor="text1" w:themeTint="BF"/>
            <w:sz w:val="18"/>
            <w:szCs w:val="18"/>
          </w:rPr>
          <w:t>www.partena-professional.be</w:t>
        </w:r>
        <w:proofErr w:type="spellEnd"/>
      </w:hyperlink>
      <w:r w:rsidRPr="0045165B">
        <w:rPr>
          <w:color w:val="404040" w:themeColor="text1" w:themeTint="BF"/>
          <w:sz w:val="18"/>
          <w:szCs w:val="18"/>
        </w:rPr>
        <w:t xml:space="preserve"> </w:t>
      </w:r>
    </w:p>
    <w:p w:rsidR="00BF365E" w:rsidRPr="00980479" w:rsidRDefault="00BF365E" w:rsidP="00BF365E">
      <w:pPr>
        <w:rPr>
          <w:rFonts w:cs="Arial"/>
          <w:sz w:val="22"/>
          <w:szCs w:val="22"/>
        </w:rPr>
      </w:pPr>
    </w:p>
    <w:p w:rsidR="002960B1" w:rsidRPr="00980479" w:rsidRDefault="002960B1" w:rsidP="00520B8A">
      <w:pPr>
        <w:rPr>
          <w:rFonts w:cs="Arial"/>
          <w:sz w:val="22"/>
          <w:szCs w:val="22"/>
        </w:rPr>
      </w:pPr>
    </w:p>
    <w:sectPr w:rsidR="002960B1" w:rsidRPr="00980479"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5B" w:rsidRDefault="0027115B">
      <w:r>
        <w:separator/>
      </w:r>
    </w:p>
  </w:endnote>
  <w:endnote w:type="continuationSeparator" w:id="0">
    <w:p w:rsidR="0027115B" w:rsidRDefault="0027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F5A" w:rsidRPr="00CB07BB" w:rsidRDefault="00810F5A">
    <w:pPr>
      <w:pStyle w:val="Footer"/>
      <w:rPr>
        <w:rFonts w:ascii="Arial" w:hAnsi="Arial" w:cs="Arial"/>
        <w:sz w:val="16"/>
      </w:rPr>
    </w:pPr>
    <w:r>
      <w:rPr>
        <w:noProof/>
        <w:lang w:val="nl-BE" w:eastAsia="nl-BE" w:bidi="ar-SA"/>
      </w:rPr>
      <mc:AlternateContent>
        <mc:Choice Requires="wps">
          <w:drawing>
            <wp:anchor distT="4294967293" distB="4294967293" distL="114300" distR="114300" simplePos="0" relativeHeight="251659264" behindDoc="0" locked="0" layoutInCell="1" allowOverlap="1">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5864202"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nl-BE" w:eastAsia="nl-BE" w:bidi="ar-SA"/>
      </w:rPr>
      <mc:AlternateContent>
        <mc:Choice Requires="wps">
          <w:drawing>
            <wp:anchor distT="0" distB="0" distL="114300" distR="114300" simplePos="0" relativeHeight="251656192" behindDoc="0" locked="0" layoutInCell="1" allowOverlap="1">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5A" w:rsidRDefault="00810F5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23494">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23494">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0pt;margin-top:-4.3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Kd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" filled="f" stroked="f">
              <v:textbox>
                <w:txbxContent>
                  <w:p w:rsidR="00810F5A" w:rsidRDefault="00810F5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23494">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23494">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sz w:val="16"/>
      </w:rPr>
      <w:t>Maart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5B" w:rsidRDefault="0027115B">
      <w:r>
        <w:separator/>
      </w:r>
    </w:p>
  </w:footnote>
  <w:footnote w:type="continuationSeparator" w:id="0">
    <w:p w:rsidR="0027115B" w:rsidRDefault="0027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F5A" w:rsidRDefault="00810F5A" w:rsidP="00CC3F32">
    <w:pPr>
      <w:pStyle w:val="Header"/>
      <w:jc w:val="center"/>
    </w:pPr>
    <w:r>
      <w:rPr>
        <w:noProof/>
        <w:lang w:val="nl-BE" w:eastAsia="nl-BE" w:bidi="ar-SA"/>
      </w:rPr>
      <w:drawing>
        <wp:inline distT="0" distB="0" distL="0" distR="0">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810F5A" w:rsidRDefault="00810F5A" w:rsidP="00CC3F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D6"/>
    <w:multiLevelType w:val="hybridMultilevel"/>
    <w:tmpl w:val="CE9CC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8"/>
  </w:num>
  <w:num w:numId="5">
    <w:abstractNumId w:val="2"/>
  </w:num>
  <w:num w:numId="6">
    <w:abstractNumId w:val="7"/>
  </w:num>
  <w:num w:numId="7">
    <w:abstractNumId w:val="3"/>
  </w:num>
  <w:num w:numId="8">
    <w:abstractNumId w:val="5"/>
  </w:num>
  <w:num w:numId="9">
    <w:abstractNumId w:val="17"/>
  </w:num>
  <w:num w:numId="10">
    <w:abstractNumId w:val="11"/>
  </w:num>
  <w:num w:numId="11">
    <w:abstractNumId w:val="12"/>
  </w:num>
  <w:num w:numId="12">
    <w:abstractNumId w:val="4"/>
  </w:num>
  <w:num w:numId="13">
    <w:abstractNumId w:val="18"/>
  </w:num>
  <w:num w:numId="14">
    <w:abstractNumId w:val="9"/>
  </w:num>
  <w:num w:numId="15">
    <w:abstractNumId w:val="10"/>
  </w:num>
  <w:num w:numId="16">
    <w:abstractNumId w:val="20"/>
  </w:num>
  <w:num w:numId="17">
    <w:abstractNumId w:val="14"/>
  </w:num>
  <w:num w:numId="18">
    <w:abstractNumId w:val="15"/>
  </w:num>
  <w:num w:numId="19">
    <w:abstractNumId w:val="19"/>
  </w:num>
  <w:num w:numId="20">
    <w:abstractNumId w:val="6"/>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DE"/>
    <w:rsid w:val="00000832"/>
    <w:rsid w:val="00001F93"/>
    <w:rsid w:val="000066F1"/>
    <w:rsid w:val="0000796A"/>
    <w:rsid w:val="0003119A"/>
    <w:rsid w:val="0003362C"/>
    <w:rsid w:val="00033975"/>
    <w:rsid w:val="00037320"/>
    <w:rsid w:val="00037DBF"/>
    <w:rsid w:val="00037F58"/>
    <w:rsid w:val="00041292"/>
    <w:rsid w:val="00043B84"/>
    <w:rsid w:val="000500ED"/>
    <w:rsid w:val="00050ABC"/>
    <w:rsid w:val="0005144F"/>
    <w:rsid w:val="000562B4"/>
    <w:rsid w:val="00062A21"/>
    <w:rsid w:val="00063A7A"/>
    <w:rsid w:val="00065597"/>
    <w:rsid w:val="00066118"/>
    <w:rsid w:val="000679D9"/>
    <w:rsid w:val="00067EF7"/>
    <w:rsid w:val="00071D95"/>
    <w:rsid w:val="00072460"/>
    <w:rsid w:val="000768BA"/>
    <w:rsid w:val="00077BF9"/>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1133"/>
    <w:rsid w:val="000D2124"/>
    <w:rsid w:val="000D305B"/>
    <w:rsid w:val="000D37A9"/>
    <w:rsid w:val="000E17DF"/>
    <w:rsid w:val="000E20AC"/>
    <w:rsid w:val="000E2C81"/>
    <w:rsid w:val="000E3173"/>
    <w:rsid w:val="000F21B0"/>
    <w:rsid w:val="000F231C"/>
    <w:rsid w:val="000F384D"/>
    <w:rsid w:val="000F4C96"/>
    <w:rsid w:val="0010043C"/>
    <w:rsid w:val="00101A19"/>
    <w:rsid w:val="00101B91"/>
    <w:rsid w:val="00102733"/>
    <w:rsid w:val="0010332D"/>
    <w:rsid w:val="00104823"/>
    <w:rsid w:val="00105CC6"/>
    <w:rsid w:val="00105FE8"/>
    <w:rsid w:val="00112946"/>
    <w:rsid w:val="001176E8"/>
    <w:rsid w:val="0012086F"/>
    <w:rsid w:val="00125155"/>
    <w:rsid w:val="001312F8"/>
    <w:rsid w:val="001325CE"/>
    <w:rsid w:val="00133D2C"/>
    <w:rsid w:val="00136198"/>
    <w:rsid w:val="00136C40"/>
    <w:rsid w:val="001375AB"/>
    <w:rsid w:val="00142FC4"/>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4D6F"/>
    <w:rsid w:val="001E6622"/>
    <w:rsid w:val="001E7C16"/>
    <w:rsid w:val="001F24D4"/>
    <w:rsid w:val="001F2561"/>
    <w:rsid w:val="001F3E08"/>
    <w:rsid w:val="00200458"/>
    <w:rsid w:val="00205944"/>
    <w:rsid w:val="00210E83"/>
    <w:rsid w:val="00215BC8"/>
    <w:rsid w:val="002162D9"/>
    <w:rsid w:val="002163E3"/>
    <w:rsid w:val="00217391"/>
    <w:rsid w:val="0022384C"/>
    <w:rsid w:val="00224327"/>
    <w:rsid w:val="00224910"/>
    <w:rsid w:val="00232A38"/>
    <w:rsid w:val="00233861"/>
    <w:rsid w:val="00237398"/>
    <w:rsid w:val="00237412"/>
    <w:rsid w:val="002430CD"/>
    <w:rsid w:val="00245611"/>
    <w:rsid w:val="00254CCF"/>
    <w:rsid w:val="00260AD8"/>
    <w:rsid w:val="00262F71"/>
    <w:rsid w:val="0027115B"/>
    <w:rsid w:val="0027610F"/>
    <w:rsid w:val="00281109"/>
    <w:rsid w:val="00282A4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5C23"/>
    <w:rsid w:val="002E60CC"/>
    <w:rsid w:val="002E6354"/>
    <w:rsid w:val="002F79FB"/>
    <w:rsid w:val="002F7B36"/>
    <w:rsid w:val="0030464C"/>
    <w:rsid w:val="00304C97"/>
    <w:rsid w:val="0030570C"/>
    <w:rsid w:val="00310BAF"/>
    <w:rsid w:val="00310D25"/>
    <w:rsid w:val="00314EEF"/>
    <w:rsid w:val="00323945"/>
    <w:rsid w:val="00326245"/>
    <w:rsid w:val="00326C0C"/>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431"/>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1EF6"/>
    <w:rsid w:val="003F6949"/>
    <w:rsid w:val="003F72A2"/>
    <w:rsid w:val="00401562"/>
    <w:rsid w:val="004028DE"/>
    <w:rsid w:val="00402CC6"/>
    <w:rsid w:val="00403541"/>
    <w:rsid w:val="0040497D"/>
    <w:rsid w:val="004106B1"/>
    <w:rsid w:val="00416E79"/>
    <w:rsid w:val="00422FFB"/>
    <w:rsid w:val="00430958"/>
    <w:rsid w:val="00432F5D"/>
    <w:rsid w:val="00433113"/>
    <w:rsid w:val="00441D35"/>
    <w:rsid w:val="0045165B"/>
    <w:rsid w:val="0045395B"/>
    <w:rsid w:val="00453B04"/>
    <w:rsid w:val="0045420F"/>
    <w:rsid w:val="00454A33"/>
    <w:rsid w:val="00454DB2"/>
    <w:rsid w:val="00456B19"/>
    <w:rsid w:val="004617B3"/>
    <w:rsid w:val="004743C9"/>
    <w:rsid w:val="004750FC"/>
    <w:rsid w:val="004773B9"/>
    <w:rsid w:val="00482546"/>
    <w:rsid w:val="004833B4"/>
    <w:rsid w:val="00483DAC"/>
    <w:rsid w:val="004900ED"/>
    <w:rsid w:val="0049152A"/>
    <w:rsid w:val="00493704"/>
    <w:rsid w:val="00494A93"/>
    <w:rsid w:val="00495CF0"/>
    <w:rsid w:val="00497757"/>
    <w:rsid w:val="004A6E43"/>
    <w:rsid w:val="004A7EC0"/>
    <w:rsid w:val="004B2CAA"/>
    <w:rsid w:val="004B3726"/>
    <w:rsid w:val="004B4EF3"/>
    <w:rsid w:val="004B7187"/>
    <w:rsid w:val="004C1CAF"/>
    <w:rsid w:val="004C2A3D"/>
    <w:rsid w:val="004C3C3C"/>
    <w:rsid w:val="004C515F"/>
    <w:rsid w:val="004C7CEE"/>
    <w:rsid w:val="004D56BE"/>
    <w:rsid w:val="004D5F3B"/>
    <w:rsid w:val="004E2569"/>
    <w:rsid w:val="004E4884"/>
    <w:rsid w:val="004E74AF"/>
    <w:rsid w:val="004F49A6"/>
    <w:rsid w:val="004F63D7"/>
    <w:rsid w:val="005002C2"/>
    <w:rsid w:val="00500313"/>
    <w:rsid w:val="00500B7B"/>
    <w:rsid w:val="00502645"/>
    <w:rsid w:val="00502DCC"/>
    <w:rsid w:val="005035F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1E14"/>
    <w:rsid w:val="00542575"/>
    <w:rsid w:val="00542CE1"/>
    <w:rsid w:val="005539DF"/>
    <w:rsid w:val="00554B57"/>
    <w:rsid w:val="00557019"/>
    <w:rsid w:val="00557EDE"/>
    <w:rsid w:val="0056220C"/>
    <w:rsid w:val="0056455F"/>
    <w:rsid w:val="005665A5"/>
    <w:rsid w:val="00567595"/>
    <w:rsid w:val="0056769D"/>
    <w:rsid w:val="005677F8"/>
    <w:rsid w:val="005720BC"/>
    <w:rsid w:val="005729CA"/>
    <w:rsid w:val="00573DFB"/>
    <w:rsid w:val="00575AF1"/>
    <w:rsid w:val="00576084"/>
    <w:rsid w:val="005823EE"/>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3E82"/>
    <w:rsid w:val="005E5741"/>
    <w:rsid w:val="005E5FC7"/>
    <w:rsid w:val="005F040F"/>
    <w:rsid w:val="005F1719"/>
    <w:rsid w:val="005F4D33"/>
    <w:rsid w:val="005F507A"/>
    <w:rsid w:val="005F6469"/>
    <w:rsid w:val="00602D93"/>
    <w:rsid w:val="006061AE"/>
    <w:rsid w:val="00610E1A"/>
    <w:rsid w:val="0061160F"/>
    <w:rsid w:val="00615231"/>
    <w:rsid w:val="00616AB2"/>
    <w:rsid w:val="00620507"/>
    <w:rsid w:val="006206E5"/>
    <w:rsid w:val="006210E4"/>
    <w:rsid w:val="006228F6"/>
    <w:rsid w:val="0062290C"/>
    <w:rsid w:val="00623C1C"/>
    <w:rsid w:val="00624A03"/>
    <w:rsid w:val="00627428"/>
    <w:rsid w:val="00631FF8"/>
    <w:rsid w:val="006333A5"/>
    <w:rsid w:val="0063591B"/>
    <w:rsid w:val="00636F72"/>
    <w:rsid w:val="00637B9A"/>
    <w:rsid w:val="00641381"/>
    <w:rsid w:val="0064458A"/>
    <w:rsid w:val="0064548A"/>
    <w:rsid w:val="006463E3"/>
    <w:rsid w:val="00647226"/>
    <w:rsid w:val="00647290"/>
    <w:rsid w:val="00650DF9"/>
    <w:rsid w:val="0065130C"/>
    <w:rsid w:val="0065243F"/>
    <w:rsid w:val="006565A3"/>
    <w:rsid w:val="00657F89"/>
    <w:rsid w:val="00661BC9"/>
    <w:rsid w:val="006637E0"/>
    <w:rsid w:val="006639B1"/>
    <w:rsid w:val="00671D35"/>
    <w:rsid w:val="00681007"/>
    <w:rsid w:val="00690F93"/>
    <w:rsid w:val="00692830"/>
    <w:rsid w:val="006928D1"/>
    <w:rsid w:val="00696071"/>
    <w:rsid w:val="006A6D08"/>
    <w:rsid w:val="006A733D"/>
    <w:rsid w:val="006B1081"/>
    <w:rsid w:val="006B24DB"/>
    <w:rsid w:val="006B2A7B"/>
    <w:rsid w:val="006B65EE"/>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12D9"/>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6AB8"/>
    <w:rsid w:val="007C700B"/>
    <w:rsid w:val="007D4278"/>
    <w:rsid w:val="007E20E9"/>
    <w:rsid w:val="007E3927"/>
    <w:rsid w:val="007E4C0B"/>
    <w:rsid w:val="007E4E11"/>
    <w:rsid w:val="007E5A31"/>
    <w:rsid w:val="007E6744"/>
    <w:rsid w:val="007E72A2"/>
    <w:rsid w:val="007E7565"/>
    <w:rsid w:val="007F1C30"/>
    <w:rsid w:val="007F29A2"/>
    <w:rsid w:val="007F2E1A"/>
    <w:rsid w:val="007F2E23"/>
    <w:rsid w:val="007F3680"/>
    <w:rsid w:val="00803E50"/>
    <w:rsid w:val="008051A9"/>
    <w:rsid w:val="0081045D"/>
    <w:rsid w:val="00810F5A"/>
    <w:rsid w:val="00812306"/>
    <w:rsid w:val="00814E85"/>
    <w:rsid w:val="008153D0"/>
    <w:rsid w:val="00816AC0"/>
    <w:rsid w:val="008231DE"/>
    <w:rsid w:val="00823494"/>
    <w:rsid w:val="00824EF7"/>
    <w:rsid w:val="00827118"/>
    <w:rsid w:val="0082747F"/>
    <w:rsid w:val="00827821"/>
    <w:rsid w:val="00831645"/>
    <w:rsid w:val="00831AAE"/>
    <w:rsid w:val="0084532D"/>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83C"/>
    <w:rsid w:val="008A7A52"/>
    <w:rsid w:val="008B14FD"/>
    <w:rsid w:val="008B3F19"/>
    <w:rsid w:val="008B75F4"/>
    <w:rsid w:val="008C0900"/>
    <w:rsid w:val="008C0CA4"/>
    <w:rsid w:val="008C15E5"/>
    <w:rsid w:val="008D0DD1"/>
    <w:rsid w:val="008D15FA"/>
    <w:rsid w:val="008D4174"/>
    <w:rsid w:val="008E038F"/>
    <w:rsid w:val="008E5083"/>
    <w:rsid w:val="008E5A31"/>
    <w:rsid w:val="008E633E"/>
    <w:rsid w:val="008E756B"/>
    <w:rsid w:val="008E7C93"/>
    <w:rsid w:val="008F73A0"/>
    <w:rsid w:val="00900F8B"/>
    <w:rsid w:val="009036F6"/>
    <w:rsid w:val="0090487F"/>
    <w:rsid w:val="009103A8"/>
    <w:rsid w:val="0091077F"/>
    <w:rsid w:val="00911D59"/>
    <w:rsid w:val="00913F93"/>
    <w:rsid w:val="0091484C"/>
    <w:rsid w:val="00914A95"/>
    <w:rsid w:val="00914DD4"/>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1406"/>
    <w:rsid w:val="00964600"/>
    <w:rsid w:val="00964E6F"/>
    <w:rsid w:val="00965732"/>
    <w:rsid w:val="00965C11"/>
    <w:rsid w:val="0096700B"/>
    <w:rsid w:val="00970C42"/>
    <w:rsid w:val="0097120A"/>
    <w:rsid w:val="009717DA"/>
    <w:rsid w:val="009727F0"/>
    <w:rsid w:val="009735DD"/>
    <w:rsid w:val="009739D5"/>
    <w:rsid w:val="00973D2A"/>
    <w:rsid w:val="00975B31"/>
    <w:rsid w:val="00980479"/>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75E"/>
    <w:rsid w:val="009E48EB"/>
    <w:rsid w:val="009F1287"/>
    <w:rsid w:val="009F2E99"/>
    <w:rsid w:val="009F480B"/>
    <w:rsid w:val="009F78B6"/>
    <w:rsid w:val="00A01905"/>
    <w:rsid w:val="00A035CE"/>
    <w:rsid w:val="00A06B0D"/>
    <w:rsid w:val="00A07663"/>
    <w:rsid w:val="00A07CA2"/>
    <w:rsid w:val="00A14FAF"/>
    <w:rsid w:val="00A15FF5"/>
    <w:rsid w:val="00A20313"/>
    <w:rsid w:val="00A23116"/>
    <w:rsid w:val="00A25EC1"/>
    <w:rsid w:val="00A27632"/>
    <w:rsid w:val="00A27E44"/>
    <w:rsid w:val="00A32831"/>
    <w:rsid w:val="00A3623E"/>
    <w:rsid w:val="00A4075C"/>
    <w:rsid w:val="00A4205B"/>
    <w:rsid w:val="00A44F98"/>
    <w:rsid w:val="00A45B99"/>
    <w:rsid w:val="00A503F8"/>
    <w:rsid w:val="00A50959"/>
    <w:rsid w:val="00A559C6"/>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055C"/>
    <w:rsid w:val="00AA4348"/>
    <w:rsid w:val="00AA4FB4"/>
    <w:rsid w:val="00AA5697"/>
    <w:rsid w:val="00AA7BD1"/>
    <w:rsid w:val="00AB2049"/>
    <w:rsid w:val="00AB3F5C"/>
    <w:rsid w:val="00AB5CD7"/>
    <w:rsid w:val="00AB6AEF"/>
    <w:rsid w:val="00AC031F"/>
    <w:rsid w:val="00AC44F5"/>
    <w:rsid w:val="00AC6812"/>
    <w:rsid w:val="00AC7FEA"/>
    <w:rsid w:val="00AD081A"/>
    <w:rsid w:val="00AD0F86"/>
    <w:rsid w:val="00AD640B"/>
    <w:rsid w:val="00AD6A40"/>
    <w:rsid w:val="00AD6F9D"/>
    <w:rsid w:val="00AE1B70"/>
    <w:rsid w:val="00AE2288"/>
    <w:rsid w:val="00AE2559"/>
    <w:rsid w:val="00AE2D88"/>
    <w:rsid w:val="00AF1FF0"/>
    <w:rsid w:val="00AF6BD7"/>
    <w:rsid w:val="00B068FA"/>
    <w:rsid w:val="00B073D4"/>
    <w:rsid w:val="00B107FB"/>
    <w:rsid w:val="00B1170D"/>
    <w:rsid w:val="00B13C0D"/>
    <w:rsid w:val="00B148BC"/>
    <w:rsid w:val="00B171DC"/>
    <w:rsid w:val="00B21CCE"/>
    <w:rsid w:val="00B24DC4"/>
    <w:rsid w:val="00B25D11"/>
    <w:rsid w:val="00B31B71"/>
    <w:rsid w:val="00B322CE"/>
    <w:rsid w:val="00B40816"/>
    <w:rsid w:val="00B41935"/>
    <w:rsid w:val="00B42202"/>
    <w:rsid w:val="00B4227F"/>
    <w:rsid w:val="00B44041"/>
    <w:rsid w:val="00B5627E"/>
    <w:rsid w:val="00B572B4"/>
    <w:rsid w:val="00B57784"/>
    <w:rsid w:val="00B612A0"/>
    <w:rsid w:val="00B649C6"/>
    <w:rsid w:val="00B652DD"/>
    <w:rsid w:val="00B7113B"/>
    <w:rsid w:val="00B73B2E"/>
    <w:rsid w:val="00B75A02"/>
    <w:rsid w:val="00B808C7"/>
    <w:rsid w:val="00B81F08"/>
    <w:rsid w:val="00B834FC"/>
    <w:rsid w:val="00B854D9"/>
    <w:rsid w:val="00B9068D"/>
    <w:rsid w:val="00B9156A"/>
    <w:rsid w:val="00B93888"/>
    <w:rsid w:val="00B95629"/>
    <w:rsid w:val="00B95D5A"/>
    <w:rsid w:val="00B97884"/>
    <w:rsid w:val="00BA23A9"/>
    <w:rsid w:val="00BA4569"/>
    <w:rsid w:val="00BA637B"/>
    <w:rsid w:val="00BA70AD"/>
    <w:rsid w:val="00BA7874"/>
    <w:rsid w:val="00BB71C4"/>
    <w:rsid w:val="00BC35DD"/>
    <w:rsid w:val="00BC3F79"/>
    <w:rsid w:val="00BC444D"/>
    <w:rsid w:val="00BC4DAD"/>
    <w:rsid w:val="00BC5FD5"/>
    <w:rsid w:val="00BC667D"/>
    <w:rsid w:val="00BC697F"/>
    <w:rsid w:val="00BE0595"/>
    <w:rsid w:val="00BE6ADE"/>
    <w:rsid w:val="00BF1832"/>
    <w:rsid w:val="00BF1D48"/>
    <w:rsid w:val="00BF365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777CB"/>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01"/>
    <w:rsid w:val="00D02E78"/>
    <w:rsid w:val="00D04423"/>
    <w:rsid w:val="00D108A8"/>
    <w:rsid w:val="00D11F8C"/>
    <w:rsid w:val="00D13939"/>
    <w:rsid w:val="00D14789"/>
    <w:rsid w:val="00D1523E"/>
    <w:rsid w:val="00D167AA"/>
    <w:rsid w:val="00D176C7"/>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05A"/>
    <w:rsid w:val="00D912DD"/>
    <w:rsid w:val="00D94863"/>
    <w:rsid w:val="00DA352A"/>
    <w:rsid w:val="00DA59A9"/>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4FF8"/>
    <w:rsid w:val="00ED5E2F"/>
    <w:rsid w:val="00ED701D"/>
    <w:rsid w:val="00EE3416"/>
    <w:rsid w:val="00EE4784"/>
    <w:rsid w:val="00EF5132"/>
    <w:rsid w:val="00EF61FA"/>
    <w:rsid w:val="00EF6FED"/>
    <w:rsid w:val="00F05D93"/>
    <w:rsid w:val="00F06682"/>
    <w:rsid w:val="00F067CC"/>
    <w:rsid w:val="00F10653"/>
    <w:rsid w:val="00F12C81"/>
    <w:rsid w:val="00F131A5"/>
    <w:rsid w:val="00F133C4"/>
    <w:rsid w:val="00F13C96"/>
    <w:rsid w:val="00F15774"/>
    <w:rsid w:val="00F15EE8"/>
    <w:rsid w:val="00F21470"/>
    <w:rsid w:val="00F2346C"/>
    <w:rsid w:val="00F2720E"/>
    <w:rsid w:val="00F35C41"/>
    <w:rsid w:val="00F37B7F"/>
    <w:rsid w:val="00F43408"/>
    <w:rsid w:val="00F43B31"/>
    <w:rsid w:val="00F448DC"/>
    <w:rsid w:val="00F536FC"/>
    <w:rsid w:val="00F53870"/>
    <w:rsid w:val="00F5439D"/>
    <w:rsid w:val="00F54BC7"/>
    <w:rsid w:val="00F57289"/>
    <w:rsid w:val="00F57343"/>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064A"/>
    <w:rsid w:val="00FB11CC"/>
    <w:rsid w:val="00FB1BDA"/>
    <w:rsid w:val="00FB2ED7"/>
    <w:rsid w:val="00FB6C51"/>
    <w:rsid w:val="00FB77A0"/>
    <w:rsid w:val="00FC1AC7"/>
    <w:rsid w:val="00FC323E"/>
    <w:rsid w:val="00FC3A3E"/>
    <w:rsid w:val="00FC44A0"/>
    <w:rsid w:val="00FC7A4F"/>
    <w:rsid w:val="00FD5B38"/>
    <w:rsid w:val="00FD72E0"/>
    <w:rsid w:val="00FD7DD0"/>
    <w:rsid w:val="00FE059B"/>
    <w:rsid w:val="00FE50AB"/>
    <w:rsid w:val="00FF456F"/>
    <w:rsid w:val="00FF4D6A"/>
    <w:rsid w:val="00FF65E0"/>
    <w:rsid w:val="00FF7C7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E491F"/>
  <w15:docId w15:val="{D5D511E9-9F55-4A79-A32D-4D019060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uiPriority w:val="22"/>
    <w:qFormat/>
    <w:rsid w:val="001D2025"/>
    <w:rPr>
      <w:b/>
      <w:bCs/>
    </w:rPr>
  </w:style>
  <w:style w:type="table" w:styleId="TableGrid">
    <w:name w:val="Table Grid"/>
    <w:basedOn w:val="TableNormal"/>
    <w:rsid w:val="00CB07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nl-NL" w:eastAsia="fr-FR"/>
    </w:rPr>
  </w:style>
  <w:style w:type="paragraph" w:styleId="ListParagraph">
    <w:name w:val="List Paragraph"/>
    <w:basedOn w:val="Normal"/>
    <w:uiPriority w:val="34"/>
    <w:qFormat/>
    <w:rsid w:val="00A25EC1"/>
    <w:pPr>
      <w:ind w:left="720"/>
      <w:contextualSpacing/>
    </w:pPr>
  </w:style>
  <w:style w:type="paragraph" w:styleId="CommentText">
    <w:name w:val="annotation text"/>
    <w:basedOn w:val="Normal"/>
    <w:uiPriority w:val="99"/>
    <w:semiHidden/>
    <w:unhideWhenUsed/>
    <w:rPr>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ena-professional.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5181</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Microsoft Office User</cp:lastModifiedBy>
  <cp:revision>2</cp:revision>
  <cp:lastPrinted>2018-03-05T10:19:00Z</cp:lastPrinted>
  <dcterms:created xsi:type="dcterms:W3CDTF">2018-03-07T12:18:00Z</dcterms:created>
  <dcterms:modified xsi:type="dcterms:W3CDTF">2018-03-07T12:18:00Z</dcterms:modified>
</cp:coreProperties>
</file>