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right="0"/>
        <w:contextualSpacing w:val="0"/>
        <w:jc w:val="center"/>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Reconoce SECTUR a Grupo Vidanta durante el Tianguis</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right="0"/>
        <w:contextualSpacing w:val="0"/>
        <w:jc w:val="center"/>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Turístico 2017 con sede en Acapulco</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720" w:right="0" w:hanging="360"/>
        <w:jc w:val="center"/>
        <w:rPr>
          <w:color w:val="000000"/>
          <w:sz w:val="22"/>
          <w:szCs w:val="22"/>
          <w:u w:val="no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Debido a la calidad de sus servicios turísticos en México y al fortalecimiento de la seguridad del turista en el país, Vidanta Nuevo Vallarta recibió el “Reconocimiento Turístico 2017”</w:t>
      </w:r>
    </w:p>
    <w:p w:rsidR="00000000" w:rsidDel="00000000" w:rsidP="00000000" w:rsidRDefault="00000000" w:rsidRPr="00000000">
      <w:pPr>
        <w:keepNext w:val="0"/>
        <w:keepLines w:val="0"/>
        <w:widowControl w:val="1"/>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720" w:right="0" w:hanging="360"/>
        <w:jc w:val="center"/>
        <w:rPr>
          <w:color w:val="000000"/>
          <w:sz w:val="22"/>
          <w:szCs w:val="22"/>
          <w:u w:val="no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Vidanta Acapulco, por su parte, fue reconocido con el distintivo “S” que otorga el gobierno mexicano a las buenas prácticas sustentables</w:t>
      </w: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right="0"/>
        <w:contextualSpacing w:val="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center"/>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Ciudad de México, a </w:t>
      </w:r>
      <w:r w:rsidDel="00000000" w:rsidR="00000000" w:rsidRPr="00000000">
        <w:rPr>
          <w:rFonts w:ascii="Arial" w:cs="Arial" w:eastAsia="Arial" w:hAnsi="Arial"/>
          <w:b w:val="1"/>
          <w:sz w:val="22"/>
          <w:szCs w:val="22"/>
          <w:rtl w:val="0"/>
        </w:rPr>
        <w:t xml:space="preserve">30</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de marzo</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de 2</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017.–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En el marco de la edición número 42 del Tianguis Turístico, cele</w:t>
      </w:r>
      <w:r w:rsidDel="00000000" w:rsidR="00000000" w:rsidRPr="00000000">
        <w:rPr>
          <w:rFonts w:ascii="Arial" w:cs="Arial" w:eastAsia="Arial" w:hAnsi="Arial"/>
          <w:sz w:val="22"/>
          <w:szCs w:val="22"/>
          <w:rtl w:val="0"/>
        </w:rPr>
        <w:t xml:space="preserve">brado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 27 al 30 de marzo en Acapulco, Guerrero,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Grupo Vidanta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–desarrollador líder de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resorts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 infraestructuras turísticas en México y Latinoamérica– fue galardonado con el Reconocimiento Turístico 2017 por su su puntual y satisfactorio cumplimiento de la normatividad federal y su alta calidad y profesionalización de sus servicios; así como con el distintivo “S”, que reconoce a las empresas en México que comparten una visión sustentable y protectora del medio ambiente.</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Vidanta Nuevo Vallarta fue el acreedor al Reconocimiento Turístico 2017 otorgado por la Secretaría de Turismo (SECTUR) y Entidad Mexicana de Acreditación (EMA) debido a la alta calidad y profesionalismo de su oferta turística, dentro de la que destacan: sus hoteles de 5 y 4 diamantes The Grand Luxxe y The Grand Bliss, respectivamente; un campo de golf diseñado por Jack Nicklaus que incluye 18 hoyos par-70, 49 trampas y </w:t>
      </w:r>
      <w:r w:rsidDel="00000000" w:rsidR="00000000" w:rsidRPr="00000000">
        <w:rPr>
          <w:rFonts w:ascii="Arial" w:cs="Arial" w:eastAsia="Arial" w:hAnsi="Arial"/>
          <w:sz w:val="22"/>
          <w:szCs w:val="22"/>
          <w:rtl w:val="0"/>
        </w:rPr>
        <w:t xml:space="preserve">siete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lagos, y otro diseñado por Greg Norman con 18 hoyos par-72 y el puente colgante para carritos de golf más largo del mundo que abarca dos estados de la República; dos spas de lujo, innovadores salones para eventos o convenciones, lujosos gimnasios, boutiques de alta gama, diferentes opciones de entretenimiento, más de 30 restaurantes de clase mundial, impresionantes albercas, entre muchas otras.</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Por su parte, Vidanta Acapulco mereció el distintivo “S”, otorgado por la Secretaría de Turismo (SECTUR) y la Secretaría de Medio Ambiente y Recursos Naturales (SEMARNAT), como un reconocimiento a sus buenas políticas y </w:t>
      </w:r>
      <w:r w:rsidDel="00000000" w:rsidR="00000000" w:rsidRPr="00000000">
        <w:rPr>
          <w:rFonts w:ascii="Arial" w:cs="Arial" w:eastAsia="Arial" w:hAnsi="Arial"/>
          <w:sz w:val="22"/>
          <w:szCs w:val="22"/>
          <w:rtl w:val="0"/>
        </w:rPr>
        <w:t xml:space="preserve">prácticas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sustentables las cuales están alineadas a los estándares de EarthCheck. Algunas de ellas incluyen la correcta gestión del agua y residuos, sus procedimientos para la conservación de energía y un tortugario para la protección de la tortuga marina, que tan sólo el año pasado liberó más de 54,000 crías.</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nombre de Vidanta, Benny Michaud, director de operaciones hoteleras del Grupo, expresó: “Estas distinciones representan el esfuerzo conjunto de todos los que integramos Grupo Vidanta; son reconocimientos al trabajo de miles de personas que hacen posible que México se posicione en el panorama mundial con una oferta turística innovadora y de la más alta calidad, que supera las expectativas de nuestros huéspedes”.</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Durante este 2017, Grupo Vidanta continúa acumulando distinciones y premios que refuerzan su misión de crear la mejor experiencia vacacional y de entretenimiento, a través de una evolución continua basada en la innovación y consolidación de los más altos estándares de calidad en cada uno de sus destinos, así como en crear un lugar de trabajo que promueva la seguridad, el bienestar y el crecimiento de sus más de 15,000 colaboradores.</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center"/>
        <w:rPr>
          <w:rFonts w:ascii="Arial" w:cs="Arial" w:eastAsia="Arial" w:hAnsi="Arial"/>
          <w:b w:val="1"/>
          <w:i w:val="1"/>
          <w:smallCaps w:val="0"/>
          <w:strike w:val="0"/>
          <w:color w:val="000000"/>
          <w:sz w:val="22"/>
          <w:szCs w:val="22"/>
          <w:u w:val="none"/>
          <w:vertAlign w:val="baseline"/>
        </w:rPr>
      </w:pPr>
      <w:r w:rsidDel="00000000" w:rsidR="00000000" w:rsidRPr="00000000">
        <w:rPr>
          <w:rFonts w:ascii="Arial" w:cs="Arial" w:eastAsia="Arial" w:hAnsi="Arial"/>
          <w:b w:val="1"/>
          <w:i w:val="1"/>
          <w:smallCaps w:val="0"/>
          <w:strike w:val="0"/>
          <w:color w:val="000000"/>
          <w:sz w:val="22"/>
          <w:szCs w:val="22"/>
          <w:u w:val="none"/>
          <w:vertAlign w:val="baseline"/>
          <w:rtl w:val="0"/>
        </w:rPr>
        <w:t xml:space="preserve"># # #</w:t>
      </w:r>
    </w:p>
    <w:p w:rsidR="00000000" w:rsidDel="00000000" w:rsidP="00000000" w:rsidRDefault="00000000" w:rsidRPr="00000000">
      <w:pPr>
        <w:keepNext w:val="0"/>
        <w:keepLines w:val="0"/>
        <w:widowControl w:val="0"/>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Acerca de Grupo Vidanta</w:t>
      </w: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0"/>
          <w:szCs w:val="20"/>
          <w:u w:val="none"/>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vertAlign w:val="baseline"/>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resorts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 lujo y hoteles en México y tiene al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G</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resorts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El enfoque visionario de Grupo Vidanta sobre el desarrollo de destinos de playa de lujo trae los sueños de vacaciones a la vida real en las costas más cotizadas de México a través de sus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resorts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en Los Cabos, Acapulco, Puerto Peñasco, Puerto Vallarta y Mazatlán así como de  sus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mega resorts de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Nuevo Vallarta y Riviera Maya. Esto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con su marcas The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Grand Luxxe, The Grand Bliss, The Grand Mayan, The Bliss, Mayan Palace, Ocean Breeze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y</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 Sea Garden,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así como otras en desarrollo.</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1"/>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Grupo Vidanta fue fundado por Daniel Chávez Morán en 1974 y opera dos fundaciones para enriquecer la vida de los latinoamericanos. Para más información, visita </w:t>
      </w:r>
      <w:hyperlink r:id="rId5">
        <w:r w:rsidDel="00000000" w:rsidR="00000000" w:rsidRPr="00000000">
          <w:rPr>
            <w:rFonts w:ascii="Arial" w:cs="Arial" w:eastAsia="Arial" w:hAnsi="Arial"/>
            <w:b w:val="0"/>
            <w:i w:val="0"/>
            <w:smallCaps w:val="0"/>
            <w:strike w:val="0"/>
            <w:color w:val="000000"/>
            <w:sz w:val="20"/>
            <w:szCs w:val="20"/>
            <w:u w:val="single"/>
            <w:vertAlign w:val="baseline"/>
            <w:rtl w:val="0"/>
          </w:rPr>
          <w:t xml:space="preserve">http://vidanta.com/</w:t>
        </w:r>
      </w:hyperlink>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CONTACTO</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Sandy Machuca</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hyperlink r:id="rId6">
        <w:r w:rsidDel="00000000" w:rsidR="00000000" w:rsidRPr="00000000">
          <w:rPr>
            <w:rFonts w:ascii="Arial" w:cs="Arial" w:eastAsia="Arial" w:hAnsi="Arial"/>
            <w:b w:val="0"/>
            <w:i w:val="0"/>
            <w:smallCaps w:val="0"/>
            <w:strike w:val="0"/>
            <w:color w:val="000000"/>
            <w:sz w:val="22"/>
            <w:szCs w:val="22"/>
            <w:u w:val="single"/>
            <w:vertAlign w:val="baseline"/>
            <w:rtl w:val="0"/>
          </w:rPr>
          <w:t xml:space="preserve">sandy@anothercompany.com.mx</w:t>
        </w:r>
      </w:hyperlink>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Another Company</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Of. 6392.1100 ext. 3415</w:t>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 04455 2270 5536</w:t>
      </w:r>
    </w:p>
    <w:sectPr>
      <w:headerReference r:id="rId7" w:type="default"/>
      <w:footerReference r:id="rId8" w:type="default"/>
      <w:pgSz w:h="16840" w:w="1190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tabs>
        <w:tab w:val="right" w:pos="9020"/>
      </w:tabs>
      <w:spacing w:after="72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center"/>
      <w:rPr>
        <w:rFonts w:ascii="Arial" w:cs="Arial" w:eastAsia="Arial" w:hAnsi="Arial"/>
        <w:sz w:val="22"/>
        <w:szCs w:val="22"/>
      </w:rPr>
    </w:pPr>
    <w:r w:rsidDel="00000000" w:rsidR="00000000" w:rsidRPr="00000000">
      <w:drawing>
        <wp:inline distB="152400" distT="152400" distL="152400" distR="152400">
          <wp:extent cx="2428875" cy="640582"/>
          <wp:effectExtent b="0" l="0" r="0" t="0"/>
          <wp:docPr descr="Macintosh HD:Users:michelle:Desktop:Vidanta Resorts.png" id="1" name="image01.png"/>
          <a:graphic>
            <a:graphicData uri="http://schemas.openxmlformats.org/drawingml/2006/picture">
              <pic:pic>
                <pic:nvPicPr>
                  <pic:cNvPr descr="Macintosh HD:Users:michelle:Desktop:Vidanta Resorts.png" id="0" name="image01.png"/>
                  <pic:cNvPicPr preferRelativeResize="0"/>
                </pic:nvPicPr>
                <pic:blipFill>
                  <a:blip r:embed="rId1"/>
                  <a:srcRect b="0" l="0" r="0" t="0"/>
                  <a:stretch>
                    <a:fillRect/>
                  </a:stretch>
                </pic:blipFill>
                <pic:spPr>
                  <a:xfrm>
                    <a:off x="0" y="0"/>
                    <a:ext cx="2428875" cy="640582"/>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76" w:lineRule="auto"/>
      <w:ind w:left="0" w:right="0" w:firstLine="0"/>
      <w:contextualSpacing w:val="0"/>
      <w:jc w:val="center"/>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0"/>
        <w:i w:val="1"/>
        <w:smallCaps w:val="0"/>
        <w:strike w:val="0"/>
        <w:vertAlign w:val="baseline"/>
      </w:rPr>
    </w:lvl>
    <w:lvl w:ilvl="1">
      <w:start w:val="1"/>
      <w:numFmt w:val="bullet"/>
      <w:lvlText w:val="○"/>
      <w:lvlJc w:val="left"/>
      <w:pPr>
        <w:ind w:left="1440" w:firstLine="1080"/>
      </w:pPr>
      <w:rPr>
        <w:rFonts w:ascii="Arial" w:cs="Arial" w:eastAsia="Arial" w:hAnsi="Arial"/>
        <w:b w:val="0"/>
        <w:i w:val="1"/>
        <w:smallCaps w:val="0"/>
        <w:strike w:val="0"/>
        <w:vertAlign w:val="baseline"/>
      </w:rPr>
    </w:lvl>
    <w:lvl w:ilvl="2">
      <w:start w:val="1"/>
      <w:numFmt w:val="bullet"/>
      <w:lvlText w:val="■"/>
      <w:lvlJc w:val="left"/>
      <w:pPr>
        <w:ind w:left="2160" w:firstLine="1800"/>
      </w:pPr>
      <w:rPr>
        <w:rFonts w:ascii="Arial" w:cs="Arial" w:eastAsia="Arial" w:hAnsi="Arial"/>
        <w:b w:val="0"/>
        <w:i w:val="1"/>
        <w:smallCaps w:val="0"/>
        <w:strike w:val="0"/>
        <w:vertAlign w:val="baseline"/>
      </w:rPr>
    </w:lvl>
    <w:lvl w:ilvl="3">
      <w:start w:val="1"/>
      <w:numFmt w:val="bullet"/>
      <w:lvlText w:val="●"/>
      <w:lvlJc w:val="left"/>
      <w:pPr>
        <w:ind w:left="2880" w:firstLine="2520"/>
      </w:pPr>
      <w:rPr>
        <w:rFonts w:ascii="Arial" w:cs="Arial" w:eastAsia="Arial" w:hAnsi="Arial"/>
        <w:b w:val="0"/>
        <w:i w:val="1"/>
        <w:smallCaps w:val="0"/>
        <w:strike w:val="0"/>
        <w:vertAlign w:val="baseline"/>
      </w:rPr>
    </w:lvl>
    <w:lvl w:ilvl="4">
      <w:start w:val="1"/>
      <w:numFmt w:val="bullet"/>
      <w:lvlText w:val="○"/>
      <w:lvlJc w:val="left"/>
      <w:pPr>
        <w:ind w:left="3600" w:firstLine="3240"/>
      </w:pPr>
      <w:rPr>
        <w:rFonts w:ascii="Arial" w:cs="Arial" w:eastAsia="Arial" w:hAnsi="Arial"/>
        <w:b w:val="0"/>
        <w:i w:val="1"/>
        <w:smallCaps w:val="0"/>
        <w:strike w:val="0"/>
        <w:vertAlign w:val="baseline"/>
      </w:rPr>
    </w:lvl>
    <w:lvl w:ilvl="5">
      <w:start w:val="1"/>
      <w:numFmt w:val="bullet"/>
      <w:lvlText w:val="■"/>
      <w:lvlJc w:val="left"/>
      <w:pPr>
        <w:ind w:left="4320" w:firstLine="3960"/>
      </w:pPr>
      <w:rPr>
        <w:rFonts w:ascii="Arial" w:cs="Arial" w:eastAsia="Arial" w:hAnsi="Arial"/>
        <w:b w:val="0"/>
        <w:i w:val="1"/>
        <w:smallCaps w:val="0"/>
        <w:strike w:val="0"/>
        <w:vertAlign w:val="baseline"/>
      </w:rPr>
    </w:lvl>
    <w:lvl w:ilvl="6">
      <w:start w:val="1"/>
      <w:numFmt w:val="bullet"/>
      <w:lvlText w:val="●"/>
      <w:lvlJc w:val="left"/>
      <w:pPr>
        <w:ind w:left="5040" w:firstLine="4680"/>
      </w:pPr>
      <w:rPr>
        <w:rFonts w:ascii="Arial" w:cs="Arial" w:eastAsia="Arial" w:hAnsi="Arial"/>
        <w:b w:val="0"/>
        <w:i w:val="1"/>
        <w:smallCaps w:val="0"/>
        <w:strike w:val="0"/>
        <w:vertAlign w:val="baseline"/>
      </w:rPr>
    </w:lvl>
    <w:lvl w:ilvl="7">
      <w:start w:val="1"/>
      <w:numFmt w:val="bullet"/>
      <w:lvlText w:val="○"/>
      <w:lvlJc w:val="left"/>
      <w:pPr>
        <w:ind w:left="5760" w:firstLine="5400"/>
      </w:pPr>
      <w:rPr>
        <w:rFonts w:ascii="Arial" w:cs="Arial" w:eastAsia="Arial" w:hAnsi="Arial"/>
        <w:b w:val="0"/>
        <w:i w:val="1"/>
        <w:smallCaps w:val="0"/>
        <w:strike w:val="0"/>
        <w:vertAlign w:val="baseline"/>
      </w:rPr>
    </w:lvl>
    <w:lvl w:ilvl="8">
      <w:start w:val="1"/>
      <w:numFmt w:val="bullet"/>
      <w:lvlText w:val="■"/>
      <w:lvlJc w:val="left"/>
      <w:pPr>
        <w:ind w:left="6480" w:firstLine="6120"/>
      </w:pPr>
      <w:rPr>
        <w:rFonts w:ascii="Arial" w:cs="Arial" w:eastAsia="Arial" w:hAnsi="Arial"/>
        <w:b w:val="0"/>
        <w:i w:val="1"/>
        <w:smallCaps w:val="0"/>
        <w:strike w:val="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pBdr>
          <w:top w:color="auto" w:space="0" w:sz="2" w:val="single"/>
          <w:left w:color="auto" w:space="0" w:sz="2" w:val="single"/>
          <w:bottom w:color="auto" w:space="0" w:sz="2" w:val="single"/>
          <w:right w:color="auto" w:space="0" w:sz="2" w:val="single"/>
          <w:between w:color="auto" w:space="0" w:sz="2" w:val="single"/>
        </w:pBdr>
        <w:shd w:fill="ffffff"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vidanta.com/" TargetMode="External"/><Relationship Id="rId6" Type="http://schemas.openxmlformats.org/officeDocument/2006/relationships/hyperlink" Target="mailto:sandy@anothercompany.com.mx"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