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pPr>
      <w:r w:rsidDel="00000000" w:rsidR="00000000" w:rsidRPr="00000000">
        <w:drawing>
          <wp:inline distB="114300" distT="114300" distL="114300" distR="114300">
            <wp:extent cx="1900238" cy="586924"/>
            <wp:effectExtent b="0" l="0" r="0" t="0"/>
            <wp:docPr descr="imgres-2.png" id="2" name="image4.png"/>
            <a:graphic>
              <a:graphicData uri="http://schemas.openxmlformats.org/drawingml/2006/picture">
                <pic:pic>
                  <pic:nvPicPr>
                    <pic:cNvPr descr="imgres-2.png" id="0" name="image4.png"/>
                    <pic:cNvPicPr preferRelativeResize="0"/>
                  </pic:nvPicPr>
                  <pic:blipFill>
                    <a:blip r:embed="rId6"/>
                    <a:srcRect b="0" l="0" r="0" t="0"/>
                    <a:stretch>
                      <a:fillRect/>
                    </a:stretch>
                  </pic:blipFill>
                  <pic:spPr>
                    <a:xfrm>
                      <a:off x="0" y="0"/>
                      <a:ext cx="1900238" cy="586924"/>
                    </a:xfrm>
                    <a:prstGeom prst="rect"/>
                    <a:ln/>
                  </pic:spPr>
                </pic:pic>
              </a:graphicData>
            </a:graphic>
          </wp:inline>
        </w:drawing>
      </w:r>
      <w:r w:rsidDel="00000000" w:rsidR="00000000" w:rsidRPr="00000000">
        <w:rPr>
          <w:rtl w:val="0"/>
        </w:rPr>
        <w:t xml:space="preserve">                                                                   </w:t>
      </w:r>
      <w:r w:rsidDel="00000000" w:rsidR="00000000" w:rsidRPr="00000000">
        <w:drawing>
          <wp:inline distB="114300" distT="114300" distL="114300" distR="114300">
            <wp:extent cx="1295400" cy="623888"/>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95400" cy="623888"/>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t xml:space="preserve">      </w:t>
      </w:r>
    </w:p>
    <w:p w:rsidR="00000000" w:rsidDel="00000000" w:rsidP="00000000" w:rsidRDefault="00000000" w:rsidRPr="00000000">
      <w:pPr>
        <w:pBdr/>
        <w:contextualSpacing w:val="0"/>
        <w:jc w:val="center"/>
        <w:rPr>
          <w:b w:val="1"/>
          <w:sz w:val="24"/>
          <w:szCs w:val="24"/>
        </w:rPr>
      </w:pPr>
      <w:r w:rsidDel="00000000" w:rsidR="00000000" w:rsidRPr="00000000">
        <w:rPr>
          <w:rtl w:val="0"/>
        </w:rPr>
      </w:r>
    </w:p>
    <w:p w:rsidR="00000000" w:rsidDel="00000000" w:rsidP="00000000" w:rsidRDefault="00000000" w:rsidRPr="00000000">
      <w:pPr>
        <w:pBdr/>
        <w:contextualSpacing w:val="0"/>
        <w:jc w:val="center"/>
        <w:rPr>
          <w:b w:val="1"/>
          <w:sz w:val="24"/>
          <w:szCs w:val="24"/>
        </w:rPr>
      </w:pPr>
      <w:r w:rsidDel="00000000" w:rsidR="00000000" w:rsidRPr="00000000">
        <w:rPr>
          <w:b w:val="1"/>
          <w:sz w:val="24"/>
          <w:szCs w:val="24"/>
          <w:rtl w:val="0"/>
        </w:rPr>
        <w:t xml:space="preserve">BANCO MUNDIAL IMPULSA ELIMINAR LA CEGUERA INNECESARIA EN MÉXICO</w:t>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pBdr/>
        <w:contextualSpacing w:val="0"/>
        <w:jc w:val="both"/>
        <w:rPr>
          <w:i w:val="1"/>
        </w:rPr>
      </w:pPr>
      <w:r w:rsidDel="00000000" w:rsidR="00000000" w:rsidRPr="00000000">
        <w:rPr>
          <w:rtl w:val="0"/>
        </w:rPr>
      </w:r>
    </w:p>
    <w:p w:rsidR="00000000" w:rsidDel="00000000" w:rsidP="00000000" w:rsidRDefault="00000000" w:rsidRPr="00000000">
      <w:pPr>
        <w:numPr>
          <w:ilvl w:val="0"/>
          <w:numId w:val="1"/>
        </w:numPr>
        <w:pBdr/>
        <w:ind w:left="720" w:hanging="360"/>
        <w:contextualSpacing w:val="1"/>
        <w:jc w:val="both"/>
        <w:rPr>
          <w:i w:val="1"/>
        </w:rPr>
      </w:pPr>
      <w:r w:rsidDel="00000000" w:rsidR="00000000" w:rsidRPr="00000000">
        <w:rPr>
          <w:i w:val="1"/>
          <w:rtl w:val="0"/>
        </w:rPr>
        <w:t xml:space="preserve">8 de cada 10 casos de discapacidad visual y ceguera en el mundo son prevenibles</w:t>
      </w:r>
      <w:r w:rsidDel="00000000" w:rsidR="00000000" w:rsidRPr="00000000">
        <w:rPr>
          <w:i w:val="1"/>
          <w:vertAlign w:val="superscript"/>
        </w:rPr>
        <w:footnoteReference w:customMarkFollows="0" w:id="0"/>
      </w:r>
      <w:r w:rsidDel="00000000" w:rsidR="00000000" w:rsidRPr="00000000">
        <w:rPr>
          <w:i w:val="1"/>
          <w:rtl w:val="0"/>
        </w:rPr>
        <w:t xml:space="preserve">.</w:t>
      </w:r>
    </w:p>
    <w:p w:rsidR="00000000" w:rsidDel="00000000" w:rsidP="00000000" w:rsidRDefault="00000000" w:rsidRPr="00000000">
      <w:pPr>
        <w:numPr>
          <w:ilvl w:val="0"/>
          <w:numId w:val="1"/>
        </w:numPr>
        <w:pBdr/>
        <w:ind w:left="720" w:hanging="360"/>
        <w:contextualSpacing w:val="1"/>
        <w:jc w:val="both"/>
        <w:rPr>
          <w:i w:val="1"/>
        </w:rPr>
      </w:pPr>
      <w:r w:rsidDel="00000000" w:rsidR="00000000" w:rsidRPr="00000000">
        <w:rPr>
          <w:i w:val="1"/>
          <w:rtl w:val="0"/>
        </w:rPr>
        <w:t xml:space="preserve">En México, 2.3 millones viven con cataratas, la causa principal de ceguera en el país y 6.6% de personas con diabetes quedan ciegas por no tratarse a tiempo.</w:t>
      </w:r>
      <w:r w:rsidDel="00000000" w:rsidR="00000000" w:rsidRPr="00000000">
        <w:rPr>
          <w:i w:val="1"/>
          <w:vertAlign w:val="superscript"/>
        </w:rPr>
        <w:footnoteReference w:customMarkFollows="0" w:id="1"/>
      </w:r>
      <w:r w:rsidDel="00000000" w:rsidR="00000000" w:rsidRPr="00000000">
        <w:rPr>
          <w:rtl w:val="0"/>
        </w:rPr>
      </w:r>
    </w:p>
    <w:p w:rsidR="00000000" w:rsidDel="00000000" w:rsidP="00000000" w:rsidRDefault="00000000" w:rsidRPr="00000000">
      <w:pPr>
        <w:numPr>
          <w:ilvl w:val="0"/>
          <w:numId w:val="1"/>
        </w:numPr>
        <w:pBdr/>
        <w:ind w:left="720" w:hanging="360"/>
        <w:contextualSpacing w:val="1"/>
        <w:jc w:val="both"/>
        <w:rPr>
          <w:i w:val="1"/>
        </w:rPr>
      </w:pPr>
      <w:r w:rsidDel="00000000" w:rsidR="00000000" w:rsidRPr="00000000">
        <w:rPr>
          <w:i w:val="1"/>
          <w:rtl w:val="0"/>
        </w:rPr>
        <w:t xml:space="preserve">Con inversiones de capital de la Corporación Financiera Internacional (IFC), miembro del Banco Mundial sala</w:t>
      </w:r>
      <w:r w:rsidDel="00000000" w:rsidR="00000000" w:rsidRPr="00000000">
        <w:rPr>
          <w:b w:val="1"/>
          <w:i w:val="1"/>
          <w:rtl w:val="0"/>
        </w:rPr>
        <w:t xml:space="preserve">uno </w:t>
      </w:r>
      <w:r w:rsidDel="00000000" w:rsidR="00000000" w:rsidRPr="00000000">
        <w:rPr>
          <w:i w:val="1"/>
          <w:rtl w:val="0"/>
        </w:rPr>
        <w:t xml:space="preserve">se fortalece para cumplir con su misión social y empresarial. </w:t>
      </w:r>
    </w:p>
    <w:p w:rsidR="00000000" w:rsidDel="00000000" w:rsidP="00000000" w:rsidRDefault="00000000" w:rsidRPr="00000000">
      <w:pPr>
        <w:pBdr/>
        <w:contextualSpacing w:val="0"/>
        <w:jc w:val="both"/>
        <w:rPr>
          <w:i w:val="1"/>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b w:val="1"/>
          <w:rtl w:val="0"/>
        </w:rPr>
        <w:t xml:space="preserve">Ciudad de México, a 30 de junio de 2017.- </w:t>
      </w:r>
      <w:r w:rsidDel="00000000" w:rsidR="00000000" w:rsidRPr="00000000">
        <w:rPr>
          <w:rtl w:val="0"/>
        </w:rPr>
        <w:t xml:space="preserve">Estimaciones globales indican que 285 millones de personas viven con discapacidad visual y 39 millones con ceguera, de éstos últimos casos, se sabe que 8 de cada 10 son prevenibles</w:t>
      </w:r>
      <w:r w:rsidDel="00000000" w:rsidR="00000000" w:rsidRPr="00000000">
        <w:rPr>
          <w:vertAlign w:val="superscript"/>
        </w:rPr>
        <w:footnoteReference w:customMarkFollows="0" w:id="2"/>
      </w:r>
      <w:r w:rsidDel="00000000" w:rsidR="00000000" w:rsidRPr="00000000">
        <w:rPr>
          <w:rtl w:val="0"/>
        </w:rPr>
        <w:t xml:space="preserve">, por ello la Organización Mundial de la Salud (OMS) ha incluido como tema prioritario en su Plan de Acción Mundial (2014- 2019)  a la salud ocular.</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b w:val="1"/>
        </w:rPr>
      </w:pPr>
      <w:r w:rsidDel="00000000" w:rsidR="00000000" w:rsidRPr="00000000">
        <w:rPr>
          <w:rtl w:val="0"/>
        </w:rPr>
        <w:t xml:space="preserve">“En México, 2.3 millones de personas viven con cataratas, y debido a la falta de atención oportuna, se han convertido en la causa principal de ceguera innecesaria o evitable en el país, de hecho 6.6% de quienes viven con diabetes quedan ciegas por no tratarse a tiempo</w:t>
      </w:r>
      <w:r w:rsidDel="00000000" w:rsidR="00000000" w:rsidRPr="00000000">
        <w:rPr>
          <w:vertAlign w:val="superscript"/>
        </w:rPr>
        <w:footnoteReference w:customMarkFollows="0" w:id="3"/>
      </w:r>
      <w:r w:rsidDel="00000000" w:rsidR="00000000" w:rsidRPr="00000000">
        <w:rPr>
          <w:rtl w:val="0"/>
        </w:rPr>
        <w:t xml:space="preserve">”, explicó </w:t>
      </w:r>
      <w:r w:rsidDel="00000000" w:rsidR="00000000" w:rsidRPr="00000000">
        <w:rPr>
          <w:rtl w:val="0"/>
        </w:rPr>
        <w:t xml:space="preserve">Javier Okhuysen, Co-fundador </w:t>
      </w:r>
      <w:r w:rsidDel="00000000" w:rsidR="00000000" w:rsidRPr="00000000">
        <w:rPr>
          <w:rtl w:val="0"/>
        </w:rPr>
        <w:t xml:space="preserve">de sala</w:t>
      </w:r>
      <w:r w:rsidDel="00000000" w:rsidR="00000000" w:rsidRPr="00000000">
        <w:rPr>
          <w:b w:val="1"/>
          <w:rtl w:val="0"/>
        </w:rPr>
        <w:t xml:space="preserve">uno.</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El déficit de médicos oftalmólogos en México, que existen a razón de 1 por cada 30 mil habitantes</w:t>
      </w:r>
      <w:r w:rsidDel="00000000" w:rsidR="00000000" w:rsidRPr="00000000">
        <w:rPr>
          <w:vertAlign w:val="superscript"/>
        </w:rPr>
        <w:footnoteReference w:customMarkFollows="0" w:id="4"/>
      </w:r>
      <w:r w:rsidDel="00000000" w:rsidR="00000000" w:rsidRPr="00000000">
        <w:rPr>
          <w:rtl w:val="0"/>
        </w:rPr>
        <w:t xml:space="preserve">, y su concentración en grandes ciudades crea las condiciones necesarias para que el acceso al cuidado de la salud ocular oportuna sea un reto, principalmente para quienes viven en condiciones de vulnerabilidad.</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Ante esa circunstancia, sala</w:t>
      </w:r>
      <w:r w:rsidDel="00000000" w:rsidR="00000000" w:rsidRPr="00000000">
        <w:rPr>
          <w:b w:val="1"/>
          <w:rtl w:val="0"/>
        </w:rPr>
        <w:t xml:space="preserve">uno</w:t>
      </w:r>
      <w:r w:rsidDel="00000000" w:rsidR="00000000" w:rsidRPr="00000000">
        <w:rPr>
          <w:rtl w:val="0"/>
        </w:rPr>
        <w:t xml:space="preserve"> - un innovador sistema de clínicas de salud visual -</w:t>
      </w:r>
      <w:r w:rsidDel="00000000" w:rsidR="00000000" w:rsidRPr="00000000">
        <w:rPr>
          <w:rtl w:val="0"/>
        </w:rPr>
        <w:t xml:space="preserve"> </w:t>
      </w:r>
      <w:r w:rsidDel="00000000" w:rsidR="00000000" w:rsidRPr="00000000">
        <w:rPr>
          <w:rtl w:val="0"/>
        </w:rPr>
        <w:t xml:space="preserve">se acercó a inversionistas que incluyen la Corporación Financiera Internacional (IFC), miembro del Banco Mundial y, con inversiones de capital ha logrado escalar exitosamente a un modelo de atención de cuidados oculares que realiza cirugías de catarata (entre otros tratamientos) a costos accesibles, con estándares de calidad internacionales y</w:t>
      </w:r>
      <w:r w:rsidDel="00000000" w:rsidR="00000000" w:rsidRPr="00000000">
        <w:rPr>
          <w:rtl w:val="0"/>
        </w:rPr>
        <w:t xml:space="preserve"> con un trato cercano a los pacientes.  </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i w:val="1"/>
          <w:rtl w:val="0"/>
        </w:rPr>
        <w:t xml:space="preserve">“Desde la fundación de sala</w:t>
      </w:r>
      <w:r w:rsidDel="00000000" w:rsidR="00000000" w:rsidRPr="00000000">
        <w:rPr>
          <w:b w:val="1"/>
          <w:i w:val="1"/>
          <w:rtl w:val="0"/>
        </w:rPr>
        <w:t xml:space="preserve">uno</w:t>
      </w:r>
      <w:r w:rsidDel="00000000" w:rsidR="00000000" w:rsidRPr="00000000">
        <w:rPr>
          <w:i w:val="1"/>
          <w:rtl w:val="0"/>
        </w:rPr>
        <w:t xml:space="preserve"> en 2011, se han forjado alianzas estratégicas con instituciones académicas y organismos gubernamentales que han permitido innovar para cambiar la historia de más de </w:t>
      </w:r>
      <w:r w:rsidDel="00000000" w:rsidR="00000000" w:rsidRPr="00000000">
        <w:rPr>
          <w:i w:val="1"/>
          <w:rtl w:val="0"/>
        </w:rPr>
        <w:t xml:space="preserve">250</w:t>
      </w:r>
      <w:r w:rsidDel="00000000" w:rsidR="00000000" w:rsidRPr="00000000">
        <w:rPr>
          <w:i w:val="1"/>
          <w:rtl w:val="0"/>
        </w:rPr>
        <w:t xml:space="preserve"> mil pacientes” , </w:t>
      </w:r>
      <w:r w:rsidDel="00000000" w:rsidR="00000000" w:rsidRPr="00000000">
        <w:rPr>
          <w:rtl w:val="0"/>
        </w:rPr>
        <w:t xml:space="preserve">explicó </w:t>
      </w:r>
      <w:r w:rsidDel="00000000" w:rsidR="00000000" w:rsidRPr="00000000">
        <w:rPr>
          <w:rtl w:val="0"/>
        </w:rPr>
        <w:t xml:space="preserve">Carlos Orellana,Co- fundador de sala</w:t>
      </w:r>
      <w:r w:rsidDel="00000000" w:rsidR="00000000" w:rsidRPr="00000000">
        <w:rPr>
          <w:b w:val="1"/>
          <w:rtl w:val="0"/>
        </w:rPr>
        <w:t xml:space="preserve">uno</w:t>
      </w:r>
      <w:r w:rsidDel="00000000" w:rsidR="00000000" w:rsidRPr="00000000">
        <w:rPr>
          <w:rtl w:val="0"/>
        </w:rPr>
        <w:t xml:space="preserve">.</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Y es que desde hace seis años, sala</w:t>
      </w:r>
      <w:r w:rsidDel="00000000" w:rsidR="00000000" w:rsidRPr="00000000">
        <w:rPr>
          <w:b w:val="1"/>
          <w:rtl w:val="0"/>
        </w:rPr>
        <w:t xml:space="preserve">uno</w:t>
      </w:r>
      <w:r w:rsidDel="00000000" w:rsidR="00000000" w:rsidRPr="00000000">
        <w:rPr>
          <w:rtl w:val="0"/>
        </w:rPr>
        <w:t xml:space="preserve"> ha establecido convenios de colaboración con el Seguro Popular, Fundación Cinépolis, la Fundación Mundial de la Diabetes (WDF, por sus siglas en inglés), el Departamento de Oftalmología de la Universidad de Duke y el Instituto Politécnico Nacional, estos dos últimos de gran valor, ya que permitieron desarrollar programas de capacitación para oftalmólogos y enfermeras para mejorar la calidad y productividad del sistema. </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El reconocimiento de los servicios de sala</w:t>
      </w:r>
      <w:r w:rsidDel="00000000" w:rsidR="00000000" w:rsidRPr="00000000">
        <w:rPr>
          <w:b w:val="1"/>
          <w:rtl w:val="0"/>
        </w:rPr>
        <w:t xml:space="preserve">uno</w:t>
      </w:r>
      <w:r w:rsidDel="00000000" w:rsidR="00000000" w:rsidRPr="00000000">
        <w:rPr>
          <w:rtl w:val="0"/>
        </w:rPr>
        <w:t xml:space="preserve"> por la población le ha permitido crecer su infraestructura y servicios: </w:t>
      </w:r>
      <w:r w:rsidDel="00000000" w:rsidR="00000000" w:rsidRPr="00000000">
        <w:rPr>
          <w:rtl w:val="0"/>
        </w:rPr>
        <w:t xml:space="preserve">10</w:t>
      </w:r>
      <w:r w:rsidDel="00000000" w:rsidR="00000000" w:rsidRPr="00000000">
        <w:rPr>
          <w:rtl w:val="0"/>
        </w:rPr>
        <w:t xml:space="preserve"> clínicas y tratamientos para cataratas, retina, glaucoma, córnea y, plástica ocular. El siguiente gran paso inminente será la apertura de un Nuevo Centro de Salud Visual</w:t>
      </w:r>
      <w:r w:rsidDel="00000000" w:rsidR="00000000" w:rsidRPr="00000000">
        <w:rPr>
          <w:rtl w:val="0"/>
        </w:rPr>
        <w:t xml:space="preserve"> Hamburgo</w:t>
      </w:r>
      <w:r w:rsidDel="00000000" w:rsidR="00000000" w:rsidRPr="00000000">
        <w:rPr>
          <w:rtl w:val="0"/>
        </w:rPr>
        <w:t xml:space="preserve"> de 4,000m</w:t>
      </w:r>
      <w:r w:rsidDel="00000000" w:rsidR="00000000" w:rsidRPr="00000000">
        <w:rPr>
          <w:vertAlign w:val="superscript"/>
          <w:rtl w:val="0"/>
        </w:rPr>
        <w:t xml:space="preserve">2</w:t>
      </w:r>
      <w:r w:rsidDel="00000000" w:rsidR="00000000" w:rsidRPr="00000000">
        <w:rPr>
          <w:rtl w:val="0"/>
        </w:rPr>
        <w:t xml:space="preserve"> en la Colonia Juárez donde además de tener capacidad de hacer hasta 10,000 procedimientos anuales, </w:t>
      </w:r>
      <w:r w:rsidDel="00000000" w:rsidR="00000000" w:rsidRPr="00000000">
        <w:rPr>
          <w:rtl w:val="0"/>
        </w:rPr>
        <w:t xml:space="preserve">contará con </w:t>
      </w:r>
      <w:r w:rsidDel="00000000" w:rsidR="00000000" w:rsidRPr="00000000">
        <w:rPr>
          <w:rtl w:val="0"/>
        </w:rPr>
        <w:t xml:space="preserve">un Centro Abierto de Capacitación para profesionistas de salud visual. </w:t>
      </w:r>
    </w:p>
    <w:p w:rsidR="00000000" w:rsidDel="00000000" w:rsidP="00000000" w:rsidRDefault="00000000" w:rsidRPr="00000000">
      <w:pPr>
        <w:pBdr/>
        <w:contextualSpacing w:val="0"/>
        <w:jc w:val="both"/>
        <w:rPr/>
      </w:pPr>
      <w:r w:rsidDel="00000000" w:rsidR="00000000" w:rsidRPr="00000000">
        <w:rPr>
          <w:rtl w:val="0"/>
        </w:rPr>
        <w:t xml:space="preserve"> </w:t>
      </w:r>
    </w:p>
    <w:p w:rsidR="00000000" w:rsidDel="00000000" w:rsidP="00000000" w:rsidRDefault="00000000" w:rsidRPr="00000000">
      <w:pPr>
        <w:pBdr/>
        <w:contextualSpacing w:val="0"/>
        <w:jc w:val="center"/>
        <w:rPr/>
      </w:pPr>
      <w:r w:rsidDel="00000000" w:rsidR="00000000" w:rsidRPr="00000000">
        <w:rPr>
          <w:rtl w:val="0"/>
        </w:rPr>
        <w:t xml:space="preserve">-###-</w:t>
      </w:r>
      <w:r w:rsidDel="00000000" w:rsidR="00000000" w:rsidRPr="00000000">
        <w:rPr>
          <w:rtl w:val="0"/>
        </w:rPr>
      </w:r>
    </w:p>
    <w:p w:rsidR="00000000" w:rsidDel="00000000" w:rsidP="00000000" w:rsidRDefault="00000000" w:rsidRPr="00000000">
      <w:pPr>
        <w:pBdr/>
        <w:contextualSpacing w:val="0"/>
        <w:jc w:val="left"/>
        <w:rPr>
          <w:i w:val="1"/>
        </w:rPr>
      </w:pPr>
      <w:r w:rsidDel="00000000" w:rsidR="00000000" w:rsidRPr="00000000">
        <w:rPr>
          <w:rtl w:val="0"/>
        </w:rPr>
      </w:r>
    </w:p>
    <w:p w:rsidR="00000000" w:rsidDel="00000000" w:rsidP="00000000" w:rsidRDefault="00000000" w:rsidRPr="00000000">
      <w:pPr>
        <w:pBdr/>
        <w:shd w:fill="ffffff" w:val="clear"/>
        <w:contextualSpacing w:val="0"/>
        <w:jc w:val="both"/>
        <w:rPr>
          <w:b w:val="1"/>
          <w:i w:val="1"/>
          <w:sz w:val="20"/>
          <w:szCs w:val="20"/>
        </w:rPr>
      </w:pPr>
      <w:r w:rsidDel="00000000" w:rsidR="00000000" w:rsidRPr="00000000">
        <w:rPr>
          <w:b w:val="1"/>
          <w:i w:val="1"/>
          <w:sz w:val="20"/>
          <w:szCs w:val="20"/>
          <w:rtl w:val="0"/>
        </w:rPr>
        <w:t xml:space="preserve">Acerca de Oftalmología</w:t>
      </w:r>
      <w:r w:rsidDel="00000000" w:rsidR="00000000" w:rsidRPr="00000000">
        <w:rPr>
          <w:i w:val="1"/>
          <w:sz w:val="20"/>
          <w:szCs w:val="20"/>
          <w:rtl w:val="0"/>
        </w:rPr>
        <w:t xml:space="preserve"> </w:t>
      </w:r>
      <w:r w:rsidDel="00000000" w:rsidR="00000000" w:rsidRPr="00000000">
        <w:rPr>
          <w:b w:val="1"/>
          <w:i w:val="1"/>
          <w:sz w:val="20"/>
          <w:szCs w:val="20"/>
          <w:rtl w:val="0"/>
        </w:rPr>
        <w:t xml:space="preserve">salauno</w:t>
      </w:r>
    </w:p>
    <w:p w:rsidR="00000000" w:rsidDel="00000000" w:rsidP="00000000" w:rsidRDefault="00000000" w:rsidRPr="00000000">
      <w:pPr>
        <w:pBdr/>
        <w:shd w:fill="ffffff" w:val="clear"/>
        <w:contextualSpacing w:val="0"/>
        <w:jc w:val="both"/>
        <w:rPr>
          <w:b w:val="1"/>
          <w:i w:val="1"/>
          <w:sz w:val="20"/>
          <w:szCs w:val="20"/>
        </w:rPr>
      </w:pPr>
      <w:r w:rsidDel="00000000" w:rsidR="00000000" w:rsidRPr="00000000">
        <w:rPr>
          <w:rtl w:val="0"/>
        </w:rPr>
      </w:r>
    </w:p>
    <w:p w:rsidR="00000000" w:rsidDel="00000000" w:rsidP="00000000" w:rsidRDefault="00000000" w:rsidRPr="00000000">
      <w:pPr>
        <w:pBdr/>
        <w:shd w:fill="ffffff" w:val="clear"/>
        <w:contextualSpacing w:val="0"/>
        <w:rPr>
          <w:i w:val="1"/>
        </w:rPr>
      </w:pPr>
      <w:r w:rsidDel="00000000" w:rsidR="00000000" w:rsidRPr="00000000">
        <w:rPr>
          <w:i w:val="1"/>
          <w:sz w:val="20"/>
          <w:szCs w:val="20"/>
          <w:rtl w:val="0"/>
        </w:rPr>
        <w:t xml:space="preserve">Oftalmología sala</w:t>
      </w:r>
      <w:r w:rsidDel="00000000" w:rsidR="00000000" w:rsidRPr="00000000">
        <w:rPr>
          <w:b w:val="1"/>
          <w:i w:val="1"/>
          <w:sz w:val="20"/>
          <w:szCs w:val="20"/>
          <w:rtl w:val="0"/>
        </w:rPr>
        <w:t xml:space="preserve">uno </w:t>
      </w:r>
      <w:r w:rsidDel="00000000" w:rsidR="00000000" w:rsidRPr="00000000">
        <w:rPr>
          <w:i w:val="1"/>
          <w:sz w:val="20"/>
          <w:szCs w:val="20"/>
          <w:rtl w:val="0"/>
        </w:rPr>
        <w:t xml:space="preserve">fue creada en 2011, su misión es </w:t>
      </w:r>
      <w:r w:rsidDel="00000000" w:rsidR="00000000" w:rsidRPr="00000000">
        <w:rPr>
          <w:b w:val="1"/>
          <w:i w:val="1"/>
          <w:sz w:val="20"/>
          <w:szCs w:val="20"/>
          <w:rtl w:val="0"/>
        </w:rPr>
        <w:t xml:space="preserve">"eliminar la ceguera innecesaria en México".</w:t>
      </w:r>
      <w:r w:rsidDel="00000000" w:rsidR="00000000" w:rsidRPr="00000000">
        <w:rPr>
          <w:i w:val="1"/>
          <w:sz w:val="20"/>
          <w:szCs w:val="20"/>
          <w:rtl w:val="0"/>
        </w:rPr>
        <w:t xml:space="preserve"> Es una empresa comprometida con ofrecer tratamientos de salud visual de calidad y accesibles para toda la población, a través de un modelo innovador y de excelencia. En seis años, sala</w:t>
      </w:r>
      <w:r w:rsidDel="00000000" w:rsidR="00000000" w:rsidRPr="00000000">
        <w:rPr>
          <w:b w:val="1"/>
          <w:i w:val="1"/>
          <w:sz w:val="20"/>
          <w:szCs w:val="20"/>
          <w:rtl w:val="0"/>
        </w:rPr>
        <w:t xml:space="preserve">uno </w:t>
      </w:r>
      <w:r w:rsidDel="00000000" w:rsidR="00000000" w:rsidRPr="00000000">
        <w:rPr>
          <w:i w:val="1"/>
          <w:sz w:val="20"/>
          <w:szCs w:val="20"/>
          <w:rtl w:val="0"/>
        </w:rPr>
        <w:t xml:space="preserve">ha atendido a más de </w:t>
      </w:r>
      <w:r w:rsidDel="00000000" w:rsidR="00000000" w:rsidRPr="00000000">
        <w:rPr>
          <w:i w:val="1"/>
          <w:sz w:val="20"/>
          <w:szCs w:val="20"/>
          <w:rtl w:val="0"/>
        </w:rPr>
        <w:t xml:space="preserve">250,000</w:t>
      </w:r>
      <w:r w:rsidDel="00000000" w:rsidR="00000000" w:rsidRPr="00000000">
        <w:rPr>
          <w:i w:val="1"/>
          <w:sz w:val="20"/>
          <w:szCs w:val="20"/>
          <w:rtl w:val="0"/>
        </w:rPr>
        <w:t xml:space="preserve"> pacientes en </w:t>
      </w:r>
      <w:r w:rsidDel="00000000" w:rsidR="00000000" w:rsidRPr="00000000">
        <w:rPr>
          <w:i w:val="1"/>
          <w:sz w:val="20"/>
          <w:szCs w:val="20"/>
          <w:rtl w:val="0"/>
        </w:rPr>
        <w:t xml:space="preserve">10</w:t>
      </w:r>
      <w:r w:rsidDel="00000000" w:rsidR="00000000" w:rsidRPr="00000000">
        <w:rPr>
          <w:i w:val="1"/>
          <w:sz w:val="20"/>
          <w:szCs w:val="20"/>
          <w:rtl w:val="0"/>
        </w:rPr>
        <w:t xml:space="preserve"> clínicas y ha realizado más de </w:t>
      </w:r>
      <w:r w:rsidDel="00000000" w:rsidR="00000000" w:rsidRPr="00000000">
        <w:rPr>
          <w:i w:val="1"/>
          <w:sz w:val="20"/>
          <w:szCs w:val="20"/>
          <w:rtl w:val="0"/>
        </w:rPr>
        <w:t xml:space="preserve">24,000 </w:t>
      </w:r>
      <w:r w:rsidDel="00000000" w:rsidR="00000000" w:rsidRPr="00000000">
        <w:rPr>
          <w:i w:val="1"/>
          <w:sz w:val="20"/>
          <w:szCs w:val="20"/>
          <w:rtl w:val="0"/>
        </w:rPr>
        <w:t xml:space="preserve">cirugías que devolvieron la vista. sala</w:t>
      </w:r>
      <w:r w:rsidDel="00000000" w:rsidR="00000000" w:rsidRPr="00000000">
        <w:rPr>
          <w:b w:val="1"/>
          <w:i w:val="1"/>
          <w:sz w:val="20"/>
          <w:szCs w:val="20"/>
          <w:rtl w:val="0"/>
        </w:rPr>
        <w:t xml:space="preserve">uno</w:t>
      </w:r>
      <w:r w:rsidDel="00000000" w:rsidR="00000000" w:rsidRPr="00000000">
        <w:rPr>
          <w:i w:val="1"/>
          <w:sz w:val="20"/>
          <w:szCs w:val="20"/>
          <w:rtl w:val="0"/>
        </w:rPr>
        <w:t xml:space="preserve"> es acreedor del Premio Nacional del Emprendedor y Emprendedor Social del año 2015 por el Foro Económico Mundial.</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pBdr/>
        <w:spacing w:line="240" w:lineRule="auto"/>
        <w:contextualSpacing w:val="0"/>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Jiménez, Aída; Graue, Enrique. Discapacidad visual y ceguera: impacto en la calidad de vida y costos. Instituto Nacional de salud Pública (2015). http://tie.inspvirtual.mx/recursos/ciclo_videoconferencias/vci15/Discapacidad%20visual%20y%20ceguera-2015.pdf</w:t>
      </w:r>
    </w:p>
  </w:footnote>
  <w:footnote w:id="2">
    <w:p w:rsidR="00000000" w:rsidDel="00000000" w:rsidP="00000000" w:rsidRDefault="00000000" w:rsidRPr="00000000">
      <w:pPr>
        <w:pBdr/>
        <w:spacing w:line="240" w:lineRule="auto"/>
        <w:contextualSpacing w:val="0"/>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Jiménez, Aída; Graue, Enrique. Discapacidad visual y ceguera: impacto en la calidad de vida y costos. Instituto Nacional de salud Pública (2015). http://tie.inspvirtual.mx/recursos/ciclo_videoconferencias/vci15/Discapacidad%20visual%20y%20ceguera-2015.pd</w:t>
      </w:r>
    </w:p>
  </w:footnote>
  <w:footnote w:id="4">
    <w:p w:rsidR="00000000" w:rsidDel="00000000" w:rsidP="00000000" w:rsidRDefault="00000000" w:rsidRPr="00000000">
      <w:pPr>
        <w:pBdr/>
        <w:spacing w:line="240" w:lineRule="auto"/>
        <w:contextualSpacing w:val="0"/>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Jiménez, Aída; Graue, Enrique. Discapacidad visual y ceguera: impacto en la calidad de vida y costos. Instituto Nacional de salud Pública (2015). http://tie.inspvirtual.mx/recursos/ciclo_videoconferencias/vci15/Discapacidad%20visual%20y%20ceguera-2015.pd</w:t>
      </w:r>
    </w:p>
  </w:footnote>
  <w:footnote w:id="1">
    <w:p w:rsidR="00000000" w:rsidDel="00000000" w:rsidP="00000000" w:rsidRDefault="00000000" w:rsidRPr="00000000">
      <w:pPr>
        <w:pBd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Deloitte. 2014. The economic cost and burden of eye diseases and preventable blindness in Mexico. https://www2.deloitte.com/content/dam/Deloitte/au/Documents/Economics/deloitte-au-economics-cost-eye-diseases-280314.pdf</w:t>
      </w:r>
      <w:r w:rsidDel="00000000" w:rsidR="00000000" w:rsidRPr="00000000">
        <w:rPr>
          <w:rtl w:val="0"/>
        </w:rPr>
      </w:r>
    </w:p>
  </w:footnote>
  <w:footnote w:id="3">
    <w:p w:rsidR="00000000" w:rsidDel="00000000" w:rsidP="00000000" w:rsidRDefault="00000000" w:rsidRPr="00000000">
      <w:pPr>
        <w:pBd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Gutiérrez, JP, Rivera-Dommarco J, Shamah-Levy T, Villalpando Hernández, Franco A, Cuevas Nasu L, Romero Martínez, Hernández Ávila. Encuesta Nacional de Salud y Nutrición 2012. Resultados nacionales 2ed Cuernavaca, México: Instituto Nacional de Salud Pública (MX),2013.</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s>
</file>