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6AFE03E0" w14:textId="5C6D8C3A" w:rsidR="00342765" w:rsidRPr="00FC4274" w:rsidRDefault="00342765" w:rsidP="00342765">
      <w:pPr>
        <w:spacing w:line="240" w:lineRule="auto"/>
        <w:rPr>
          <w:rFonts w:asciiTheme="minorHAnsi" w:eastAsiaTheme="minorEastAsia" w:hAnsiTheme="minorHAnsi" w:cstheme="minorHAnsi"/>
          <w:b/>
          <w:bCs/>
          <w:szCs w:val="22"/>
          <w:lang w:val="it-IT" w:eastAsia="zh-CN"/>
        </w:rPr>
      </w:pPr>
      <w:r w:rsidRPr="00342765">
        <w:rPr>
          <w:rFonts w:asciiTheme="minorHAnsi" w:eastAsiaTheme="minorEastAsia" w:hAnsiTheme="minorHAnsi" w:cstheme="minorHAnsi"/>
          <w:b/>
          <w:szCs w:val="22"/>
          <w:lang w:val="it-IT" w:eastAsia="zh-CN" w:bidi="it-IT"/>
        </w:rPr>
        <w:t>Mex, Svizzera, 4 maggio 202</w:t>
      </w:r>
      <w:r w:rsidR="00FC4274">
        <w:rPr>
          <w:rFonts w:asciiTheme="minorHAnsi" w:eastAsiaTheme="minorEastAsia" w:hAnsiTheme="minorHAnsi" w:cstheme="minorHAnsi"/>
          <w:b/>
          <w:szCs w:val="22"/>
          <w:lang w:val="it-IT" w:eastAsia="zh-CN" w:bidi="it-IT"/>
        </w:rPr>
        <w:t>3</w:t>
      </w:r>
    </w:p>
    <w:p w14:paraId="2DE798D8" w14:textId="77777777" w:rsidR="00342765" w:rsidRPr="00FC4274" w:rsidRDefault="00342765" w:rsidP="00342765">
      <w:pPr>
        <w:spacing w:line="240" w:lineRule="auto"/>
        <w:rPr>
          <w:rFonts w:asciiTheme="minorHAnsi" w:eastAsiaTheme="minorEastAsia" w:hAnsiTheme="minorHAnsi" w:cstheme="minorHAnsi"/>
          <w:b/>
          <w:bCs/>
          <w:szCs w:val="22"/>
          <w:lang w:val="it-IT" w:eastAsia="zh-CN"/>
        </w:rPr>
      </w:pPr>
    </w:p>
    <w:p w14:paraId="28DF62AC" w14:textId="77777777" w:rsidR="00342765" w:rsidRPr="00FC4274" w:rsidRDefault="00342765" w:rsidP="00342765">
      <w:pPr>
        <w:spacing w:line="240" w:lineRule="auto"/>
        <w:rPr>
          <w:rFonts w:ascii="Noto Sans" w:eastAsiaTheme="minorEastAsia" w:hAnsi="Noto Sans" w:cs="Noto Sans"/>
          <w:szCs w:val="22"/>
          <w:lang w:val="it-IT" w:eastAsia="zh-CN"/>
        </w:rPr>
      </w:pPr>
    </w:p>
    <w:p w14:paraId="1CD92FE9" w14:textId="77777777" w:rsidR="00342765" w:rsidRPr="00FC4274" w:rsidRDefault="00342765" w:rsidP="00342765">
      <w:pPr>
        <w:rPr>
          <w:rFonts w:eastAsiaTheme="minorEastAsia" w:cs="Arial"/>
          <w:b/>
          <w:bCs/>
          <w:sz w:val="20"/>
          <w:szCs w:val="20"/>
          <w:lang w:val="it-IT" w:eastAsia="zh-CN"/>
        </w:rPr>
      </w:pPr>
      <w:r w:rsidRPr="00342765">
        <w:rPr>
          <w:rFonts w:eastAsia="Arial" w:cs="Arial"/>
          <w:b/>
          <w:sz w:val="20"/>
          <w:szCs w:val="20"/>
          <w:lang w:val="it-IT" w:eastAsia="zh-CN" w:bidi="it-IT"/>
        </w:rPr>
        <w:t xml:space="preserve">BOBST potenzia le piega-incollatrici VISIONFOLD e NOVAFOLD 50 l 80 l 110  con soluzioni dell’era digitale </w:t>
      </w:r>
    </w:p>
    <w:p w14:paraId="530FC5CD" w14:textId="77777777" w:rsidR="00342765" w:rsidRPr="00FC4274" w:rsidRDefault="00342765" w:rsidP="00342765">
      <w:pPr>
        <w:rPr>
          <w:rFonts w:eastAsiaTheme="minorEastAsia" w:cs="Arial"/>
          <w:b/>
          <w:bCs/>
          <w:sz w:val="20"/>
          <w:szCs w:val="20"/>
          <w:lang w:val="it-IT" w:eastAsia="zh-CN"/>
        </w:rPr>
      </w:pPr>
    </w:p>
    <w:p w14:paraId="1F24203E" w14:textId="77777777" w:rsidR="00342765" w:rsidRPr="00342765" w:rsidRDefault="00342765" w:rsidP="00342765">
      <w:pPr>
        <w:spacing w:line="276" w:lineRule="auto"/>
        <w:rPr>
          <w:rFonts w:eastAsiaTheme="minorEastAsia" w:cs="Arial"/>
          <w:b/>
          <w:bCs/>
          <w:sz w:val="20"/>
          <w:szCs w:val="20"/>
          <w:lang w:val="it-IT" w:eastAsia="zh-CN"/>
        </w:rPr>
      </w:pPr>
      <w:r w:rsidRPr="00342765">
        <w:rPr>
          <w:rFonts w:eastAsia="Arial" w:cs="Arial"/>
          <w:b/>
          <w:color w:val="000000"/>
          <w:sz w:val="20"/>
          <w:szCs w:val="20"/>
          <w:shd w:val="clear" w:color="auto" w:fill="FFFFFF"/>
          <w:lang w:val="it-IT" w:eastAsia="zh-CN" w:bidi="it-IT"/>
        </w:rPr>
        <w:t xml:space="preserve">Fedele alla visione di una connettività e una digitalizzazione a livello di settore ancora maggiori, BOBST ha potenziato le proprie piega-incollatrici di fascia media mediante  l’interfaccia di macchina SPHERE. Con un’ergonomia migliorata, entrambe le macchine compiono un passo decisivo nel futuro della piegatura e dell’incollatura. L’evoluzione permette alle aziende di trasformazione del cartone teso di ottimizzare ulteriormente il workflow di produzione e generare flussi di dati efficienti tra macchine fisiche e soluzioni digitali. </w:t>
      </w:r>
    </w:p>
    <w:p w14:paraId="47F5AB09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36AF612C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Grazie a potenziamenti e innovazioni continue nella propria linea di piega-incollatrici, BOBST offre le soluzioni in assoluto migliori alle aziende di trasformazione che operano nel settore del cartone teso. Nel 2022, è stata introdotta la nuovissima NOVAFOLD 50 l 80 l 110, dotata di dispositivo di allineamento dei fustellati e di modulo per scatole a 4 e 6 angoli. Grazie a velocità che arrivano a 300 m/min e alla capacità di produrre fino a 18.000 scatole a 4 e 6 angoli all’ora, il lancio di questa versatile piega-incollatrice ha riscosso un clamoroso successo. </w:t>
      </w:r>
    </w:p>
    <w:p w14:paraId="012F93DA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1947D4E2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La VISIONFOLD 50 l 80 l 110, altrettanto versatile e modulare, è disponibile in versione motorizzata e può funzionare con velocità che raggiungono i 350 m/min, producendo fino a 22.000 scatole a 4 e 6 angoli all’ora. </w:t>
      </w:r>
    </w:p>
    <w:p w14:paraId="73BEAEE7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7548C039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>Entrambe le piega-incollatrici rappresentano una gamma di macchine estremamente affidabile che offrono un’ergonomia intuitiva e prestazioni qualitative di livello superiore. Dalle scatole lineari a quelle con fondo automatico e a 4/6 angoli nei materiali e nelle forme più diverse: queste versatili piega-incollatrici offrono ai trasformatori la flessibilità necessaria per soddisfare le esigenze del mercato di oggi. Oltre a questo, il dispositivo ACCUEJECT, disponibile su entrambe le macchine, elimina le scatole difettose in linea, garantendo solo imballaggi di qualità al 100%.</w:t>
      </w:r>
    </w:p>
    <w:p w14:paraId="03034D50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30B99A41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Con l’implementazione dell’interfaccia HMI SPHERE, le due piega-incollatrici si arricchiscono di un altro importante elemento. SPHERE è un punto di controllo unico per tutte le funzioni della macchina. Due touchscreen ad alta definizione a colori da 15’’ permettono agli operatori di impostare i lavori e di richiamare fino a 5000 ricette di lavoro, risparmiando prezioso tempo di avviamento. </w:t>
      </w:r>
    </w:p>
    <w:p w14:paraId="5B5F7F30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799F4188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>Attraverso SPHERE, i clienti possono abbonarsi al pacchetto BOBST Connect Essential,</w:t>
      </w:r>
      <w:r w:rsidRPr="00342765">
        <w:rPr>
          <w:rFonts w:ascii="Noto Sans" w:eastAsia="Noto Sans" w:hAnsi="Noto Sans" w:cs="Noto Sans"/>
          <w:color w:val="000000"/>
          <w:sz w:val="20"/>
          <w:szCs w:val="20"/>
          <w:shd w:val="clear" w:color="auto" w:fill="FFFFFF"/>
          <w:lang w:val="it-IT" w:eastAsia="zh-CN" w:bidi="it-IT"/>
        </w:rPr>
        <w:t xml:space="preserve"> </w:t>
      </w: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che offre a macchine e dati la possibilità di connettersi in un’unica piattaforma completa. La tecnologia permette alle aziende di potenziare la produttività e accedere a dati di performance accurati, indicatori di progressione e rendicontazione, garantendo inoltre una teleassistenza a elevata priorità. </w:t>
      </w:r>
    </w:p>
    <w:p w14:paraId="6DA1EA3A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77A39B98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“BOBST Connect Essential è solo il primo passo di una radicale trasformazione nel modo di gestire dati e comunicazioni”, dice Pierre Binggeli, responsabile della linea piega-incollatrici in BOBST, aggiungendo: </w:t>
      </w:r>
      <w:r w:rsidRPr="00342765">
        <w:rPr>
          <w:rFonts w:eastAsia="Arial" w:cs="Arial"/>
          <w:sz w:val="20"/>
          <w:szCs w:val="20"/>
          <w:lang w:val="it-IT" w:eastAsia="zh-CN" w:bidi="it-IT"/>
        </w:rPr>
        <w:lastRenderedPageBreak/>
        <w:t xml:space="preserve">“per integrare le attuali capacità nelle future funzioni di BOBST Connect, stiamo dotando del sistema SPHERE sia la VISIONFOLD che la NOVAFOLD”. </w:t>
      </w:r>
    </w:p>
    <w:p w14:paraId="5A94FF0B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21092755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>Queste funzioni potenziano la connettività nel workflow della trasformazione e aumentano l’accessibilità dei dati, per fornire alle aziende di cartotecnica una visibilità senza pari delle loro macchine e della produzione. Informazioni precise su produzione, manutenzione e utensili, come pure un workflow di comunicazione immediato lungo tutta la supply chain e una tracciabilità garantita, ottimizzeranno le performance di produzione, miglioreranno la manovrabilità della macchina e aumenteranno persino la produttività per turno. La nuova piattaforma SPHERE migliora l’ergonomia della macchina per gli operatori e, essendo altamente intuitiva, è facile da utilizzare e permette tempi di avviamento rapidi.</w:t>
      </w:r>
    </w:p>
    <w:p w14:paraId="7736B5A7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</w:p>
    <w:p w14:paraId="08E3B657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  <w:r w:rsidRPr="00342765">
        <w:rPr>
          <w:rFonts w:eastAsia="Arial" w:cs="Arial"/>
          <w:color w:val="000000"/>
          <w:sz w:val="20"/>
          <w:szCs w:val="20"/>
          <w:lang w:val="it-IT" w:eastAsia="zh-CN" w:bidi="it-IT"/>
        </w:rPr>
        <w:t xml:space="preserve">Con l’idea di semplificare la gestione e le impostazioni della macchina, i moduli a 4 e 6 angoli della VISIONFOLD e della NOVAFOLD sono stati dotati anche di nuove porte combifolder. Viste per la prima volta sulla EXPERTFOLD 50 l 80 l 110 introdotta a gennaio di quest’anno, queste porte di sicurezza trasparenti sul davanti e sul retro della macchina riducono l’ingombro generale e migliorano l’accessibilità. I telai offrono inoltre uno spazio dove fissare e riporre gli utensili per un accesso facile, evitando inutili movimenti dell’operatore. </w:t>
      </w:r>
    </w:p>
    <w:p w14:paraId="22D6E606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</w:p>
    <w:p w14:paraId="2943336C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  <w:r w:rsidRPr="00342765">
        <w:rPr>
          <w:rFonts w:eastAsia="Arial" w:cs="Arial"/>
          <w:color w:val="000000"/>
          <w:sz w:val="20"/>
          <w:szCs w:val="20"/>
          <w:lang w:val="it-IT" w:eastAsia="zh-CN" w:bidi="it-IT"/>
        </w:rPr>
        <w:t xml:space="preserve">“L’ergonomia è un fattore decisivo nell’impostazione delle macchine”, precisa Pierre Binggeli. “Ricerchiamo costantemente soluzioni capaci di ridurre i tempi di avviamento e i carichi di lavoro per gli operatori, perché sappiamo bene che nel reparto di produzione ogni minuto è prezioso e che creare un ambiente di lavoro sostenibile e moderno è essenziale per attirare e fidelizzare il personale”. </w:t>
      </w:r>
    </w:p>
    <w:p w14:paraId="12187567" w14:textId="77777777" w:rsidR="00342765" w:rsidRPr="00342765" w:rsidRDefault="00342765" w:rsidP="00342765">
      <w:pPr>
        <w:spacing w:line="276" w:lineRule="auto"/>
        <w:rPr>
          <w:rFonts w:eastAsiaTheme="minorEastAsia" w:cs="Arial"/>
          <w:color w:val="000000"/>
          <w:sz w:val="20"/>
          <w:szCs w:val="20"/>
          <w:lang w:val="it-IT" w:eastAsia="zh-CN"/>
        </w:rPr>
      </w:pPr>
    </w:p>
    <w:p w14:paraId="4F5CA89D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color w:val="000000"/>
          <w:sz w:val="20"/>
          <w:szCs w:val="20"/>
          <w:lang w:val="it-IT" w:eastAsia="zh-CN" w:bidi="it-IT"/>
        </w:rPr>
        <w:t>Il dispositivo SPHERE, insieme alla nuova progettazione della macchina e alle porte di sicurezza, segna  un nuovo passo avanti nel futuro del converting grazie a una soluzione moderna, digitalizzata e connessa, intuitiva e facile da usare.</w:t>
      </w:r>
    </w:p>
    <w:p w14:paraId="30BD71B8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 </w:t>
      </w:r>
    </w:p>
    <w:p w14:paraId="6EC05BC9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Per Pierre Binggeli, i cambiamenti apportati alla VISIONFOLD e alla NOVAFOLD non sono immediatamente visibili a un occhio meno esperto, però sono fondamentali. </w:t>
      </w:r>
    </w:p>
    <w:p w14:paraId="648E13D8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399C3FFA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>“In futuro, i nostri clienti trasformatori potranno migliorare nettamente il flusso produttivo e incrementarne la trasparenza, così da prendere decisioni più informate ed essere più proattivi. Passo dopo passo, stiamo lavorando a questa transizione, introducendo costantemente nuove soluzioni e tecnologie per arrivare alla nostra meta: la realizzazione della visione BOBST”.</w:t>
      </w:r>
    </w:p>
    <w:p w14:paraId="3A4F32FC" w14:textId="77777777" w:rsidR="00342765" w:rsidRPr="00342765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0B63CD3C" w14:textId="77777777" w:rsidR="00342765" w:rsidRPr="00FC4274" w:rsidRDefault="00342765" w:rsidP="00342765">
      <w:pPr>
        <w:spacing w:line="276" w:lineRule="auto"/>
        <w:rPr>
          <w:rFonts w:eastAsiaTheme="minorEastAsia" w:cs="Arial"/>
          <w:sz w:val="20"/>
          <w:szCs w:val="20"/>
          <w:lang w:val="it-IT" w:eastAsia="zh-CN"/>
        </w:rPr>
      </w:pPr>
      <w:r w:rsidRPr="00342765">
        <w:rPr>
          <w:rFonts w:eastAsia="Arial" w:cs="Arial"/>
          <w:sz w:val="20"/>
          <w:szCs w:val="20"/>
          <w:lang w:val="it-IT" w:eastAsia="zh-CN" w:bidi="it-IT"/>
        </w:rPr>
        <w:t xml:space="preserve">Per maggiori informazioni su BOBST e i suoi prodotti per il settore del cartone teso, visitare </w:t>
      </w:r>
      <w:hyperlink r:id="rId7" w:history="1">
        <w:r w:rsidRPr="00342765">
          <w:rPr>
            <w:rFonts w:eastAsia="Arial" w:cs="Arial"/>
            <w:color w:val="265896" w:themeColor="hyperlink"/>
            <w:sz w:val="20"/>
            <w:szCs w:val="20"/>
            <w:u w:val="single"/>
            <w:lang w:val="it-IT" w:eastAsia="zh-CN" w:bidi="it-IT"/>
          </w:rPr>
          <w:t>www.Bobst.com</w:t>
        </w:r>
      </w:hyperlink>
    </w:p>
    <w:p w14:paraId="0EC5288D" w14:textId="77777777" w:rsidR="00342765" w:rsidRPr="00FC4274" w:rsidRDefault="00342765" w:rsidP="00342765">
      <w:pPr>
        <w:spacing w:line="240" w:lineRule="auto"/>
        <w:textAlignment w:val="baseline"/>
        <w:rPr>
          <w:rFonts w:ascii="Segoe UI" w:hAnsi="Segoe UI" w:cs="Segoe UI"/>
          <w:sz w:val="20"/>
          <w:szCs w:val="20"/>
          <w:lang w:val="it-IT" w:eastAsia="fr-FR"/>
        </w:rPr>
      </w:pPr>
    </w:p>
    <w:p w14:paraId="0F7B8C58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((01_SPHERE.jpg))</w:t>
      </w:r>
      <w:r w:rsidRPr="00FC4274">
        <w:rPr>
          <w:rStyle w:val="eop"/>
          <w:rFonts w:ascii="Arial" w:eastAsiaTheme="majorEastAsia" w:hAnsi="Arial" w:cs="Arial"/>
          <w:sz w:val="20"/>
          <w:szCs w:val="20"/>
          <w:lang w:val="it-IT"/>
        </w:rPr>
        <w:t> </w:t>
      </w:r>
    </w:p>
    <w:p w14:paraId="11C3CEE2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Promuovere la transizione verso la digitalizzazione e la connettività: SPHERE  </w:t>
      </w:r>
      <w:r w:rsidRPr="00FC4274">
        <w:rPr>
          <w:rStyle w:val="scxw224520413"/>
          <w:rFonts w:ascii="Arial" w:eastAsiaTheme="majorEastAsia" w:hAnsi="Arial" w:cs="Arial"/>
          <w:sz w:val="20"/>
          <w:szCs w:val="20"/>
          <w:lang w:val="it-IT"/>
        </w:rPr>
        <w:t> </w:t>
      </w:r>
      <w:r w:rsidRPr="00FC4274">
        <w:rPr>
          <w:rFonts w:ascii="Arial" w:hAnsi="Arial" w:cs="Arial"/>
          <w:sz w:val="20"/>
          <w:szCs w:val="20"/>
          <w:lang w:val="it-IT"/>
        </w:rPr>
        <w:br/>
      </w:r>
      <w:r w:rsidRPr="00FC4274">
        <w:rPr>
          <w:rStyle w:val="eop"/>
          <w:rFonts w:ascii="Segoe UI" w:eastAsiaTheme="majorEastAsia" w:hAnsi="Segoe UI" w:cs="Segoe UI"/>
          <w:sz w:val="18"/>
          <w:szCs w:val="18"/>
          <w:lang w:val="it-IT"/>
        </w:rPr>
        <w:t> </w:t>
      </w:r>
    </w:p>
    <w:p w14:paraId="1FE46F72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((02_VISIONFOLD))</w:t>
      </w:r>
      <w:r w:rsidRPr="00FC4274">
        <w:rPr>
          <w:rStyle w:val="eop"/>
          <w:rFonts w:ascii="Arial" w:eastAsiaTheme="majorEastAsia" w:hAnsi="Arial" w:cs="Arial"/>
          <w:sz w:val="20"/>
          <w:szCs w:val="20"/>
          <w:lang w:val="it-IT"/>
        </w:rPr>
        <w:t> </w:t>
      </w:r>
    </w:p>
    <w:p w14:paraId="19943CDC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La nuova versione della VISIONFOLD 50/80/110</w:t>
      </w:r>
      <w:r w:rsidRPr="00FC4274">
        <w:rPr>
          <w:rStyle w:val="eop"/>
          <w:rFonts w:ascii="Arial" w:eastAsiaTheme="majorEastAsia" w:hAnsi="Arial" w:cs="Arial"/>
          <w:sz w:val="20"/>
          <w:szCs w:val="20"/>
          <w:lang w:val="it-IT"/>
        </w:rPr>
        <w:t> </w:t>
      </w:r>
    </w:p>
    <w:p w14:paraId="66EF9298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FC4274">
        <w:rPr>
          <w:rStyle w:val="eop"/>
          <w:rFonts w:ascii="Noto Sans" w:eastAsiaTheme="majorEastAsia" w:hAnsi="Noto Sans" w:cs="Noto Sans"/>
          <w:sz w:val="19"/>
          <w:szCs w:val="19"/>
          <w:lang w:val="it-IT"/>
        </w:rPr>
        <w:t> </w:t>
      </w:r>
    </w:p>
    <w:p w14:paraId="0FD7C6C9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((03_NOVAFOLD.jpg))</w:t>
      </w:r>
      <w:r w:rsidRPr="00FC4274">
        <w:rPr>
          <w:rStyle w:val="eop"/>
          <w:rFonts w:ascii="Arial" w:eastAsiaTheme="majorEastAsia" w:hAnsi="Arial" w:cs="Arial"/>
          <w:sz w:val="20"/>
          <w:szCs w:val="20"/>
          <w:lang w:val="it-IT"/>
        </w:rPr>
        <w:t> </w:t>
      </w:r>
    </w:p>
    <w:p w14:paraId="63F1C045" w14:textId="77777777" w:rsidR="006F5047" w:rsidRPr="00FC4274" w:rsidRDefault="006F5047" w:rsidP="006F50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La nuova versione della NOVAFOLD 50/80/110</w:t>
      </w:r>
      <w:r w:rsidRPr="00FC4274">
        <w:rPr>
          <w:rStyle w:val="eop"/>
          <w:rFonts w:ascii="Arial" w:eastAsiaTheme="majorEastAsia" w:hAnsi="Arial" w:cs="Arial"/>
          <w:sz w:val="20"/>
          <w:szCs w:val="20"/>
          <w:lang w:val="it-IT"/>
        </w:rPr>
        <w:t> </w:t>
      </w:r>
    </w:p>
    <w:p w14:paraId="199FECBF" w14:textId="77777777" w:rsidR="00342765" w:rsidRPr="00FC4274" w:rsidRDefault="00342765" w:rsidP="00342765">
      <w:pPr>
        <w:spacing w:line="240" w:lineRule="auto"/>
        <w:rPr>
          <w:rFonts w:eastAsiaTheme="minorEastAsia" w:cs="Arial"/>
          <w:sz w:val="20"/>
          <w:szCs w:val="20"/>
          <w:lang w:val="it-IT" w:eastAsia="zh-CN"/>
        </w:rPr>
      </w:pPr>
    </w:p>
    <w:p w14:paraId="74D2C665" w14:textId="77777777" w:rsidR="00342765" w:rsidRPr="00FC4274" w:rsidRDefault="00342765" w:rsidP="00B36206">
      <w:pPr>
        <w:autoSpaceDE w:val="0"/>
        <w:autoSpaceDN w:val="0"/>
        <w:adjustRightInd w:val="0"/>
        <w:spacing w:line="240" w:lineRule="auto"/>
        <w:outlineLvl w:val="0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7DF74AF6" w14:textId="114DE83A" w:rsidR="00B36206" w:rsidRPr="00B36206" w:rsidRDefault="00B36206" w:rsidP="00B36206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B36206">
        <w:rPr>
          <w:rFonts w:asciiTheme="minorHAnsi" w:hAnsiTheme="minorHAnsi" w:cstheme="minorHAnsi"/>
          <w:b/>
          <w:bCs/>
          <w:szCs w:val="19"/>
          <w:lang w:val="it-IT"/>
        </w:rPr>
        <w:lastRenderedPageBreak/>
        <w:t>A proposito di BOBST</w:t>
      </w:r>
    </w:p>
    <w:p w14:paraId="1303BAB4" w14:textId="77777777" w:rsidR="00B36206" w:rsidRPr="00B36206" w:rsidRDefault="00B36206" w:rsidP="00B36206">
      <w:pPr>
        <w:spacing w:line="240" w:lineRule="auto"/>
        <w:rPr>
          <w:rFonts w:asciiTheme="minorHAnsi" w:hAnsiTheme="minorHAnsi" w:cstheme="minorHAnsi"/>
          <w:lang w:val="it-IT"/>
        </w:rPr>
      </w:pPr>
      <w:r w:rsidRPr="00B36206">
        <w:rPr>
          <w:rFonts w:asciiTheme="minorHAnsi" w:hAnsiTheme="minorHAnsi" w:cstheme="minorHAnsi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111E3E45" w14:textId="77777777" w:rsidR="00B36206" w:rsidRPr="00B36206" w:rsidRDefault="00B36206" w:rsidP="00B36206">
      <w:pPr>
        <w:spacing w:line="240" w:lineRule="auto"/>
        <w:rPr>
          <w:rFonts w:asciiTheme="minorHAnsi" w:hAnsiTheme="minorHAnsi" w:cstheme="minorHAnsi"/>
          <w:lang w:val="it-IT"/>
        </w:rPr>
      </w:pPr>
    </w:p>
    <w:p w14:paraId="50479D5B" w14:textId="77777777" w:rsidR="00B36206" w:rsidRPr="00FC4274" w:rsidRDefault="00B36206" w:rsidP="00B36206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it-IT" w:eastAsia="fr-FR"/>
        </w:rPr>
      </w:pPr>
      <w:r w:rsidRPr="00B36206">
        <w:rPr>
          <w:rFonts w:asciiTheme="minorHAnsi" w:hAnsiTheme="minorHAnsi" w:cstheme="minorHAnsi"/>
          <w:lang w:val="it-IT"/>
        </w:rPr>
        <w:t>Fondata nel 1890 da Joseph Bobst a Losanna (Svizzera), BOBST è presente in oltre 50 paesi, possiede 19 stabilimenti produttivi in 11 paesi e impiega oltre 6</w:t>
      </w:r>
      <w:r w:rsidRPr="00B36206">
        <w:rPr>
          <w:rFonts w:asciiTheme="minorHAnsi" w:hAnsiTheme="minorHAnsi" w:cstheme="minorHAnsi"/>
          <w:sz w:val="8"/>
          <w:szCs w:val="8"/>
          <w:lang w:val="it-IT"/>
        </w:rPr>
        <w:t xml:space="preserve"> </w:t>
      </w:r>
      <w:r w:rsidRPr="00B36206">
        <w:rPr>
          <w:rFonts w:asciiTheme="minorHAnsi" w:hAnsiTheme="minorHAnsi" w:cstheme="minorHAnsi"/>
          <w:lang w:val="it-IT"/>
        </w:rPr>
        <w:t xml:space="preserve">100 persone in tutto il mondo. </w:t>
      </w:r>
      <w:r w:rsidRPr="00FC4274">
        <w:rPr>
          <w:rFonts w:asciiTheme="minorHAnsi" w:hAnsiTheme="minorHAnsi" w:cstheme="minorHAnsi"/>
          <w:szCs w:val="19"/>
          <w:lang w:val="it-IT" w:eastAsia="fr-FR"/>
        </w:rPr>
        <w:t xml:space="preserve">Il fatturato consolidato al 31 dicembre </w:t>
      </w:r>
      <w:r w:rsidRPr="00FC4274">
        <w:rPr>
          <w:rFonts w:asciiTheme="minorHAnsi" w:hAnsiTheme="minorHAnsi" w:cstheme="minorHAnsi"/>
          <w:lang w:val="it-IT"/>
        </w:rPr>
        <w:t xml:space="preserve">2022 </w:t>
      </w:r>
      <w:r w:rsidRPr="00FC4274">
        <w:rPr>
          <w:rFonts w:asciiTheme="minorHAnsi" w:hAnsiTheme="minorHAnsi" w:cstheme="minorHAnsi"/>
          <w:szCs w:val="19"/>
          <w:lang w:val="it-IT" w:eastAsia="fr-FR"/>
        </w:rPr>
        <w:t>si è attestato a CHF 1,841 miliardi.</w:t>
      </w:r>
    </w:p>
    <w:p w14:paraId="5114C765" w14:textId="77777777" w:rsidR="00B160AA" w:rsidRPr="00FC4274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25325EE9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186FD5BB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b/>
          <w:color w:val="2C2C2C" w:themeColor="text1" w:themeShade="80"/>
          <w:sz w:val="20"/>
          <w:szCs w:val="20"/>
          <w:lang w:val="it-IT" w:eastAsia="zh-CN"/>
        </w:rPr>
        <w:t>Contatto stampa:</w:t>
      </w:r>
    </w:p>
    <w:p w14:paraId="15672C8B" w14:textId="77777777" w:rsidR="00B160AA" w:rsidRPr="00FC4274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it-IT" w:eastAsia="zh-CN"/>
        </w:rPr>
      </w:pPr>
    </w:p>
    <w:p w14:paraId="3224A085" w14:textId="77777777" w:rsidR="00B160AA" w:rsidRPr="00B160AA" w:rsidRDefault="00B160AA" w:rsidP="00B160AA">
      <w:pPr>
        <w:spacing w:line="26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t>Gudrun Alex</w:t>
      </w:r>
      <w:r w:rsidRPr="00B160AA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it-IT" w:eastAsia="zh-CN"/>
        </w:rPr>
        <w:br/>
        <w:t>Rappresentante PR BOBST</w:t>
      </w:r>
    </w:p>
    <w:p w14:paraId="422EE7DB" w14:textId="77777777" w:rsidR="00B160AA" w:rsidRPr="00FC4274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zh-CN"/>
        </w:rPr>
      </w:pPr>
      <w:r w:rsidRPr="00FC4274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en-US" w:eastAsia="zh-CN"/>
        </w:rPr>
        <w:t xml:space="preserve">Tel.: +49 211 58 58 66 66 </w:t>
      </w:r>
    </w:p>
    <w:p w14:paraId="1C8198B9" w14:textId="77777777" w:rsidR="00B160AA" w:rsidRPr="00FC4274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zh-CN"/>
        </w:rPr>
      </w:pPr>
      <w:r w:rsidRPr="00FC4274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en-US" w:eastAsia="zh-CN"/>
        </w:rPr>
        <w:t>Cell.: +49 160 48 41 439</w:t>
      </w:r>
    </w:p>
    <w:p w14:paraId="32CCB4B8" w14:textId="1411D1F1" w:rsidR="00B160AA" w:rsidRPr="00FC4274" w:rsidRDefault="0076137D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zh-CN"/>
        </w:rPr>
      </w:pPr>
      <w:r w:rsidRPr="00FC4274">
        <w:rPr>
          <w:rFonts w:cs="Arial"/>
          <w:szCs w:val="19"/>
          <w:lang w:val="en-US" w:eastAsia="de-DE"/>
        </w:rPr>
        <w:t xml:space="preserve">Email: </w:t>
      </w:r>
      <w:hyperlink r:id="rId8" w:history="1">
        <w:r w:rsidRPr="00FC427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</w:hyperlink>
    </w:p>
    <w:p w14:paraId="723DC391" w14:textId="77777777" w:rsidR="00B160AA" w:rsidRPr="00FC4274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de-DE"/>
        </w:rPr>
      </w:pPr>
    </w:p>
    <w:p w14:paraId="468491E1" w14:textId="77777777" w:rsidR="00B160AA" w:rsidRPr="00FC4274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en-US" w:eastAsia="de-DE"/>
        </w:rPr>
      </w:pPr>
    </w:p>
    <w:p w14:paraId="66DD367C" w14:textId="77777777" w:rsidR="00B160AA" w:rsidRPr="00FC4274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en-US" w:eastAsia="zh-CN"/>
        </w:rPr>
      </w:pPr>
      <w:r w:rsidRPr="00FC4274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en-US" w:eastAsia="zh-CN"/>
        </w:rPr>
        <w:t>Seguiteci su:</w:t>
      </w:r>
    </w:p>
    <w:p w14:paraId="4F801367" w14:textId="77777777" w:rsidR="00B160AA" w:rsidRPr="00FC4274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en-US" w:eastAsia="zh-CN" w:bidi="th-TH"/>
        </w:rPr>
      </w:pPr>
    </w:p>
    <w:p w14:paraId="475E324D" w14:textId="7688E981" w:rsidR="0076137D" w:rsidRPr="00E960DE" w:rsidRDefault="0076137D" w:rsidP="0076137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E960DE" w:rsidRDefault="0076137D" w:rsidP="0076137D">
      <w:pPr>
        <w:rPr>
          <w:rFonts w:cs="Arial"/>
          <w:szCs w:val="19"/>
          <w:lang w:eastAsia="de-DE"/>
        </w:rPr>
      </w:pPr>
    </w:p>
    <w:p w14:paraId="512D3E97" w14:textId="77777777" w:rsidR="00B160AA" w:rsidRPr="00FC4274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0CBF" w14:textId="77777777" w:rsidR="00B17A94" w:rsidRDefault="00B17A94" w:rsidP="00BB5BE9">
      <w:pPr>
        <w:spacing w:line="240" w:lineRule="auto"/>
      </w:pPr>
      <w:r>
        <w:separator/>
      </w:r>
    </w:p>
  </w:endnote>
  <w:endnote w:type="continuationSeparator" w:id="0">
    <w:p w14:paraId="6BF674D0" w14:textId="77777777" w:rsidR="00B17A94" w:rsidRDefault="00B17A9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0433" w14:textId="77777777" w:rsidR="00B17A94" w:rsidRDefault="00B17A94" w:rsidP="00BB5BE9">
      <w:pPr>
        <w:spacing w:line="240" w:lineRule="auto"/>
      </w:pPr>
      <w:r>
        <w:separator/>
      </w:r>
    </w:p>
  </w:footnote>
  <w:footnote w:type="continuationSeparator" w:id="0">
    <w:p w14:paraId="3378BA07" w14:textId="77777777" w:rsidR="00B17A94" w:rsidRDefault="00B17A9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0681428">
    <w:abstractNumId w:val="9"/>
  </w:num>
  <w:num w:numId="2" w16cid:durableId="93936785">
    <w:abstractNumId w:val="7"/>
  </w:num>
  <w:num w:numId="3" w16cid:durableId="508250267">
    <w:abstractNumId w:val="6"/>
  </w:num>
  <w:num w:numId="4" w16cid:durableId="844788865">
    <w:abstractNumId w:val="5"/>
  </w:num>
  <w:num w:numId="5" w16cid:durableId="1579510811">
    <w:abstractNumId w:val="4"/>
  </w:num>
  <w:num w:numId="6" w16cid:durableId="412170257">
    <w:abstractNumId w:val="8"/>
  </w:num>
  <w:num w:numId="7" w16cid:durableId="1487084566">
    <w:abstractNumId w:val="3"/>
  </w:num>
  <w:num w:numId="8" w16cid:durableId="1029140412">
    <w:abstractNumId w:val="2"/>
  </w:num>
  <w:num w:numId="9" w16cid:durableId="1947426789">
    <w:abstractNumId w:val="1"/>
  </w:num>
  <w:num w:numId="10" w16cid:durableId="1550414766">
    <w:abstractNumId w:val="0"/>
  </w:num>
  <w:num w:numId="11" w16cid:durableId="2026664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7665"/>
    <w:rsid w:val="000C1D0E"/>
    <w:rsid w:val="000E1D4D"/>
    <w:rsid w:val="000F06CC"/>
    <w:rsid w:val="00162F04"/>
    <w:rsid w:val="00165731"/>
    <w:rsid w:val="00185617"/>
    <w:rsid w:val="00193DE7"/>
    <w:rsid w:val="0027064C"/>
    <w:rsid w:val="002F47FE"/>
    <w:rsid w:val="00310503"/>
    <w:rsid w:val="003351F5"/>
    <w:rsid w:val="00342765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6823"/>
    <w:rsid w:val="00573DCA"/>
    <w:rsid w:val="005A48B2"/>
    <w:rsid w:val="005E0E2E"/>
    <w:rsid w:val="00600CB8"/>
    <w:rsid w:val="006541EB"/>
    <w:rsid w:val="006A45F6"/>
    <w:rsid w:val="006C3613"/>
    <w:rsid w:val="006E12E7"/>
    <w:rsid w:val="006F0B12"/>
    <w:rsid w:val="006F0CCC"/>
    <w:rsid w:val="006F5047"/>
    <w:rsid w:val="006F5741"/>
    <w:rsid w:val="0076137D"/>
    <w:rsid w:val="007670E8"/>
    <w:rsid w:val="007B2868"/>
    <w:rsid w:val="00832DE0"/>
    <w:rsid w:val="008B5EF4"/>
    <w:rsid w:val="008D353F"/>
    <w:rsid w:val="008F266B"/>
    <w:rsid w:val="009334C9"/>
    <w:rsid w:val="009A0420"/>
    <w:rsid w:val="009A42B7"/>
    <w:rsid w:val="009A53C9"/>
    <w:rsid w:val="009D55C0"/>
    <w:rsid w:val="009D707C"/>
    <w:rsid w:val="009E6CF2"/>
    <w:rsid w:val="009E7F29"/>
    <w:rsid w:val="00A131E9"/>
    <w:rsid w:val="00AB644E"/>
    <w:rsid w:val="00B160AA"/>
    <w:rsid w:val="00B17A94"/>
    <w:rsid w:val="00B36206"/>
    <w:rsid w:val="00BB5BE9"/>
    <w:rsid w:val="00BC2406"/>
    <w:rsid w:val="00BC6392"/>
    <w:rsid w:val="00BF6A8D"/>
    <w:rsid w:val="00C20D00"/>
    <w:rsid w:val="00C24262"/>
    <w:rsid w:val="00C55A5E"/>
    <w:rsid w:val="00CB3413"/>
    <w:rsid w:val="00CC7F9D"/>
    <w:rsid w:val="00D33D04"/>
    <w:rsid w:val="00D5680F"/>
    <w:rsid w:val="00D734CE"/>
    <w:rsid w:val="00DB1DC2"/>
    <w:rsid w:val="00DE5DD2"/>
    <w:rsid w:val="00E0622A"/>
    <w:rsid w:val="00E53639"/>
    <w:rsid w:val="00E53A84"/>
    <w:rsid w:val="00E71828"/>
    <w:rsid w:val="00EE17E7"/>
    <w:rsid w:val="00F03D8B"/>
    <w:rsid w:val="00F36CF1"/>
    <w:rsid w:val="00F70BCE"/>
    <w:rsid w:val="00FC4274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paragraph" w:customStyle="1" w:styleId="paragraph">
    <w:name w:val="paragraph"/>
    <w:basedOn w:val="Normal"/>
    <w:rsid w:val="00600C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00CB8"/>
  </w:style>
  <w:style w:type="character" w:customStyle="1" w:styleId="eop">
    <w:name w:val="eop"/>
    <w:basedOn w:val="DefaultParagraphFont"/>
    <w:rsid w:val="00600CB8"/>
  </w:style>
  <w:style w:type="character" w:customStyle="1" w:styleId="scxw29566990">
    <w:name w:val="scxw29566990"/>
    <w:basedOn w:val="DefaultParagraphFont"/>
    <w:rsid w:val="00600CB8"/>
  </w:style>
  <w:style w:type="character" w:customStyle="1" w:styleId="scxw224520413">
    <w:name w:val="scxw224520413"/>
    <w:basedOn w:val="DefaultParagraphFont"/>
    <w:rsid w:val="006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1</Pages>
  <Words>1081</Words>
  <Characters>5948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2023-05-02T07:27:00Z</dcterms:created>
  <dcterms:modified xsi:type="dcterms:W3CDTF">2023-05-04T10:52:00Z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