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D65FE34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  <w:sz w:val="22"/>
          <w:szCs w:val="22"/>
        </w:rPr>
      </w:pPr>
    </w:p>
    <w:p w14:paraId="0CD5E44A" w14:textId="77777777" w:rsidR="005433A0" w:rsidRDefault="005433A0">
      <w:pPr>
        <w:pStyle w:val="Normal1"/>
        <w:spacing w:after="0"/>
        <w:jc w:val="center"/>
        <w:rPr>
          <w:rFonts w:ascii="Gill Sans" w:eastAsia="Gill Sans" w:hAnsi="Gill Sans" w:cs="Gill Sans"/>
          <w:b/>
        </w:rPr>
      </w:pPr>
    </w:p>
    <w:p w14:paraId="04A3A4BB" w14:textId="5E7AC64D" w:rsidR="005433A0" w:rsidRDefault="002079FB">
      <w:pPr>
        <w:pStyle w:val="Normal1"/>
        <w:spacing w:after="0" w:line="336" w:lineRule="auto"/>
        <w:jc w:val="center"/>
        <w:rPr>
          <w:rFonts w:ascii="Cabin" w:eastAsia="Gill Sans" w:hAnsi="Cabin" w:cs="Gill Sans"/>
          <w:i/>
        </w:rPr>
      </w:pPr>
      <w:r>
        <w:rPr>
          <w:rFonts w:ascii="Cabin" w:eastAsia="Gill Sans" w:hAnsi="Cabin" w:cs="Gill Sans"/>
          <w:b/>
          <w:noProof/>
        </w:rPr>
        <w:t>RME Receives TEC Award Nomination for M</w:t>
      </w:r>
      <w:r w:rsidR="005C3458">
        <w:rPr>
          <w:rFonts w:ascii="Cabin" w:eastAsia="Gill Sans" w:hAnsi="Cabin" w:cs="Gill Sans"/>
          <w:b/>
          <w:noProof/>
        </w:rPr>
        <w:t>-32 Pro AVB Series of Converters</w:t>
      </w:r>
      <w:r w:rsidR="0009146F" w:rsidRPr="001F0B6C">
        <w:rPr>
          <w:rFonts w:ascii="Cabin" w:eastAsia="Gill Sans" w:hAnsi="Cabin" w:cs="Gill Sans"/>
        </w:rPr>
        <w:br/>
      </w:r>
      <w:r w:rsidR="005C3458">
        <w:rPr>
          <w:rFonts w:ascii="Cabin" w:eastAsia="Gill Sans" w:hAnsi="Cabin" w:cs="Gill Sans"/>
          <w:i/>
        </w:rPr>
        <w:t xml:space="preserve">The </w:t>
      </w:r>
      <w:r w:rsidR="00E041DF">
        <w:rPr>
          <w:rFonts w:ascii="Cabin" w:eastAsia="Gill Sans" w:hAnsi="Cabin" w:cs="Gill Sans"/>
          <w:i/>
        </w:rPr>
        <w:t>reference-quality A/D</w:t>
      </w:r>
      <w:r w:rsidR="005C3458">
        <w:rPr>
          <w:rFonts w:ascii="Cabin" w:eastAsia="Gill Sans" w:hAnsi="Cabin" w:cs="Gill Sans"/>
          <w:i/>
        </w:rPr>
        <w:t xml:space="preserve"> converter</w:t>
      </w:r>
      <w:r w:rsidR="0008489F">
        <w:rPr>
          <w:rFonts w:ascii="Cabin" w:eastAsia="Gill Sans" w:hAnsi="Cabin" w:cs="Gill Sans"/>
          <w:i/>
        </w:rPr>
        <w:t>s</w:t>
      </w:r>
      <w:r w:rsidR="005C3458">
        <w:rPr>
          <w:rFonts w:ascii="Cabin" w:eastAsia="Gill Sans" w:hAnsi="Cabin" w:cs="Gill Sans"/>
          <w:i/>
        </w:rPr>
        <w:t xml:space="preserve"> </w:t>
      </w:r>
      <w:r w:rsidR="00E041DF">
        <w:rPr>
          <w:rFonts w:ascii="Cabin" w:eastAsia="Gill Sans" w:hAnsi="Cabin" w:cs="Gill Sans"/>
          <w:i/>
        </w:rPr>
        <w:t>provide unmatched reliability</w:t>
      </w:r>
    </w:p>
    <w:p w14:paraId="653A0D34" w14:textId="77777777" w:rsidR="00E041DF" w:rsidRPr="001F0B6C" w:rsidRDefault="00E041DF">
      <w:pPr>
        <w:pStyle w:val="Normal1"/>
        <w:spacing w:after="0" w:line="336" w:lineRule="auto"/>
        <w:jc w:val="center"/>
        <w:rPr>
          <w:rFonts w:ascii="Cabin" w:eastAsia="Gill Sans" w:hAnsi="Cabin" w:cs="Gill Sans"/>
          <w:b/>
          <w:sz w:val="22"/>
          <w:szCs w:val="22"/>
        </w:rPr>
      </w:pPr>
    </w:p>
    <w:p w14:paraId="14F3561B" w14:textId="75DD4654" w:rsidR="001068E3" w:rsidRPr="009D78CD" w:rsidRDefault="00110D2D" w:rsidP="001068E3">
      <w:pPr>
        <w:pStyle w:val="Normal1"/>
        <w:spacing w:line="336" w:lineRule="auto"/>
        <w:rPr>
          <w:rFonts w:ascii="Cabin" w:eastAsia="Gill Sans" w:hAnsi="Cabin" w:cs="Gill Sans"/>
          <w:sz w:val="22"/>
          <w:szCs w:val="22"/>
        </w:rPr>
      </w:pPr>
      <w:r w:rsidRPr="009D78CD">
        <w:rPr>
          <w:rFonts w:ascii="Cabin" w:eastAsia="Gill Sans" w:hAnsi="Cabin" w:cs="Gill Sans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F7A1492" wp14:editId="26EBDA8D">
            <wp:simplePos x="0" y="0"/>
            <wp:positionH relativeFrom="column">
              <wp:posOffset>2384525</wp:posOffset>
            </wp:positionH>
            <wp:positionV relativeFrom="paragraph">
              <wp:posOffset>99695</wp:posOffset>
            </wp:positionV>
            <wp:extent cx="3778250" cy="1866900"/>
            <wp:effectExtent l="0" t="0" r="0" b="0"/>
            <wp:wrapTight wrapText="bothSides">
              <wp:wrapPolygon edited="0">
                <wp:start x="0" y="0"/>
                <wp:lineTo x="0" y="21453"/>
                <wp:lineTo x="21564" y="21453"/>
                <wp:lineTo x="2156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c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9FB" w:rsidRPr="009D78CD">
        <w:rPr>
          <w:rFonts w:ascii="Cabin" w:eastAsia="Gill Sans" w:hAnsi="Cabin" w:cs="Gill Sans"/>
          <w:b/>
          <w:sz w:val="22"/>
          <w:szCs w:val="22"/>
        </w:rPr>
        <w:t>Anaheim</w:t>
      </w:r>
      <w:r w:rsidR="001068E3" w:rsidRPr="009D78CD">
        <w:rPr>
          <w:rFonts w:ascii="Cabin" w:eastAsia="Gill Sans" w:hAnsi="Cabin" w:cs="Gill Sans"/>
          <w:b/>
          <w:sz w:val="22"/>
          <w:szCs w:val="22"/>
        </w:rPr>
        <w:t xml:space="preserve">, </w:t>
      </w:r>
      <w:r w:rsidR="002079FB" w:rsidRPr="009D78CD">
        <w:rPr>
          <w:rFonts w:ascii="Cabin" w:eastAsia="Gill Sans" w:hAnsi="Cabin" w:cs="Gill Sans"/>
          <w:b/>
          <w:sz w:val="22"/>
          <w:szCs w:val="22"/>
        </w:rPr>
        <w:t>California</w:t>
      </w:r>
      <w:r w:rsidR="001068E3" w:rsidRPr="009D78CD">
        <w:rPr>
          <w:rFonts w:ascii="Cabin" w:eastAsia="Gill Sans" w:hAnsi="Cabin" w:cs="Gill Sans"/>
          <w:b/>
          <w:sz w:val="22"/>
          <w:szCs w:val="22"/>
        </w:rPr>
        <w:t xml:space="preserve">, </w:t>
      </w:r>
      <w:r w:rsidR="001F0B6C" w:rsidRPr="009D78CD">
        <w:rPr>
          <w:rFonts w:ascii="Cabin" w:eastAsia="Gill Sans" w:hAnsi="Cabin" w:cs="Gill Sans"/>
          <w:b/>
          <w:sz w:val="22"/>
          <w:szCs w:val="22"/>
        </w:rPr>
        <w:t>July</w:t>
      </w:r>
      <w:r w:rsidR="001068E3" w:rsidRPr="009D78CD">
        <w:rPr>
          <w:rFonts w:ascii="Cabin" w:eastAsia="Gill Sans" w:hAnsi="Cabin" w:cs="Gill Sans"/>
          <w:b/>
          <w:sz w:val="22"/>
          <w:szCs w:val="22"/>
        </w:rPr>
        <w:t xml:space="preserve"> </w:t>
      </w:r>
      <w:r w:rsidR="00A62D57">
        <w:rPr>
          <w:rFonts w:ascii="Cabin" w:eastAsia="Gill Sans" w:hAnsi="Cabin" w:cs="Gill Sans"/>
          <w:b/>
          <w:sz w:val="22"/>
          <w:szCs w:val="22"/>
        </w:rPr>
        <w:t>23</w:t>
      </w:r>
      <w:r w:rsidR="001068E3" w:rsidRPr="009D78CD">
        <w:rPr>
          <w:rFonts w:ascii="Cabin" w:eastAsia="Gill Sans" w:hAnsi="Cabin" w:cs="Gill Sans"/>
          <w:b/>
          <w:sz w:val="22"/>
          <w:szCs w:val="22"/>
        </w:rPr>
        <w:t xml:space="preserve">, 2019 </w:t>
      </w:r>
      <w:r w:rsidR="0009146F" w:rsidRPr="009D78CD">
        <w:rPr>
          <w:rFonts w:ascii="Cabin" w:eastAsia="Gill Sans" w:hAnsi="Cabin" w:cs="Gill Sans"/>
          <w:b/>
          <w:sz w:val="22"/>
          <w:szCs w:val="22"/>
        </w:rPr>
        <w:t>–</w:t>
      </w:r>
      <w:r w:rsidR="00ED5DAD" w:rsidRPr="009D78CD">
        <w:rPr>
          <w:rFonts w:ascii="Cabin" w:eastAsia="Gill Sans" w:hAnsi="Cabin" w:cs="Gill Sans"/>
          <w:b/>
          <w:sz w:val="22"/>
          <w:szCs w:val="22"/>
        </w:rPr>
        <w:t xml:space="preserve"> </w:t>
      </w:r>
      <w:hyperlink r:id="rId7" w:history="1">
        <w:r w:rsidR="002079FB" w:rsidRPr="009D78CD">
          <w:rPr>
            <w:rStyle w:val="Hyperlink"/>
            <w:rFonts w:ascii="Cabin" w:eastAsia="Gill Sans" w:hAnsi="Cabin" w:cs="Gill Sans"/>
            <w:sz w:val="22"/>
            <w:szCs w:val="22"/>
          </w:rPr>
          <w:t>RME</w:t>
        </w:r>
      </w:hyperlink>
      <w:r w:rsidR="002079FB" w:rsidRPr="009D78CD">
        <w:rPr>
          <w:rFonts w:ascii="Cabin" w:eastAsia="Gill Sans" w:hAnsi="Cabin" w:cs="Gill Sans"/>
          <w:sz w:val="22"/>
          <w:szCs w:val="22"/>
        </w:rPr>
        <w:t>, premium interface manufacturer, has announced its M</w:t>
      </w:r>
      <w:r w:rsidR="009D78CD">
        <w:rPr>
          <w:rFonts w:ascii="Cabin" w:eastAsia="Gill Sans" w:hAnsi="Cabin" w:cs="Gill Sans"/>
          <w:sz w:val="22"/>
          <w:szCs w:val="22"/>
        </w:rPr>
        <w:t>-</w:t>
      </w:r>
      <w:r w:rsidR="002079FB" w:rsidRPr="009D78CD">
        <w:rPr>
          <w:rFonts w:ascii="Cabin" w:eastAsia="Gill Sans" w:hAnsi="Cabin" w:cs="Gill Sans"/>
          <w:sz w:val="22"/>
          <w:szCs w:val="22"/>
        </w:rPr>
        <w:t xml:space="preserve">32 </w:t>
      </w:r>
      <w:r w:rsidR="009D78CD" w:rsidRPr="009D78CD">
        <w:rPr>
          <w:rFonts w:ascii="Cabin" w:eastAsia="Gill Sans" w:hAnsi="Cabin" w:cs="Gill Sans"/>
          <w:sz w:val="22"/>
          <w:szCs w:val="22"/>
        </w:rPr>
        <w:t xml:space="preserve">Pro </w:t>
      </w:r>
      <w:r w:rsidR="009D78CD">
        <w:rPr>
          <w:rFonts w:ascii="Cabin" w:eastAsia="Gill Sans" w:hAnsi="Cabin" w:cs="Gill Sans"/>
          <w:sz w:val="22"/>
          <w:szCs w:val="22"/>
        </w:rPr>
        <w:t>Series of audio</w:t>
      </w:r>
      <w:r w:rsidR="009D78CD" w:rsidRPr="009D78CD">
        <w:rPr>
          <w:rFonts w:ascii="Cabin" w:eastAsia="Gill Sans" w:hAnsi="Cabin" w:cs="Gill Sans"/>
          <w:sz w:val="22"/>
          <w:szCs w:val="22"/>
        </w:rPr>
        <w:t xml:space="preserve"> converters have been nominated</w:t>
      </w:r>
      <w:r w:rsidR="009D78CD">
        <w:rPr>
          <w:rFonts w:ascii="Cabin" w:eastAsia="Gill Sans" w:hAnsi="Cabin" w:cs="Gill Sans"/>
          <w:sz w:val="22"/>
          <w:szCs w:val="22"/>
        </w:rPr>
        <w:t xml:space="preserve"> for the 35</w:t>
      </w:r>
      <w:r w:rsidR="009D78CD" w:rsidRPr="009D78CD">
        <w:rPr>
          <w:rFonts w:ascii="Cabin" w:eastAsia="Gill Sans" w:hAnsi="Cabin" w:cs="Gill Sans"/>
          <w:sz w:val="22"/>
          <w:szCs w:val="22"/>
          <w:vertAlign w:val="superscript"/>
        </w:rPr>
        <w:t>th</w:t>
      </w:r>
      <w:r w:rsidR="009D78CD">
        <w:rPr>
          <w:rFonts w:ascii="Cabin" w:eastAsia="Gill Sans" w:hAnsi="Cabin" w:cs="Gill Sans"/>
          <w:sz w:val="22"/>
          <w:szCs w:val="22"/>
        </w:rPr>
        <w:t xml:space="preserve"> Annual</w:t>
      </w:r>
      <w:r w:rsidR="003C1971">
        <w:rPr>
          <w:rFonts w:ascii="Cabin" w:eastAsia="Gill Sans" w:hAnsi="Cabin" w:cs="Gill Sans"/>
          <w:sz w:val="22"/>
          <w:szCs w:val="22"/>
        </w:rPr>
        <w:t xml:space="preserve"> NAMM</w:t>
      </w:r>
      <w:r w:rsidR="009D78CD">
        <w:rPr>
          <w:rFonts w:ascii="Cabin" w:eastAsia="Gill Sans" w:hAnsi="Cabin" w:cs="Gill Sans"/>
          <w:sz w:val="22"/>
          <w:szCs w:val="22"/>
        </w:rPr>
        <w:t xml:space="preserve"> Technical Excellence &amp; Creativity (TEC) Awards. The M-32 Pro was nominated in the category of Computer Audio Hardware.</w:t>
      </w:r>
    </w:p>
    <w:p w14:paraId="563AF7D0" w14:textId="0C1FF994" w:rsidR="001068E3" w:rsidRDefault="003C1971" w:rsidP="001068E3">
      <w:pPr>
        <w:pStyle w:val="Normal1"/>
        <w:spacing w:line="336" w:lineRule="auto"/>
        <w:rPr>
          <w:rFonts w:ascii="Cabin" w:eastAsia="Gill Sans" w:hAnsi="Cabin" w:cs="Gill Sans"/>
          <w:sz w:val="22"/>
          <w:szCs w:val="22"/>
        </w:rPr>
      </w:pPr>
      <w:r>
        <w:rPr>
          <w:rFonts w:ascii="Cabin" w:eastAsia="Gill Sans" w:hAnsi="Cabin" w:cs="Gill Sans"/>
          <w:sz w:val="22"/>
          <w:szCs w:val="22"/>
        </w:rPr>
        <w:t>The NAMM</w:t>
      </w:r>
      <w:r w:rsidR="009D78CD">
        <w:rPr>
          <w:rFonts w:ascii="Cabin" w:eastAsia="Gill Sans" w:hAnsi="Cabin" w:cs="Gill Sans"/>
          <w:sz w:val="22"/>
          <w:szCs w:val="22"/>
        </w:rPr>
        <w:t xml:space="preserve"> TEC Awards are the pro-audio and musical instrument industries’ most prestigious awards, celebrating the spirit of innovation and honoring best-in-class products in the pro-audio community. A panel comprised of leaders in the audio and production industries carefully evaluated each entry before selecting M-32 Pro. Nominees were announced at</w:t>
      </w:r>
      <w:r>
        <w:rPr>
          <w:rFonts w:ascii="Cabin" w:eastAsia="Gill Sans" w:hAnsi="Cabin" w:cs="Gill Sans"/>
          <w:sz w:val="22"/>
          <w:szCs w:val="22"/>
        </w:rPr>
        <w:t xml:space="preserve"> last week’s</w:t>
      </w:r>
      <w:r w:rsidR="009D78CD">
        <w:rPr>
          <w:rFonts w:ascii="Cabin" w:eastAsia="Gill Sans" w:hAnsi="Cabin" w:cs="Gill Sans"/>
          <w:sz w:val="22"/>
          <w:szCs w:val="22"/>
        </w:rPr>
        <w:t xml:space="preserve"> Summer </w:t>
      </w:r>
      <w:r>
        <w:rPr>
          <w:rFonts w:ascii="Cabin" w:eastAsia="Gill Sans" w:hAnsi="Cabin" w:cs="Gill Sans"/>
          <w:sz w:val="22"/>
          <w:szCs w:val="22"/>
        </w:rPr>
        <w:t>NAMM,</w:t>
      </w:r>
      <w:r w:rsidR="009D78CD">
        <w:rPr>
          <w:rFonts w:ascii="Cabin" w:eastAsia="Gill Sans" w:hAnsi="Cabin" w:cs="Gill Sans"/>
          <w:sz w:val="22"/>
          <w:szCs w:val="22"/>
        </w:rPr>
        <w:t xml:space="preserve"> and winners will be announced during the annual TEC Awards ceremony during the 2020 NAMM Show on January 18, 2020.</w:t>
      </w:r>
    </w:p>
    <w:p w14:paraId="209CAF01" w14:textId="4DC9E1B0" w:rsidR="00712A7F" w:rsidRDefault="00712A7F" w:rsidP="001068E3">
      <w:pPr>
        <w:pStyle w:val="Normal1"/>
        <w:spacing w:line="336" w:lineRule="auto"/>
        <w:rPr>
          <w:rFonts w:ascii="Cabin" w:eastAsia="Gill Sans" w:hAnsi="Cabin" w:cs="Gill Sans"/>
          <w:sz w:val="22"/>
          <w:szCs w:val="22"/>
        </w:rPr>
      </w:pPr>
      <w:r>
        <w:rPr>
          <w:rFonts w:ascii="Cabin" w:eastAsia="Gill Sans" w:hAnsi="Cabin" w:cs="Gill Sans"/>
          <w:sz w:val="22"/>
          <w:szCs w:val="22"/>
        </w:rPr>
        <w:t xml:space="preserve">“The M32 Series converters take audio transmission to </w:t>
      </w:r>
      <w:r w:rsidR="002B5D4F">
        <w:rPr>
          <w:rFonts w:ascii="Cabin" w:eastAsia="Gill Sans" w:hAnsi="Cabin" w:cs="Gill Sans"/>
          <w:sz w:val="22"/>
          <w:szCs w:val="22"/>
        </w:rPr>
        <w:t>new heights</w:t>
      </w:r>
      <w:r>
        <w:rPr>
          <w:rFonts w:ascii="Cabin" w:eastAsia="Gill Sans" w:hAnsi="Cabin" w:cs="Gill Sans"/>
          <w:sz w:val="22"/>
          <w:szCs w:val="22"/>
        </w:rPr>
        <w:t xml:space="preserve">, offering more compact housing and network functionality — two features today’s industry professionals require,” said Derek </w:t>
      </w:r>
      <w:proofErr w:type="spellStart"/>
      <w:r>
        <w:rPr>
          <w:rFonts w:ascii="Cabin" w:eastAsia="Gill Sans" w:hAnsi="Cabin" w:cs="Gill Sans"/>
          <w:sz w:val="22"/>
          <w:szCs w:val="22"/>
        </w:rPr>
        <w:t>Badala</w:t>
      </w:r>
      <w:proofErr w:type="spellEnd"/>
      <w:r>
        <w:rPr>
          <w:rFonts w:ascii="Cabin" w:eastAsia="Gill Sans" w:hAnsi="Cabin" w:cs="Gill Sans"/>
          <w:sz w:val="22"/>
          <w:szCs w:val="22"/>
        </w:rPr>
        <w:t xml:space="preserve">, Director of Sales, Americas for </w:t>
      </w:r>
      <w:proofErr w:type="spellStart"/>
      <w:r>
        <w:rPr>
          <w:rFonts w:ascii="Cabin" w:eastAsia="Gill Sans" w:hAnsi="Cabin" w:cs="Gill Sans"/>
          <w:sz w:val="22"/>
          <w:szCs w:val="22"/>
        </w:rPr>
        <w:t>Synthax</w:t>
      </w:r>
      <w:proofErr w:type="spellEnd"/>
      <w:r>
        <w:rPr>
          <w:rFonts w:ascii="Cabin" w:eastAsia="Gill Sans" w:hAnsi="Cabin" w:cs="Gill Sans"/>
          <w:sz w:val="22"/>
          <w:szCs w:val="22"/>
        </w:rPr>
        <w:t>, distributor of RME. “</w:t>
      </w:r>
      <w:r w:rsidR="00F353D3">
        <w:rPr>
          <w:rFonts w:ascii="Cabin" w:eastAsia="Gill Sans" w:hAnsi="Cabin" w:cs="Gill Sans"/>
          <w:sz w:val="22"/>
          <w:szCs w:val="22"/>
        </w:rPr>
        <w:t>Additionally, the</w:t>
      </w:r>
      <w:r>
        <w:rPr>
          <w:rFonts w:ascii="Cabin" w:eastAsia="Gill Sans" w:hAnsi="Cabin" w:cs="Gill Sans"/>
          <w:sz w:val="22"/>
          <w:szCs w:val="22"/>
        </w:rPr>
        <w:t xml:space="preserve"> included AVB interface allows these converters to </w:t>
      </w:r>
      <w:r w:rsidR="00F353D3">
        <w:rPr>
          <w:rFonts w:ascii="Cabin" w:eastAsia="Gill Sans" w:hAnsi="Cabin" w:cs="Gill Sans"/>
          <w:sz w:val="22"/>
          <w:szCs w:val="22"/>
        </w:rPr>
        <w:t xml:space="preserve">be </w:t>
      </w:r>
      <w:r>
        <w:rPr>
          <w:rFonts w:ascii="Cabin" w:eastAsia="Gill Sans" w:hAnsi="Cabin" w:cs="Gill Sans"/>
          <w:sz w:val="22"/>
          <w:szCs w:val="22"/>
        </w:rPr>
        <w:t>easily blended into complex network structures. We are extremely honored for our M-32 Series to be recognized by the TEC Foundation.”</w:t>
      </w:r>
    </w:p>
    <w:p w14:paraId="1F7760D7" w14:textId="5D10E06E" w:rsidR="00712A7F" w:rsidRDefault="009D78CD" w:rsidP="001068E3">
      <w:pPr>
        <w:pStyle w:val="Normal1"/>
        <w:spacing w:line="336" w:lineRule="auto"/>
        <w:rPr>
          <w:rFonts w:ascii="Cabin" w:eastAsia="Gill Sans" w:hAnsi="Cabin" w:cs="Gill Sans"/>
          <w:sz w:val="22"/>
          <w:szCs w:val="22"/>
        </w:rPr>
      </w:pPr>
      <w:r w:rsidRPr="009D78CD">
        <w:rPr>
          <w:rFonts w:ascii="Cabin" w:eastAsia="Gill Sans" w:hAnsi="Cabin" w:cs="Gill Sans"/>
          <w:b/>
          <w:bCs/>
          <w:sz w:val="22"/>
          <w:szCs w:val="22"/>
        </w:rPr>
        <w:t>The Future of Audio</w:t>
      </w:r>
      <w:r w:rsidRPr="009D78CD">
        <w:rPr>
          <w:rFonts w:ascii="Cabin" w:eastAsia="Gill Sans" w:hAnsi="Cabin" w:cs="Gill Sans"/>
          <w:b/>
          <w:bCs/>
          <w:sz w:val="22"/>
          <w:szCs w:val="22"/>
        </w:rPr>
        <w:br/>
      </w:r>
      <w:r>
        <w:rPr>
          <w:rFonts w:ascii="Cabin" w:eastAsia="Gill Sans" w:hAnsi="Cabin" w:cs="Gill Sans"/>
          <w:sz w:val="22"/>
          <w:szCs w:val="22"/>
        </w:rPr>
        <w:t>The M-32 Pro Series is comprised of the M-32 AD Pro and the M-32 DA Pro, two high-end, 32-channel 192kHz converters that meet the requirements of today’s productions and installations that require high analog channel counts.</w:t>
      </w:r>
      <w:r w:rsidR="00712A7F">
        <w:rPr>
          <w:rFonts w:ascii="Cabin" w:eastAsia="Gill Sans" w:hAnsi="Cabin" w:cs="Gill Sans"/>
          <w:sz w:val="22"/>
          <w:szCs w:val="22"/>
        </w:rPr>
        <w:t xml:space="preserve"> Based on advanced, high-resolution converter components and a fully balanced analog circuit design, the series offers a signal-to-noise ratio of 120 dB(A) with extremely low THD values — placing the converters in the reference class.</w:t>
      </w:r>
    </w:p>
    <w:p w14:paraId="6B7EBEF0" w14:textId="15DA4BD3" w:rsidR="00F353D3" w:rsidRDefault="00E041DF" w:rsidP="001068E3">
      <w:pPr>
        <w:pStyle w:val="Normal1"/>
        <w:spacing w:line="336" w:lineRule="auto"/>
        <w:rPr>
          <w:rFonts w:ascii="Cabin" w:eastAsia="Gill Sans" w:hAnsi="Cabin" w:cs="Gill Sans"/>
          <w:sz w:val="22"/>
          <w:szCs w:val="22"/>
        </w:rPr>
      </w:pPr>
      <w:r>
        <w:rPr>
          <w:rFonts w:ascii="Cabin" w:eastAsia="Gill Sans" w:hAnsi="Cabin" w:cs="Gill Sans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18B56C66" wp14:editId="056ABEE4">
            <wp:simplePos x="0" y="0"/>
            <wp:positionH relativeFrom="column">
              <wp:posOffset>-2540</wp:posOffset>
            </wp:positionH>
            <wp:positionV relativeFrom="paragraph">
              <wp:posOffset>37465</wp:posOffset>
            </wp:positionV>
            <wp:extent cx="1498600" cy="1635760"/>
            <wp:effectExtent l="0" t="0" r="0" b="2540"/>
            <wp:wrapTight wrapText="bothSides">
              <wp:wrapPolygon edited="0">
                <wp:start x="0" y="0"/>
                <wp:lineTo x="0" y="21466"/>
                <wp:lineTo x="21417" y="21466"/>
                <wp:lineTo x="214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MMTEC3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D3">
        <w:rPr>
          <w:rFonts w:ascii="Cabin" w:eastAsia="Gill Sans" w:hAnsi="Cabin" w:cs="Gill Sans"/>
          <w:sz w:val="22"/>
          <w:szCs w:val="22"/>
        </w:rPr>
        <w:t>In addition to the fully equipped MADI I/</w:t>
      </w:r>
      <w:proofErr w:type="spellStart"/>
      <w:r w:rsidR="00F353D3">
        <w:rPr>
          <w:rFonts w:ascii="Cabin" w:eastAsia="Gill Sans" w:hAnsi="Cabin" w:cs="Gill Sans"/>
          <w:sz w:val="22"/>
          <w:szCs w:val="22"/>
        </w:rPr>
        <w:t>Os</w:t>
      </w:r>
      <w:proofErr w:type="spellEnd"/>
      <w:r w:rsidR="00F353D3">
        <w:rPr>
          <w:rFonts w:ascii="Cabin" w:eastAsia="Gill Sans" w:hAnsi="Cabin" w:cs="Gill Sans"/>
          <w:sz w:val="22"/>
          <w:szCs w:val="22"/>
        </w:rPr>
        <w:t xml:space="preserve"> including separate signal routing, the M Series converters feature an AVB interface based on the open network standard IEEE 802.1 and 1722.1, enabling transmission of the 32 analog channels at maximum 192 </w:t>
      </w:r>
      <w:proofErr w:type="spellStart"/>
      <w:r w:rsidR="00F353D3">
        <w:rPr>
          <w:rFonts w:ascii="Cabin" w:eastAsia="Gill Sans" w:hAnsi="Cabin" w:cs="Gill Sans"/>
          <w:sz w:val="22"/>
          <w:szCs w:val="22"/>
        </w:rPr>
        <w:t>kH</w:t>
      </w:r>
      <w:proofErr w:type="spellEnd"/>
      <w:r w:rsidR="00F353D3">
        <w:rPr>
          <w:rFonts w:ascii="Cabin" w:eastAsia="Gill Sans" w:hAnsi="Cabin" w:cs="Gill Sans"/>
          <w:sz w:val="22"/>
          <w:szCs w:val="22"/>
        </w:rPr>
        <w:t xml:space="preserve"> sampling rate via a single Ethernet cable.</w:t>
      </w:r>
    </w:p>
    <w:p w14:paraId="45B6038F" w14:textId="05CB287F" w:rsidR="00F353D3" w:rsidRPr="00F353D3" w:rsidRDefault="00F353D3" w:rsidP="001068E3">
      <w:pPr>
        <w:pStyle w:val="Normal1"/>
        <w:spacing w:line="336" w:lineRule="auto"/>
        <w:rPr>
          <w:rFonts w:ascii="Cabin" w:eastAsia="Gill Sans" w:hAnsi="Cabin" w:cs="Gill Sans"/>
          <w:sz w:val="22"/>
          <w:szCs w:val="22"/>
        </w:rPr>
      </w:pPr>
      <w:r>
        <w:rPr>
          <w:rFonts w:ascii="Cabin" w:eastAsia="Gill Sans" w:hAnsi="Cabin" w:cs="Gill Sans"/>
          <w:sz w:val="22"/>
          <w:szCs w:val="22"/>
        </w:rPr>
        <w:t xml:space="preserve">Combined with </w:t>
      </w:r>
      <w:r w:rsidR="00A62D57">
        <w:rPr>
          <w:rFonts w:ascii="Cabin" w:eastAsia="Gill Sans" w:hAnsi="Cabin" w:cs="Gill Sans"/>
          <w:sz w:val="22"/>
          <w:szCs w:val="22"/>
        </w:rPr>
        <w:t>external</w:t>
      </w:r>
      <w:r>
        <w:rPr>
          <w:rFonts w:ascii="Cabin" w:eastAsia="Gill Sans" w:hAnsi="Cabin" w:cs="Gill Sans"/>
          <w:sz w:val="22"/>
          <w:szCs w:val="22"/>
        </w:rPr>
        <w:t xml:space="preserve"> AVB switches, the M-32 </w:t>
      </w:r>
      <w:r w:rsidR="00A62D57">
        <w:rPr>
          <w:rFonts w:ascii="Cabin" w:eastAsia="Gill Sans" w:hAnsi="Cabin" w:cs="Gill Sans"/>
          <w:sz w:val="22"/>
          <w:szCs w:val="22"/>
        </w:rPr>
        <w:t>converters</w:t>
      </w:r>
      <w:r>
        <w:rPr>
          <w:rFonts w:ascii="Cabin" w:eastAsia="Gill Sans" w:hAnsi="Cabin" w:cs="Gill Sans"/>
          <w:sz w:val="22"/>
          <w:szCs w:val="22"/>
        </w:rPr>
        <w:t xml:space="preserve"> can be quickly, easily and reliably integrated into more complex network structures thanks to the comprehensive time-synchronous signal processing of </w:t>
      </w:r>
      <w:r w:rsidRPr="00F353D3">
        <w:rPr>
          <w:rFonts w:ascii="Cabin" w:eastAsia="Gill Sans" w:hAnsi="Cabin" w:cs="Gill Sans"/>
          <w:sz w:val="22"/>
          <w:szCs w:val="22"/>
        </w:rPr>
        <w:t>the AVB protocol.</w:t>
      </w:r>
    </w:p>
    <w:p w14:paraId="4EAC4FA4" w14:textId="62667CC0" w:rsidR="00EF4E1E" w:rsidRPr="009D78CD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Gill Sans" w:hAnsi="Cabin" w:cs="Gill Sans"/>
          <w:b/>
          <w:color w:val="0000FF"/>
          <w:sz w:val="22"/>
          <w:szCs w:val="22"/>
          <w:u w:val="single"/>
        </w:rPr>
      </w:pPr>
      <w:r w:rsidRPr="009D78CD">
        <w:rPr>
          <w:rFonts w:ascii="Cabin" w:eastAsia="Gill Sans" w:hAnsi="Cabin" w:cs="Gill Sans"/>
          <w:color w:val="000000"/>
          <w:sz w:val="22"/>
          <w:szCs w:val="22"/>
        </w:rPr>
        <w:t>For more on RME, visit</w:t>
      </w:r>
      <w:r w:rsidRPr="009D78CD">
        <w:rPr>
          <w:rFonts w:ascii="Cabin" w:eastAsia="Gill Sans" w:hAnsi="Cabin" w:cs="Gill Sans"/>
          <w:b/>
          <w:color w:val="000000"/>
          <w:sz w:val="22"/>
          <w:szCs w:val="22"/>
        </w:rPr>
        <w:t xml:space="preserve"> </w:t>
      </w:r>
      <w:hyperlink r:id="rId9">
        <w:r w:rsidRPr="009D78CD">
          <w:rPr>
            <w:rFonts w:ascii="Cabin" w:eastAsia="Gill Sans" w:hAnsi="Cabin" w:cs="Gill Sans"/>
            <w:b/>
            <w:color w:val="0000FF"/>
            <w:sz w:val="22"/>
            <w:szCs w:val="22"/>
            <w:u w:val="single"/>
          </w:rPr>
          <w:t>rme-usa.com</w:t>
        </w:r>
      </w:hyperlink>
    </w:p>
    <w:p w14:paraId="1DF51755" w14:textId="77777777" w:rsidR="005433A0" w:rsidRPr="009D78CD" w:rsidRDefault="005433A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b/>
          <w:color w:val="000000"/>
          <w:sz w:val="22"/>
          <w:szCs w:val="22"/>
        </w:rPr>
      </w:pPr>
    </w:p>
    <w:p w14:paraId="5C8A1AE6" w14:textId="385E8591" w:rsidR="005433A0" w:rsidRDefault="0009146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  <w:sz w:val="22"/>
          <w:szCs w:val="22"/>
        </w:rPr>
      </w:pPr>
      <w:r w:rsidRPr="009D78CD">
        <w:rPr>
          <w:rFonts w:ascii="Cabin" w:eastAsia="Cabin" w:hAnsi="Cabin" w:cs="Cabin"/>
          <w:b/>
          <w:color w:val="000000"/>
          <w:sz w:val="22"/>
          <w:szCs w:val="22"/>
        </w:rPr>
        <w:t xml:space="preserve">About </w:t>
      </w:r>
      <w:proofErr w:type="spellStart"/>
      <w:r w:rsidRPr="009D78CD">
        <w:rPr>
          <w:rFonts w:ascii="Cabin" w:eastAsia="Cabin" w:hAnsi="Cabin" w:cs="Cabin"/>
          <w:b/>
          <w:color w:val="000000"/>
          <w:sz w:val="22"/>
          <w:szCs w:val="22"/>
        </w:rPr>
        <w:t>Synthax</w:t>
      </w:r>
      <w:proofErr w:type="spellEnd"/>
      <w:r w:rsidRPr="009D78CD">
        <w:rPr>
          <w:rFonts w:ascii="Cabin" w:eastAsia="Cabin" w:hAnsi="Cabin" w:cs="Cabin"/>
          <w:b/>
          <w:color w:val="000000"/>
          <w:sz w:val="22"/>
          <w:szCs w:val="22"/>
        </w:rPr>
        <w:t>, Incorporated</w:t>
      </w:r>
      <w:r w:rsidRPr="009D78CD">
        <w:rPr>
          <w:rFonts w:ascii="Cabin" w:eastAsia="Cabin" w:hAnsi="Cabin" w:cs="Cabin"/>
          <w:color w:val="000000"/>
          <w:sz w:val="22"/>
          <w:szCs w:val="22"/>
        </w:rPr>
        <w:br/>
      </w:r>
      <w:proofErr w:type="spellStart"/>
      <w:r w:rsidRPr="009D78CD">
        <w:rPr>
          <w:rFonts w:ascii="Cabin" w:eastAsia="Cabin" w:hAnsi="Cabin" w:cs="Cabin"/>
          <w:color w:val="000000"/>
          <w:sz w:val="22"/>
          <w:szCs w:val="22"/>
        </w:rPr>
        <w:t>Synthax</w:t>
      </w:r>
      <w:proofErr w:type="spellEnd"/>
      <w:r w:rsidRPr="009D78CD">
        <w:rPr>
          <w:rFonts w:ascii="Cabin" w:eastAsia="Cabin" w:hAnsi="Cabin" w:cs="Cabin"/>
          <w:color w:val="000000"/>
          <w:sz w:val="22"/>
          <w:szCs w:val="22"/>
        </w:rPr>
        <w:t xml:space="preserve"> Inc. is the exclusive USA distributor for RME digital audio solutions,</w:t>
      </w:r>
      <w:r w:rsidR="006C22AC">
        <w:rPr>
          <w:rFonts w:ascii="Cabin" w:eastAsia="Cabin" w:hAnsi="Cabin" w:cs="Cabin"/>
          <w:color w:val="000000"/>
          <w:sz w:val="22"/>
          <w:szCs w:val="22"/>
        </w:rPr>
        <w:t xml:space="preserve"> </w:t>
      </w:r>
      <w:proofErr w:type="spellStart"/>
      <w:r w:rsidR="006C22AC">
        <w:rPr>
          <w:rFonts w:ascii="Cabin" w:eastAsia="Cabin" w:hAnsi="Cabin" w:cs="Cabin"/>
          <w:color w:val="000000"/>
          <w:sz w:val="22"/>
          <w:szCs w:val="22"/>
        </w:rPr>
        <w:t>Digigram</w:t>
      </w:r>
      <w:proofErr w:type="spellEnd"/>
      <w:r w:rsidR="006C22AC">
        <w:rPr>
          <w:rFonts w:ascii="Cabin" w:eastAsia="Cabin" w:hAnsi="Cabin" w:cs="Cabin"/>
          <w:color w:val="000000"/>
          <w:sz w:val="22"/>
          <w:szCs w:val="22"/>
        </w:rPr>
        <w:t xml:space="preserve"> broadcast audio systems, </w:t>
      </w:r>
      <w:proofErr w:type="spellStart"/>
      <w:r w:rsidR="006C22AC">
        <w:rPr>
          <w:rFonts w:ascii="Cabin" w:eastAsia="Cabin" w:hAnsi="Cabin" w:cs="Cabin"/>
          <w:color w:val="000000"/>
          <w:sz w:val="22"/>
          <w:szCs w:val="22"/>
        </w:rPr>
        <w:t>Appsys</w:t>
      </w:r>
      <w:proofErr w:type="spellEnd"/>
      <w:r w:rsidR="006C22AC">
        <w:rPr>
          <w:rFonts w:ascii="Cabin" w:eastAsia="Cabin" w:hAnsi="Cabin" w:cs="Cabin"/>
          <w:color w:val="000000"/>
          <w:sz w:val="22"/>
          <w:szCs w:val="22"/>
        </w:rPr>
        <w:t xml:space="preserve"> digital audio tools,</w:t>
      </w:r>
      <w:bookmarkStart w:id="0" w:name="_GoBack"/>
      <w:bookmarkEnd w:id="0"/>
      <w:r w:rsidRPr="009D78CD">
        <w:rPr>
          <w:rFonts w:ascii="Cabin" w:eastAsia="Cabin" w:hAnsi="Cabin" w:cs="Cabin"/>
          <w:color w:val="000000"/>
          <w:sz w:val="22"/>
          <w:szCs w:val="22"/>
        </w:rPr>
        <w:t xml:space="preserve"> </w:t>
      </w:r>
      <w:proofErr w:type="spellStart"/>
      <w:r w:rsidRPr="009D78CD">
        <w:rPr>
          <w:rFonts w:ascii="Cabin" w:eastAsia="Cabin" w:hAnsi="Cabin" w:cs="Cabin"/>
          <w:color w:val="000000"/>
          <w:sz w:val="22"/>
          <w:szCs w:val="22"/>
        </w:rPr>
        <w:t>Ferrofish</w:t>
      </w:r>
      <w:proofErr w:type="spellEnd"/>
      <w:r w:rsidRPr="009D78CD">
        <w:rPr>
          <w:rFonts w:ascii="Cabin" w:eastAsia="Cabin" w:hAnsi="Cabin" w:cs="Cabin"/>
          <w:color w:val="000000"/>
          <w:sz w:val="22"/>
          <w:szCs w:val="22"/>
        </w:rPr>
        <w:t xml:space="preserve"> advanced audio applications, </w:t>
      </w:r>
      <w:proofErr w:type="spellStart"/>
      <w:r w:rsidRPr="009D78CD">
        <w:rPr>
          <w:rFonts w:ascii="Cabin" w:eastAsia="Cabin" w:hAnsi="Cabin" w:cs="Cabin"/>
          <w:color w:val="000000"/>
          <w:sz w:val="22"/>
          <w:szCs w:val="22"/>
        </w:rPr>
        <w:t>myMix</w:t>
      </w:r>
      <w:proofErr w:type="spellEnd"/>
      <w:r w:rsidRPr="009D78CD">
        <w:rPr>
          <w:rFonts w:ascii="Cabin" w:eastAsia="Cabin" w:hAnsi="Cabin" w:cs="Cabin"/>
          <w:color w:val="000000"/>
          <w:sz w:val="22"/>
          <w:szCs w:val="22"/>
        </w:rPr>
        <w:t xml:space="preserve"> audio </w:t>
      </w:r>
      <w:r w:rsidR="006C22AC">
        <w:rPr>
          <w:rFonts w:ascii="Cabin" w:eastAsia="Cabin" w:hAnsi="Cabin" w:cs="Cabin"/>
          <w:color w:val="000000"/>
          <w:sz w:val="22"/>
          <w:szCs w:val="22"/>
        </w:rPr>
        <w:t>personal monitoring systems</w:t>
      </w:r>
      <w:r w:rsidRPr="009D78CD">
        <w:rPr>
          <w:rFonts w:ascii="Cabin" w:eastAsia="Cabin" w:hAnsi="Cabin" w:cs="Cabin"/>
          <w:color w:val="000000"/>
          <w:sz w:val="22"/>
          <w:szCs w:val="22"/>
        </w:rPr>
        <w:t xml:space="preserve">, and ALVA </w:t>
      </w:r>
      <w:proofErr w:type="spellStart"/>
      <w:r w:rsidRPr="009D78CD">
        <w:rPr>
          <w:rFonts w:ascii="Cabin" w:eastAsia="Cabin" w:hAnsi="Cabin" w:cs="Cabin"/>
          <w:color w:val="000000"/>
          <w:sz w:val="22"/>
          <w:szCs w:val="22"/>
        </w:rPr>
        <w:t>cableware</w:t>
      </w:r>
      <w:proofErr w:type="spellEnd"/>
      <w:r w:rsidRPr="009D78CD">
        <w:rPr>
          <w:rFonts w:ascii="Cabin" w:eastAsia="Cabin" w:hAnsi="Cabin" w:cs="Cabin"/>
          <w:color w:val="000000"/>
          <w:sz w:val="22"/>
          <w:szCs w:val="22"/>
        </w:rPr>
        <w:t>. We supply a nationwide network of dealers with these products for professional audio, broadcast, music industry, commercial audio, theater, military and government applications. For additional information, visit the company online at </w:t>
      </w:r>
      <w:hyperlink r:id="rId10">
        <w:r w:rsidRPr="009D78CD">
          <w:rPr>
            <w:rFonts w:ascii="Cabin" w:eastAsia="Cabin" w:hAnsi="Cabin" w:cs="Cabin"/>
            <w:color w:val="0000FF"/>
            <w:sz w:val="22"/>
            <w:szCs w:val="22"/>
            <w:u w:val="single"/>
          </w:rPr>
          <w:t>http://www.synthax.com</w:t>
        </w:r>
      </w:hyperlink>
      <w:r w:rsidRPr="009D78CD">
        <w:rPr>
          <w:rFonts w:ascii="Cabin" w:eastAsia="Cabin" w:hAnsi="Cabin" w:cs="Cabin"/>
          <w:color w:val="000000"/>
          <w:sz w:val="22"/>
          <w:szCs w:val="22"/>
        </w:rPr>
        <w:t>.</w:t>
      </w:r>
    </w:p>
    <w:p w14:paraId="262EC345" w14:textId="77777777" w:rsidR="00E041DF" w:rsidRPr="009D78CD" w:rsidRDefault="00E041D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bin" w:eastAsia="Cabin" w:hAnsi="Cabin" w:cs="Cabin"/>
          <w:color w:val="000000"/>
          <w:sz w:val="22"/>
          <w:szCs w:val="22"/>
        </w:rPr>
      </w:pPr>
    </w:p>
    <w:p w14:paraId="3936D155" w14:textId="77777777" w:rsidR="005433A0" w:rsidRPr="009D78CD" w:rsidRDefault="0009146F">
      <w:pPr>
        <w:pStyle w:val="Normal1"/>
        <w:spacing w:before="2" w:after="2"/>
        <w:rPr>
          <w:rFonts w:ascii="Cabin" w:hAnsi="Cabin"/>
          <w:color w:val="000000"/>
          <w:sz w:val="22"/>
          <w:szCs w:val="22"/>
        </w:rPr>
      </w:pPr>
      <w:r w:rsidRPr="009D78CD">
        <w:rPr>
          <w:rFonts w:ascii="Cabin" w:eastAsia="Gill Sans" w:hAnsi="Cabin" w:cs="Gill Sans"/>
          <w:b/>
          <w:sz w:val="22"/>
          <w:szCs w:val="22"/>
        </w:rPr>
        <w:t>Media Contacts:</w:t>
      </w:r>
    </w:p>
    <w:p w14:paraId="07097350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Katie Kailus</w:t>
      </w:r>
    </w:p>
    <w:p w14:paraId="109977D7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Public Relations</w:t>
      </w:r>
    </w:p>
    <w:p w14:paraId="6A973A49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Hummingbird Media</w:t>
      </w:r>
    </w:p>
    <w:p w14:paraId="46A3F1CA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+1 (630) 319-5226</w:t>
      </w:r>
    </w:p>
    <w:p w14:paraId="1A7FA21C" w14:textId="77777777" w:rsidR="005433A0" w:rsidRPr="009D78CD" w:rsidRDefault="00D52A46">
      <w:pPr>
        <w:pStyle w:val="Normal1"/>
        <w:spacing w:before="2" w:after="2"/>
        <w:rPr>
          <w:rFonts w:ascii="Cabin" w:hAnsi="Cabin"/>
          <w:sz w:val="22"/>
          <w:szCs w:val="22"/>
        </w:rPr>
      </w:pPr>
      <w:hyperlink r:id="rId11">
        <w:r w:rsidR="0009146F" w:rsidRPr="009D78CD">
          <w:rPr>
            <w:rFonts w:ascii="Cabin" w:eastAsia="Gill Sans" w:hAnsi="Cabin" w:cs="Gill Sans"/>
            <w:color w:val="0000FF"/>
            <w:sz w:val="22"/>
            <w:szCs w:val="22"/>
            <w:u w:val="single"/>
          </w:rPr>
          <w:t>katie@hummingbirdmedia.com</w:t>
        </w:r>
      </w:hyperlink>
    </w:p>
    <w:p w14:paraId="2D7AC9D7" w14:textId="77777777" w:rsidR="005433A0" w:rsidRPr="009D78CD" w:rsidRDefault="005433A0">
      <w:pPr>
        <w:pStyle w:val="Normal1"/>
        <w:spacing w:before="1" w:after="1"/>
        <w:rPr>
          <w:rFonts w:ascii="Cabin" w:hAnsi="Cabin"/>
          <w:sz w:val="22"/>
          <w:szCs w:val="22"/>
        </w:rPr>
      </w:pPr>
    </w:p>
    <w:p w14:paraId="5A9E0363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 xml:space="preserve">Jeff </w:t>
      </w:r>
      <w:proofErr w:type="spellStart"/>
      <w:r w:rsidRPr="009D78CD">
        <w:rPr>
          <w:rFonts w:ascii="Cabin" w:eastAsia="Gill Sans" w:hAnsi="Cabin" w:cs="Gill Sans"/>
          <w:sz w:val="22"/>
          <w:szCs w:val="22"/>
        </w:rPr>
        <w:t>Touzeau</w:t>
      </w:r>
      <w:proofErr w:type="spellEnd"/>
    </w:p>
    <w:p w14:paraId="7AF4D556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Public Relations</w:t>
      </w:r>
    </w:p>
    <w:p w14:paraId="1DA9456C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Hummingbird Media</w:t>
      </w:r>
    </w:p>
    <w:p w14:paraId="01D8F969" w14:textId="77777777" w:rsidR="005433A0" w:rsidRPr="009D78CD" w:rsidRDefault="0009146F">
      <w:pPr>
        <w:pStyle w:val="Normal1"/>
        <w:spacing w:before="1" w:after="1"/>
        <w:rPr>
          <w:rFonts w:ascii="Cabin" w:hAnsi="Cabin"/>
          <w:sz w:val="22"/>
          <w:szCs w:val="22"/>
        </w:rPr>
      </w:pPr>
      <w:r w:rsidRPr="009D78CD">
        <w:rPr>
          <w:rFonts w:ascii="Cabin" w:eastAsia="Gill Sans" w:hAnsi="Cabin" w:cs="Gill Sans"/>
          <w:sz w:val="22"/>
          <w:szCs w:val="22"/>
        </w:rPr>
        <w:t>+1 (914) 602 2913</w:t>
      </w:r>
    </w:p>
    <w:p w14:paraId="7BE4D4F5" w14:textId="77777777" w:rsidR="005433A0" w:rsidRPr="009D78CD" w:rsidRDefault="00D52A46">
      <w:pPr>
        <w:pStyle w:val="Normal1"/>
        <w:spacing w:before="2" w:after="2"/>
        <w:rPr>
          <w:rFonts w:ascii="Cabin" w:eastAsia="Gill Sans" w:hAnsi="Cabin" w:cs="Gill Sans"/>
          <w:sz w:val="22"/>
          <w:szCs w:val="22"/>
        </w:rPr>
      </w:pPr>
      <w:hyperlink r:id="rId12">
        <w:r w:rsidR="0009146F" w:rsidRPr="009D78CD">
          <w:rPr>
            <w:rFonts w:ascii="Cabin" w:eastAsia="Gill Sans" w:hAnsi="Cabin" w:cs="Gill Sans"/>
            <w:color w:val="0000FF"/>
            <w:sz w:val="22"/>
            <w:szCs w:val="22"/>
            <w:u w:val="single"/>
          </w:rPr>
          <w:t>jeff@hummingbirdmedia.com</w:t>
        </w:r>
      </w:hyperlink>
    </w:p>
    <w:p w14:paraId="14CAB478" w14:textId="77777777" w:rsidR="005433A0" w:rsidRPr="009D78CD" w:rsidRDefault="005433A0">
      <w:pPr>
        <w:pStyle w:val="Normal1"/>
        <w:spacing w:before="2" w:after="2"/>
        <w:rPr>
          <w:rFonts w:ascii="Cabin" w:eastAsia="Gill Sans" w:hAnsi="Cabin" w:cs="Gill Sans"/>
          <w:sz w:val="22"/>
          <w:szCs w:val="22"/>
        </w:rPr>
      </w:pPr>
    </w:p>
    <w:sectPr w:rsidR="005433A0" w:rsidRPr="009D78CD" w:rsidSect="005433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397" w:right="1170" w:bottom="1440" w:left="1080" w:header="45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320B0" w14:textId="77777777" w:rsidR="00D52A46" w:rsidRDefault="00D52A46">
      <w:pPr>
        <w:spacing w:after="0"/>
      </w:pPr>
      <w:r>
        <w:separator/>
      </w:r>
    </w:p>
  </w:endnote>
  <w:endnote w:type="continuationSeparator" w:id="0">
    <w:p w14:paraId="6B841DB1" w14:textId="77777777" w:rsidR="00D52A46" w:rsidRDefault="00D52A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bin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BC12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CEB8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51EB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AAAB8" w14:textId="77777777" w:rsidR="00D52A46" w:rsidRDefault="00D52A46">
      <w:pPr>
        <w:spacing w:after="0"/>
      </w:pPr>
      <w:r>
        <w:separator/>
      </w:r>
    </w:p>
  </w:footnote>
  <w:footnote w:type="continuationSeparator" w:id="0">
    <w:p w14:paraId="54B16625" w14:textId="77777777" w:rsidR="00D52A46" w:rsidRDefault="00D52A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CC6D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3EED" w14:textId="77777777" w:rsidR="005433A0" w:rsidRDefault="0009146F">
    <w:pPr>
      <w:pStyle w:val="Normal1"/>
    </w:pPr>
    <w:r>
      <w:rPr>
        <w:noProof/>
      </w:rPr>
      <w:drawing>
        <wp:inline distT="0" distB="0" distL="0" distR="0" wp14:anchorId="1969FDB6" wp14:editId="1236DFE6">
          <wp:extent cx="2509520" cy="875665"/>
          <wp:effectExtent l="0" t="0" r="0" b="0"/>
          <wp:docPr id="2" name="image1.jpg" descr="rme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me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952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br/>
    </w:r>
    <w:r>
      <w:rPr>
        <w:b/>
      </w:rPr>
      <w:t xml:space="preserve">                                                                                                                PRESS RELEASE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DE1E6" w14:textId="77777777" w:rsidR="005433A0" w:rsidRDefault="005433A0">
    <w:pPr>
      <w:pStyle w:val="Normal1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A0"/>
    <w:rsid w:val="0004362B"/>
    <w:rsid w:val="0008489F"/>
    <w:rsid w:val="0009146F"/>
    <w:rsid w:val="000C6819"/>
    <w:rsid w:val="000D3941"/>
    <w:rsid w:val="001068E3"/>
    <w:rsid w:val="00110D2D"/>
    <w:rsid w:val="001F0B6C"/>
    <w:rsid w:val="002079FB"/>
    <w:rsid w:val="002B5D4F"/>
    <w:rsid w:val="002C0B67"/>
    <w:rsid w:val="002E71C3"/>
    <w:rsid w:val="0034312E"/>
    <w:rsid w:val="003B0139"/>
    <w:rsid w:val="003C1971"/>
    <w:rsid w:val="004B74BE"/>
    <w:rsid w:val="004E34F6"/>
    <w:rsid w:val="005433A0"/>
    <w:rsid w:val="005C3458"/>
    <w:rsid w:val="005D1DE2"/>
    <w:rsid w:val="005E0692"/>
    <w:rsid w:val="006270C0"/>
    <w:rsid w:val="00662699"/>
    <w:rsid w:val="006C22AC"/>
    <w:rsid w:val="006E0A17"/>
    <w:rsid w:val="00712A7F"/>
    <w:rsid w:val="00791B71"/>
    <w:rsid w:val="0079751A"/>
    <w:rsid w:val="007D751B"/>
    <w:rsid w:val="00926AC6"/>
    <w:rsid w:val="009775F6"/>
    <w:rsid w:val="009D78CD"/>
    <w:rsid w:val="009E0BF3"/>
    <w:rsid w:val="00A03CF6"/>
    <w:rsid w:val="00A62CB8"/>
    <w:rsid w:val="00A62D57"/>
    <w:rsid w:val="00AB6051"/>
    <w:rsid w:val="00AC3388"/>
    <w:rsid w:val="00B51C61"/>
    <w:rsid w:val="00B54D8B"/>
    <w:rsid w:val="00BC096A"/>
    <w:rsid w:val="00C31F9A"/>
    <w:rsid w:val="00C44456"/>
    <w:rsid w:val="00C712C4"/>
    <w:rsid w:val="00CC0307"/>
    <w:rsid w:val="00D52A46"/>
    <w:rsid w:val="00D57710"/>
    <w:rsid w:val="00DC59CA"/>
    <w:rsid w:val="00E041DF"/>
    <w:rsid w:val="00E70AD4"/>
    <w:rsid w:val="00ED5DAD"/>
    <w:rsid w:val="00EE58AA"/>
    <w:rsid w:val="00EF4E1E"/>
    <w:rsid w:val="00F353D3"/>
    <w:rsid w:val="00FC7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A8367"/>
  <w15:docId w15:val="{8BBEC4A3-4326-3A49-A530-9C3FE03A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F47"/>
  </w:style>
  <w:style w:type="paragraph" w:styleId="Heading1">
    <w:name w:val="heading 1"/>
    <w:basedOn w:val="Normal1"/>
    <w:next w:val="Normal1"/>
    <w:rsid w:val="005433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433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433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433A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5433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5433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433A0"/>
  </w:style>
  <w:style w:type="paragraph" w:styleId="Title">
    <w:name w:val="Title"/>
    <w:basedOn w:val="Normal1"/>
    <w:next w:val="Normal1"/>
    <w:rsid w:val="005433A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433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F4E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me-usa.com/" TargetMode="External"/><Relationship Id="rId12" Type="http://schemas.openxmlformats.org/officeDocument/2006/relationships/hyperlink" Target="mailto:lipoff.alexis@gmail.com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ynthax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rme-usa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Urbana-Champaign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Kailus</cp:lastModifiedBy>
  <cp:revision>43</cp:revision>
  <cp:lastPrinted>2019-05-30T22:37:00Z</cp:lastPrinted>
  <dcterms:created xsi:type="dcterms:W3CDTF">2019-05-30T22:27:00Z</dcterms:created>
  <dcterms:modified xsi:type="dcterms:W3CDTF">2019-07-23T17:25:00Z</dcterms:modified>
</cp:coreProperties>
</file>