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r="http://schemas.openxmlformats.org/officeDocument/2006/relationships" xmlns:wp="http://schemas.openxmlformats.org/drawingml/2006/wordprocessingDrawing">
  <w:body>
    <w:p>
      <w:pPr>
        <w:spacing w:after="480" w:before="480"/>
        <w:jc w:val="left"/>
      </w:pPr>
      <w:r>
        <w:rPr>
          <w:rFonts w:eastAsia="宋体" w:ascii="Times New Roman" w:cs="Times New Roman" w:hAnsi="Times New Roman"/>
          <w:b w:val="true"/>
          <w:sz w:val="52"/>
        </w:rPr>
        <w:t xml:space="preserve">Nuevos recursos </w:t>
      </w:r>
      <w:r>
        <w:rPr>
          <w:rFonts w:eastAsia="宋体" w:ascii="Times New Roman" w:cs="Times New Roman" w:hAnsi="Times New Roman"/>
          <w:b w:val="true"/>
          <w:sz w:val="52"/>
        </w:rPr>
        <w:t xml:space="preserve">de </w:t>
      </w:r>
      <w:r>
        <w:rPr>
          <w:rFonts w:eastAsia="宋体" w:ascii="Times New Roman" w:cs="Times New Roman" w:hAnsi="Times New Roman"/>
          <w:b w:val="true"/>
          <w:sz w:val="52"/>
        </w:rPr>
        <w:t>Sincronización Familiar</w:t>
      </w:r>
      <w:r>
        <w:rPr>
          <w:rFonts w:eastAsia="宋体" w:ascii="Times New Roman" w:cs="Times New Roman" w:hAnsi="Times New Roman"/>
          <w:b w:val="true"/>
          <w:sz w:val="52"/>
        </w:rPr>
        <w:t xml:space="preserve"> ofrecen consejos de seguridad digital de adolescentes</w:t>
      </w:r>
      <w:r>
        <w:rPr>
          <w:rFonts w:eastAsia="宋体" w:ascii="Times New Roman" w:cs="Times New Roman" w:hAnsi="Times New Roman"/>
          <w:b w:val="true"/>
          <w:sz w:val="52"/>
        </w:rPr>
        <w:t>
</w:t>
      </w:r>
    </w:p>
    <w:p>
      <w:pPr>
        <w:jc w:val="left"/>
      </w:pPr>
      <w:r>
        <w:rPr>
          <w:rFonts w:eastAsia="宋体" w:ascii="Times New Roman" w:cs="Times New Roman" w:hAnsi="Times New Roman"/>
          <w:b w:val="true"/>
          <w:sz w:val="22"/>
        </w:rPr>
        <w:t>Autor</w:t>
      </w:r>
      <w:r>
        <w:rPr>
          <w:rFonts w:eastAsia="宋体" w:ascii="Times New Roman" w:cs="Times New Roman" w:hAnsi="Times New Roman"/>
          <w:sz w:val="22"/>
        </w:rPr>
        <w:t>: Alexandra Evans, Directora de Política Pública de Seguridad Infantil</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 xml:space="preserve">En TikTok, </w:t>
      </w:r>
      <w:r>
        <w:rPr>
          <w:rFonts w:eastAsia="宋体" w:ascii="Times New Roman" w:cs="Times New Roman" w:hAnsi="Times New Roman"/>
          <w:sz w:val="22"/>
        </w:rPr>
        <w:t>estamos comprometidos para trabajar en colaboración con padres y tutores para apoyar la experiencia digital de los adolescentes. Reconocemos que para los tutores puede ser abrumador tratar de mantenerse al día con las tendencias cambiantes o nuevas plataformas, y hablar sobre seguridad en línea con sus hijos puede parecer desalentador.</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También escuchamos de los adolescentes que desean que sus voces sean escuchadas. Queremos ayudar a simplificar las cosas ofreciendo a los tutores información sobre el apoyo que los adolescentes realmente valoran de los adultos de confianza en sus vidas, y quién mejor para aconsejar sobre lo que necesitan que los propios adolescentes.</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 xml:space="preserve">En ese espíritu, estamos ampliando </w:t>
      </w:r>
      <w:r>
        <w:rPr>
          <w:rFonts w:eastAsia="宋体" w:ascii="Times New Roman" w:cs="Times New Roman" w:hAnsi="Times New Roman"/>
          <w:sz w:val="22"/>
        </w:rPr>
        <w:t>la función</w:t>
      </w:r>
      <w:r>
        <w:rPr>
          <w:rFonts w:eastAsia="宋体" w:ascii="Times New Roman" w:cs="Times New Roman" w:hAnsi="Times New Roman"/>
          <w:sz w:val="22"/>
        </w:rPr>
        <w:t xml:space="preserve"> </w:t>
      </w:r>
      <w:r>
        <w:rPr>
          <w:rFonts w:eastAsia="宋体" w:ascii="Times New Roman" w:cs="Times New Roman" w:hAnsi="Times New Roman"/>
          <w:sz w:val="22"/>
        </w:rPr>
        <w:t>Sincronización Familiar</w:t>
      </w:r>
      <w:r>
        <w:rPr>
          <w:rFonts w:eastAsia="宋体" w:ascii="Times New Roman" w:cs="Times New Roman" w:hAnsi="Times New Roman"/>
          <w:sz w:val="22"/>
        </w:rPr>
        <w:t xml:space="preserve"> añadiendo </w:t>
      </w:r>
      <w:r>
        <w:rPr>
          <w:rFonts w:eastAsia="宋体" w:ascii="Times New Roman" w:cs="Times New Roman" w:hAnsi="Times New Roman"/>
          <w:sz w:val="22"/>
        </w:rPr>
        <w:t>asesoría</w:t>
      </w:r>
      <w:r>
        <w:rPr>
          <w:rFonts w:eastAsia="宋体" w:ascii="Times New Roman" w:cs="Times New Roman" w:hAnsi="Times New Roman"/>
          <w:sz w:val="22"/>
        </w:rPr>
        <w:t xml:space="preserve"> para los padres que hemos desarrollado en colaboración con los adolescentes y los expertos en seguridad juvenil online de Internet Matters.</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Las cuentas de padres o tutores que actualmente están vinculadas a la cuenta de un adolescente a través de</w:t>
      </w:r>
      <w:r>
        <w:rPr>
          <w:rFonts w:eastAsia="宋体" w:ascii="Times New Roman" w:cs="Times New Roman" w:hAnsi="Times New Roman"/>
          <w:sz w:val="22"/>
        </w:rPr>
        <w:t xml:space="preserve"> la Sincronización Familiar </w:t>
      </w:r>
      <w:r>
        <w:rPr>
          <w:rFonts w:eastAsia="宋体" w:ascii="Times New Roman" w:cs="Times New Roman" w:hAnsi="Times New Roman"/>
          <w:sz w:val="22"/>
        </w:rPr>
        <w:t xml:space="preserve">recibirán una notificación indicándoles a </w:t>
      </w:r>
      <w:r>
        <w:rPr>
          <w:rFonts w:eastAsia="宋体" w:ascii="Times New Roman" w:cs="Times New Roman" w:hAnsi="Times New Roman"/>
          <w:sz w:val="22"/>
        </w:rPr>
        <w:t>descubrir</w:t>
      </w:r>
      <w:r>
        <w:rPr>
          <w:rFonts w:eastAsia="宋体" w:ascii="Times New Roman" w:cs="Times New Roman" w:hAnsi="Times New Roman"/>
          <w:sz w:val="22"/>
        </w:rPr>
        <w:t xml:space="preserve"> más sobre el apoyo que los adolescentes quisieran y sus sugerencias en cómo abordar las conversaciones sobre seguridad y alfabetización digital.</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 xml:space="preserve">Comenzando hoy, cualquier nuevo padre o tutor que active </w:t>
      </w:r>
      <w:r>
        <w:rPr>
          <w:rFonts w:eastAsia="宋体" w:ascii="Times New Roman" w:cs="Times New Roman" w:hAnsi="Times New Roman"/>
          <w:sz w:val="22"/>
        </w:rPr>
        <w:t>la Sincronización Familiar</w:t>
      </w:r>
      <w:r>
        <w:rPr>
          <w:rFonts w:eastAsia="宋体" w:ascii="Times New Roman" w:cs="Times New Roman" w:hAnsi="Times New Roman"/>
          <w:sz w:val="22"/>
        </w:rPr>
        <w:t xml:space="preserve"> recibirá esta información al inscribirse, la cual también estará disponible en la sección </w:t>
      </w:r>
      <w:hyperlink r:id="rId4">
        <w:r>
          <w:rPr>
            <w:rFonts w:eastAsia="宋体" w:ascii="Times New Roman" w:cs="Times New Roman" w:hAnsi="Times New Roman"/>
            <w:color w:val="1a84ee"/>
            <w:sz w:val="22"/>
          </w:rPr>
          <w:t>Guía para Padres y Tutores</w:t>
        </w:r>
      </w:hyperlink>
      <w:r>
        <w:rPr>
          <w:rFonts w:eastAsia="宋体" w:ascii="Times New Roman" w:cs="Times New Roman" w:hAnsi="Times New Roman"/>
          <w:sz w:val="22"/>
        </w:rPr>
        <w:t xml:space="preserve"> de nuestro </w:t>
      </w:r>
      <w:hyperlink r:id="rId5">
        <w:r>
          <w:rPr>
            <w:rFonts w:eastAsia="宋体" w:ascii="Times New Roman" w:cs="Times New Roman" w:hAnsi="Times New Roman"/>
            <w:color w:val="1a84ee"/>
            <w:sz w:val="22"/>
          </w:rPr>
          <w:t>Centro de Seguridad</w:t>
        </w:r>
      </w:hyperlink>
      <w:r>
        <w:rPr>
          <w:rFonts w:eastAsia="宋体" w:ascii="Times New Roman" w:cs="Times New Roman" w:hAnsi="Times New Roman"/>
          <w:sz w:val="22"/>
        </w:rPr>
        <w:t>.</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w:t>
      </w:r>
      <w:r>
        <w:rPr>
          <w:rFonts w:eastAsia="宋体" w:ascii="Times New Roman" w:cs="Times New Roman" w:hAnsi="Times New Roman"/>
          <w:sz w:val="22"/>
        </w:rPr>
        <w:t>
</w:t>
      </w:r>
    </w:p>
    <w:tbl>
      <w:tblPr>
        <w:tblW w:w="0" w:type="auto"/>
        <w:tblBorders>
          <w:top w:val="single"/>
          <w:left w:val="single"/>
          <w:bottom w:val="single"/>
          <w:right w:val="single"/>
          <w:insideH w:val="single"/>
          <w:insideV w:val="single"/>
        </w:tblBorders>
      </w:tblPr>
      <w:tblGrid>
        <w:gridCol w:w="7360"/>
        <w:gridCol w:w="6900"/>
      </w:tblGrid>
      <w:tr>
        <w:trPr>
          <w:trHeight w:val="500"/>
        </w:trPr>
        <w:tc>
          <w:tcPr>
            <w:tcW w:w="7360" w:type="dxa"/>
          </w:tcPr>
          <w:p>
            <w:pPr>
              <w:jc w:val="left"/>
            </w:pPr>
            <w:r>
              <w:rPr>
                <w:rFonts w:eastAsia="宋体" w:ascii="Times New Roman" w:cs="Times New Roman" w:hAnsi="Times New Roman"/>
                <w:sz w:val="22"/>
              </w:rPr>
              <w:t xml:space="preserve"> </w:t>
              <w:drawing>
                <wp:inline distT="0" distB="0" distL="0" distR="0">
                  <wp:extent cx="5524500" cy="11963400"/>
                  <wp:docPr id="2" name="Picture 2" descr="Generated"/>
                  <a:graphic xmlns:a="http://schemas.openxmlformats.org/drawingml/2006/main">
                    <a:graphicData uri="http://schemas.openxmlformats.org/drawingml/2006/picture">
                      <pic:pic xmlns:pic="http://schemas.openxmlformats.org/drawingml/2006/picture">
                        <pic:nvPicPr>
                          <pic:cNvPr id="2" name="Generated"/>
                          <pic:cNvPicPr/>
                        </pic:nvPicPr>
                        <pic:blipFill>
                          <a:blip r:embed="rId6"/>
                          <a:stretch>
                            <a:fillRect/>
                          </a:stretch>
                        </pic:blipFill>
                        <pic:spPr>
                          <a:xfrm>
                            <a:off x="0" y="0"/>
                            <a:ext cx="5524500" cy="11963400"/>
                          </a:xfrm>
                          <a:prstGeom prst="rect">
                            <a:avLst/>
                          </a:prstGeom>
                        </pic:spPr>
                      </pic:pic>
                    </a:graphicData>
                  </a:graphic>
                </wp:inline>
              </w:drawing>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
</w:t>
            </w:r>
          </w:p>
        </w:tc>
        <w:tc>
          <w:tcPr>
            <w:tcW w:w="6900" w:type="dxa"/>
          </w:tcPr>
          <w:p>
            <w:pPr>
              <w:jc w:val="left"/>
            </w:pPr>
            <w:r>
              <w:rPr>
                <w:rFonts w:eastAsia="宋体" w:ascii="Times New Roman" w:cs="Times New Roman" w:hAnsi="Times New Roman"/>
                <w:sz w:val="22"/>
              </w:rPr>
              <w:t xml:space="preserve"> </w:t>
              <w:drawing>
                <wp:inline distT="0" distB="0" distL="0" distR="0">
                  <wp:extent cx="5524500" cy="11963400"/>
                  <wp:docPr id="3" name="Picture 3" descr="Generated"/>
                  <a:graphic xmlns:a="http://schemas.openxmlformats.org/drawingml/2006/main">
                    <a:graphicData uri="http://schemas.openxmlformats.org/drawingml/2006/picture">
                      <pic:pic xmlns:pic="http://schemas.openxmlformats.org/drawingml/2006/picture">
                        <pic:nvPicPr>
                          <pic:cNvPr id="3" name="Generated"/>
                          <pic:cNvPicPr/>
                        </pic:nvPicPr>
                        <pic:blipFill>
                          <a:blip r:embed="rId7"/>
                          <a:stretch>
                            <a:fillRect/>
                          </a:stretch>
                        </pic:blipFill>
                        <pic:spPr>
                          <a:xfrm>
                            <a:off x="0" y="0"/>
                            <a:ext cx="5524500" cy="11963400"/>
                          </a:xfrm>
                          <a:prstGeom prst="rect">
                            <a:avLst/>
                          </a:prstGeom>
                        </pic:spPr>
                      </pic:pic>
                    </a:graphicData>
                  </a:graphic>
                </wp:inline>
              </w:drawing>
            </w:r>
            <w:r>
              <w:rPr>
                <w:rFonts w:eastAsia="宋体" w:ascii="Times New Roman" w:cs="Times New Roman" w:hAnsi="Times New Roman"/>
                <w:sz w:val="22"/>
              </w:rPr>
              <w:t>
</w:t>
            </w:r>
          </w:p>
          <w:p>
            <w:pPr>
              <w:jc w:val="left"/>
            </w:pPr>
            <w:r>
              <w:rPr>
                <w:rFonts w:eastAsia="宋体" w:ascii="Times New Roman" w:cs="Times New Roman" w:hAnsi="Times New Roman"/>
                <w:sz w:val="22"/>
              </w:rPr>
              <w:t>
</w:t>
            </w:r>
          </w:p>
        </w:tc>
      </w:tr>
    </w:tbl>
    <w:p>
      <w:pPr>
        <w:jc w:val="left"/>
      </w:pPr>
      <w:r>
        <w:rPr>
          <w:rFonts w:eastAsia="宋体" w:ascii="Times New Roman" w:cs="Times New Roman" w:hAnsi="Times New Roman"/>
          <w:sz w:val="22"/>
        </w:rPr>
        <w:t>
</w:t>
      </w:r>
    </w:p>
    <w:p>
      <w:pPr>
        <w:jc w:val="left"/>
      </w:pPr>
      <w:r>
        <w:rPr>
          <w:rFonts w:eastAsia="宋体" w:ascii="Times New Roman" w:cs="Times New Roman" w:hAnsi="Times New Roman"/>
          <w:b w:val="true"/>
          <w:sz w:val="22"/>
        </w:rPr>
        <w:t>Este es el apoyo que los adolescentes desean recibir de los tutores mientras navegan por la red</w:t>
      </w:r>
      <w:r>
        <w:rPr>
          <w:rFonts w:eastAsia="宋体" w:ascii="Times New Roman" w:cs="Times New Roman" w:hAnsi="Times New Roman"/>
          <w:b w:val="true"/>
          <w:sz w:val="22"/>
        </w:rPr>
        <w:t xml:space="preserve">: </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numPr>
          <w:numId w:val="1"/>
        </w:numPr>
        <w:ind w:left="0"/>
        <w:jc w:val="left"/>
      </w:pPr>
      <w:r>
        <w:rPr>
          <w:rFonts w:eastAsia="宋体" w:ascii="Times New Roman" w:cs="Times New Roman" w:hAnsi="Times New Roman"/>
          <w:b w:val="true"/>
          <w:sz w:val="22"/>
        </w:rPr>
        <w:t xml:space="preserve">"Ayúdame a entender las reglas" - </w:t>
      </w:r>
      <w:r>
        <w:rPr>
          <w:rFonts w:eastAsia="宋体" w:ascii="Times New Roman" w:cs="Times New Roman" w:hAnsi="Times New Roman"/>
          <w:sz w:val="22"/>
        </w:rPr>
        <w:t xml:space="preserve">Los adolescentes no esperan que los adultos de confianza sean expertos en todas las plataformas, pero valoran el apoyo para configurar sus cuentas. Esto incluye la ayuda para comprobar y entender la configuración de privacidad y seguridad. También nos dijeron que los padres no deben tener miedo de establecer límites; los adolescentes los esperan e incluso los </w:t>
      </w:r>
      <w:r>
        <w:rPr>
          <w:rFonts w:eastAsia="宋体" w:ascii="Times New Roman" w:cs="Times New Roman" w:hAnsi="Times New Roman"/>
          <w:sz w:val="22"/>
        </w:rPr>
        <w:t>reciben muy bien</w:t>
      </w:r>
      <w:r>
        <w:rPr>
          <w:rFonts w:eastAsia="宋体" w:ascii="Times New Roman" w:cs="Times New Roman" w:hAnsi="Times New Roman"/>
          <w:sz w:val="22"/>
        </w:rPr>
        <w:t xml:space="preserve">. </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numPr>
          <w:numId w:val="2"/>
        </w:numPr>
        <w:ind w:left="0"/>
        <w:jc w:val="left"/>
      </w:pPr>
      <w:r>
        <w:rPr>
          <w:rFonts w:eastAsia="宋体" w:ascii="Times New Roman" w:cs="Times New Roman" w:hAnsi="Times New Roman"/>
          <w:b w:val="true"/>
          <w:sz w:val="22"/>
        </w:rPr>
        <w:t xml:space="preserve">"Estar disponible para chatear" - </w:t>
      </w:r>
      <w:r>
        <w:rPr>
          <w:rFonts w:eastAsia="宋体" w:ascii="Times New Roman" w:cs="Times New Roman" w:hAnsi="Times New Roman"/>
          <w:sz w:val="22"/>
        </w:rPr>
        <w:t>Los adolescentes quieren que los adultos de confianza se interesen por su vida digital y reconozcan lo importante que es el mundo online para ellos. Mantente disponible para chatear y no tengas miedo de iniciar una conversación.</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numPr>
          <w:numId w:val="3"/>
        </w:numPr>
        <w:ind w:left="0"/>
        <w:jc w:val="left"/>
      </w:pPr>
      <w:r>
        <w:rPr>
          <w:rFonts w:eastAsia="宋体" w:ascii="Times New Roman" w:cs="Times New Roman" w:hAnsi="Times New Roman"/>
          <w:b w:val="true"/>
          <w:sz w:val="22"/>
        </w:rPr>
        <w:t xml:space="preserve">"No te asustes cuando las cosas vayan mal" - </w:t>
      </w:r>
      <w:r>
        <w:rPr>
          <w:rFonts w:eastAsia="宋体" w:ascii="Times New Roman" w:cs="Times New Roman" w:hAnsi="Times New Roman"/>
          <w:sz w:val="22"/>
        </w:rPr>
        <w:t>Tu hijo adolescente ha acudido a ti en busca de ayuda</w:t>
      </w:r>
      <w:r>
        <w:rPr>
          <w:rFonts w:eastAsia="宋体" w:ascii="Times New Roman" w:cs="Times New Roman" w:hAnsi="Times New Roman"/>
          <w:sz w:val="22"/>
        </w:rPr>
        <w:t>, ¡fantástico!</w:t>
      </w:r>
      <w:r>
        <w:rPr>
          <w:rFonts w:eastAsia="宋体" w:ascii="Times New Roman" w:cs="Times New Roman" w:hAnsi="Times New Roman"/>
          <w:sz w:val="22"/>
        </w:rPr>
        <w:t>.</w:t>
      </w:r>
      <w:r>
        <w:rPr>
          <w:rFonts w:eastAsia="宋体" w:ascii="Times New Roman" w:cs="Times New Roman" w:hAnsi="Times New Roman"/>
          <w:sz w:val="22"/>
        </w:rPr>
        <w:t xml:space="preserve"> Puede que se sienta vulnerable, asustado, avergonzado o molesto, </w:t>
      </w:r>
      <w:r>
        <w:rPr>
          <w:rFonts w:eastAsia="宋体" w:ascii="Times New Roman" w:cs="Times New Roman" w:hAnsi="Times New Roman"/>
          <w:sz w:val="22"/>
        </w:rPr>
        <w:t xml:space="preserve">así que hazle saber </w:t>
      </w:r>
      <w:r>
        <w:rPr>
          <w:rFonts w:eastAsia="宋体" w:ascii="Times New Roman" w:cs="Times New Roman" w:hAnsi="Times New Roman"/>
          <w:sz w:val="22"/>
        </w:rPr>
        <w:t xml:space="preserve">lo mucho que te </w:t>
      </w:r>
      <w:r>
        <w:rPr>
          <w:rFonts w:eastAsia="宋体" w:ascii="Times New Roman" w:cs="Times New Roman" w:hAnsi="Times New Roman"/>
          <w:sz w:val="22"/>
        </w:rPr>
        <w:t>alegra</w:t>
      </w:r>
      <w:r>
        <w:rPr>
          <w:rFonts w:eastAsia="宋体" w:ascii="Times New Roman" w:cs="Times New Roman" w:hAnsi="Times New Roman"/>
          <w:sz w:val="22"/>
        </w:rPr>
        <w:t xml:space="preserve"> que haya acudido a ti</w:t>
      </w:r>
      <w:r>
        <w:rPr>
          <w:rFonts w:eastAsia="宋体" w:ascii="Times New Roman" w:cs="Times New Roman" w:hAnsi="Times New Roman"/>
          <w:sz w:val="22"/>
        </w:rPr>
        <w:t>, escúchalo sin recriminaciones, hazle preguntas y céntrate en las soluciones.</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numPr>
          <w:numId w:val="4"/>
        </w:numPr>
        <w:ind w:left="0"/>
        <w:jc w:val="left"/>
      </w:pPr>
      <w:r>
        <w:rPr>
          <w:rFonts w:eastAsia="宋体" w:ascii="Times New Roman" w:cs="Times New Roman" w:hAnsi="Times New Roman"/>
          <w:b w:val="true"/>
          <w:sz w:val="22"/>
        </w:rPr>
        <w:t xml:space="preserve">"Confía en mí" - </w:t>
      </w:r>
      <w:r>
        <w:rPr>
          <w:rFonts w:eastAsia="宋体" w:ascii="Times New Roman" w:cs="Times New Roman" w:hAnsi="Times New Roman"/>
          <w:sz w:val="22"/>
        </w:rPr>
        <w:t>Los adolescentes entienden que la confianza hay que ganársela y esperan la supervisión de un adulto</w:t>
      </w:r>
      <w:r>
        <w:rPr>
          <w:rFonts w:eastAsia="宋体" w:ascii="Times New Roman" w:cs="Times New Roman" w:hAnsi="Times New Roman"/>
          <w:sz w:val="22"/>
        </w:rPr>
        <w:t>, pero sienten</w:t>
      </w:r>
      <w:r>
        <w:rPr>
          <w:rFonts w:eastAsia="宋体" w:ascii="Times New Roman" w:cs="Times New Roman" w:hAnsi="Times New Roman"/>
          <w:sz w:val="22"/>
        </w:rPr>
        <w:t xml:space="preserve"> que es apropiado tener una mayor autonomía a medida que crecen. Cada familia es diferente y el ritmo al que un adolescente avanza hacia el uso independiente de la tecnología variará, pero si </w:t>
      </w:r>
      <w:r>
        <w:rPr>
          <w:rFonts w:eastAsia="宋体" w:ascii="Times New Roman" w:cs="Times New Roman" w:hAnsi="Times New Roman"/>
          <w:sz w:val="22"/>
        </w:rPr>
        <w:t>tu hijo</w:t>
      </w:r>
      <w:r>
        <w:rPr>
          <w:rFonts w:eastAsia="宋体" w:ascii="Times New Roman" w:cs="Times New Roman" w:hAnsi="Times New Roman"/>
          <w:sz w:val="22"/>
        </w:rPr>
        <w:t xml:space="preserve"> adolescente</w:t>
      </w:r>
      <w:r>
        <w:rPr>
          <w:rFonts w:eastAsia="宋体" w:ascii="Times New Roman" w:cs="Times New Roman" w:hAnsi="Times New Roman"/>
          <w:sz w:val="22"/>
        </w:rPr>
        <w:t xml:space="preserve"> sabe cómo navegar por las plataformas de forma segura y acude a ti cuando las cosas van mal, esa es una gran base para la confianza.</w:t>
      </w:r>
      <w:r>
        <w:rPr>
          <w:rFonts w:eastAsia="宋体" w:ascii="Times New Roman" w:cs="Times New Roman" w:hAnsi="Times New Roman"/>
          <w:b w:val="true"/>
          <w:sz w:val="22"/>
        </w:rPr>
        <w:t xml:space="preserve">  </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numPr>
          <w:numId w:val="5"/>
        </w:numPr>
        <w:ind w:left="0"/>
        <w:jc w:val="left"/>
      </w:pPr>
      <w:r>
        <w:rPr>
          <w:rFonts w:eastAsia="宋体" w:ascii="Times New Roman" w:cs="Times New Roman" w:hAnsi="Times New Roman"/>
          <w:b w:val="true"/>
          <w:sz w:val="22"/>
        </w:rPr>
        <w:t xml:space="preserve">"Respeta mi privacidad" - </w:t>
      </w:r>
      <w:r>
        <w:rPr>
          <w:rFonts w:eastAsia="宋体" w:ascii="Times New Roman" w:cs="Times New Roman" w:hAnsi="Times New Roman"/>
          <w:sz w:val="22"/>
        </w:rPr>
        <w:t xml:space="preserve">Encontrar el equilibrio entre las expectativas de privacidad de un adolescente y garantizar su seguridad es uno de los aspectos más complicados de la crianza de los hijos, tanto dentro como fuera de Internet. Puede ser difícil cuando un adolescente te dice que prefiere que no le sigas en una plataforma. Es natural preocuparse de que estén haciendo alguna travesura, cuando en realidad es probable que solo quieran un poco de espacio para pasar el rato con sus amigos sin ser vigilados. </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
</w:t>
      </w:r>
    </w:p>
    <w:sectPr>
      <w:footerReference w:type="default" r:id="rId3"/>
      <w:headerReference w:type="default" r:id="rId9"/>
    </w:sectPr>
  </w:body>
</w:document>
</file>

<file path=word/footer1.xml><?xml version="1.0" encoding="utf-8"?>
<w:ftr xmlns:w="http://schemas.openxmlformats.org/wordprocessingml/2006/main">
  <w:p/>
</w:ftr>
</file>

<file path=word/header1.xml><?xml version="1.0" encoding="utf-8"?>
<w:hdr xmlns:w="http://schemas.openxmlformats.org/wordprocessingml/2006/main">
  <w:p/>
</w:hdr>
</file>

<file path=word/numbering.xml><?xml version="1.0" encoding="utf-8"?>
<w:numbering xmlns:w="http://schemas.openxmlformats.org/wordprocessingml/2006/main">
  <w:abstractNum w:abstractNumId="1">
    <w:lvl>
      <w:start w:val="1"/>
      <w:numFmt w:val="decimal"/>
      <w:suff w:val="space"/>
      <w:lvlText w:val="%1."/>
      <w:rPr>
        <w:color w:val="0070f0"/>
      </w:rPr>
    </w:lvl>
  </w:abstractNum>
  <w:abstractNum w:abstractNumId="2">
    <w:lvl>
      <w:start w:val="2"/>
      <w:numFmt w:val="decimal"/>
      <w:suff w:val="space"/>
      <w:lvlText w:val="%1."/>
      <w:rPr>
        <w:color w:val="0070f0"/>
      </w:rPr>
    </w:lvl>
  </w:abstractNum>
  <w:abstractNum w:abstractNumId="3">
    <w:lvl>
      <w:start w:val="3"/>
      <w:numFmt w:val="decimal"/>
      <w:suff w:val="space"/>
      <w:lvlText w:val="%1."/>
      <w:rPr>
        <w:color w:val="0070f0"/>
      </w:rPr>
    </w:lvl>
  </w:abstractNum>
  <w:abstractNum w:abstractNumId="4">
    <w:lvl>
      <w:start w:val="4"/>
      <w:numFmt w:val="decimal"/>
      <w:suff w:val="space"/>
      <w:lvlText w:val="%1."/>
      <w:rPr>
        <w:color w:val="0070f0"/>
      </w:rPr>
    </w:lvl>
  </w:abstractNum>
  <w:abstractNum w:abstractNumId="5">
    <w:lvl>
      <w:start w:val="5"/>
      <w:numFmt w:val="decimal"/>
      <w:suff w:val="space"/>
      <w:lvlText w:val="%1."/>
      <w:rPr>
        <w:color w:val="0070f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file>

<file path=word/styles.xml><?xml version="1.0" encoding="utf-8"?>
<w:styles xmlns:w="http://schemas.openxmlformats.org/wordprocessingml/2006/main"/>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styles.xml" Type="http://schemas.openxmlformats.org/officeDocument/2006/relationships/styles"/><Relationship Id="rId3" Target="footer1.xml" Type="http://schemas.openxmlformats.org/officeDocument/2006/relationships/footer"/><Relationship Id="rId4" Target="https://www.tiktok.com/safety/es-latam/guardians-guide/" TargetMode="External" Type="http://schemas.openxmlformats.org/officeDocument/2006/relationships/hyperlink"/><Relationship Id="rId5" Target="https://www.tiktok.com/safety/es-latam/" TargetMode="External" Type="http://schemas.openxmlformats.org/officeDocument/2006/relationships/hyperlink"/><Relationship Id="rId6" Target="media/image1.png" Type="http://schemas.openxmlformats.org/officeDocument/2006/relationships/image"/><Relationship Id="rId7" Target="media/image2.png" Type="http://schemas.openxmlformats.org/officeDocument/2006/relationships/image"/><Relationship Id="rId8" Target="numbering.xml" Type="http://schemas.openxmlformats.org/officeDocument/2006/relationships/numbering"/><Relationship Id="rId9" Target="header1.xml" Type="http://schemas.openxmlformats.org/officeDocument/2006/relationships/header"/></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2021-09-01T18:18:02Z</dcterms:created>
  <dc:creator>Apache POI</dc:creator>
</cp:coreProperties>
</file>