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86E6" w14:textId="24A6C66B" w:rsidR="00B94DB5" w:rsidRDefault="00B94DB5">
      <w:pPr>
        <w:pBdr>
          <w:top w:val="nil"/>
          <w:left w:val="nil"/>
          <w:bottom w:val="nil"/>
          <w:right w:val="nil"/>
          <w:between w:val="nil"/>
        </w:pBdr>
        <w:spacing w:after="0"/>
        <w:ind w:firstLine="720"/>
        <w:jc w:val="right"/>
        <w:rPr>
          <w:rFonts w:ascii="Cabin" w:eastAsia="Cabin" w:hAnsi="Cabin" w:cs="Cabin"/>
          <w:b/>
          <w:color w:val="000000"/>
          <w:sz w:val="22"/>
          <w:szCs w:val="22"/>
        </w:rPr>
      </w:pPr>
    </w:p>
    <w:p w14:paraId="3F67CBEB" w14:textId="549C594F" w:rsidR="00B94DB5" w:rsidRDefault="00DA1AE8">
      <w:pPr>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14:paraId="0C06D037" w14:textId="7E43D88A" w:rsidR="00B94DB5" w:rsidRDefault="00B94DB5">
      <w:pPr>
        <w:pBdr>
          <w:top w:val="nil"/>
          <w:left w:val="nil"/>
          <w:bottom w:val="nil"/>
          <w:right w:val="nil"/>
          <w:between w:val="nil"/>
        </w:pBdr>
        <w:spacing w:after="0"/>
        <w:ind w:firstLine="720"/>
        <w:jc w:val="center"/>
        <w:rPr>
          <w:rFonts w:ascii="Cabin" w:eastAsia="Cabin" w:hAnsi="Cabin" w:cs="Cabin"/>
          <w:b/>
          <w:color w:val="000000"/>
          <w:sz w:val="22"/>
          <w:szCs w:val="22"/>
        </w:rPr>
      </w:pPr>
    </w:p>
    <w:p w14:paraId="7C6E7949" w14:textId="5CD76DB8" w:rsidR="00B94DB5" w:rsidRDefault="00B94DB5">
      <w:pPr>
        <w:pBdr>
          <w:top w:val="nil"/>
          <w:left w:val="nil"/>
          <w:bottom w:val="nil"/>
          <w:right w:val="nil"/>
          <w:between w:val="nil"/>
        </w:pBdr>
        <w:spacing w:after="0"/>
        <w:jc w:val="center"/>
        <w:rPr>
          <w:rFonts w:ascii="Cabin" w:eastAsia="Cabin" w:hAnsi="Cabin" w:cs="Cabin"/>
          <w:b/>
          <w:color w:val="000000"/>
        </w:rPr>
      </w:pPr>
    </w:p>
    <w:p w14:paraId="352FE546" w14:textId="6044FE49" w:rsidR="00B94DB5" w:rsidRDefault="00DA1AE8">
      <w:pPr>
        <w:spacing w:after="0" w:line="336" w:lineRule="auto"/>
        <w:jc w:val="center"/>
        <w:rPr>
          <w:rFonts w:ascii="Cabin" w:eastAsia="Cabin" w:hAnsi="Cabin" w:cs="Cabin"/>
          <w:b/>
          <w:i/>
          <w:sz w:val="26"/>
          <w:szCs w:val="26"/>
        </w:rPr>
      </w:pPr>
      <w:proofErr w:type="spellStart"/>
      <w:r>
        <w:rPr>
          <w:rFonts w:ascii="Cabin" w:eastAsia="Cabin" w:hAnsi="Cabin" w:cs="Cabin"/>
          <w:b/>
        </w:rPr>
        <w:t>Sonarworks</w:t>
      </w:r>
      <w:proofErr w:type="spellEnd"/>
      <w:r>
        <w:rPr>
          <w:rFonts w:ascii="Cabin" w:eastAsia="Cabin" w:hAnsi="Cabin" w:cs="Cabin"/>
          <w:b/>
        </w:rPr>
        <w:t xml:space="preserve"> and </w:t>
      </w:r>
      <w:proofErr w:type="spellStart"/>
      <w:r>
        <w:rPr>
          <w:rFonts w:ascii="Cabin" w:eastAsia="Cabin" w:hAnsi="Cabin" w:cs="Cabin"/>
          <w:b/>
        </w:rPr>
        <w:t>Focusrite</w:t>
      </w:r>
      <w:proofErr w:type="spellEnd"/>
      <w:r>
        <w:rPr>
          <w:rFonts w:ascii="Cabin" w:eastAsia="Cabin" w:hAnsi="Cabin" w:cs="Cabin"/>
          <w:b/>
        </w:rPr>
        <w:t xml:space="preserve"> Offer Users Free Limited-Time Reference 4 Headphone Edition License with Product Registration</w:t>
      </w:r>
      <w:r>
        <w:rPr>
          <w:rFonts w:ascii="Cabin" w:eastAsia="Cabin" w:hAnsi="Cabin" w:cs="Cabin"/>
          <w:i/>
        </w:rPr>
        <w:br/>
        <w:t xml:space="preserve">New and Existing </w:t>
      </w:r>
      <w:proofErr w:type="spellStart"/>
      <w:r>
        <w:rPr>
          <w:rFonts w:ascii="Cabin" w:eastAsia="Cabin" w:hAnsi="Cabin" w:cs="Cabin"/>
          <w:i/>
        </w:rPr>
        <w:t>Focusrite</w:t>
      </w:r>
      <w:proofErr w:type="spellEnd"/>
      <w:r>
        <w:rPr>
          <w:rFonts w:ascii="Cabin" w:eastAsia="Cabin" w:hAnsi="Cabin" w:cs="Cabin"/>
          <w:i/>
        </w:rPr>
        <w:t xml:space="preserve"> Customers Can Register Online </w:t>
      </w:r>
      <w:proofErr w:type="gramStart"/>
      <w:r>
        <w:rPr>
          <w:rFonts w:ascii="Cabin" w:eastAsia="Cabin" w:hAnsi="Cabin" w:cs="Cabin"/>
          <w:i/>
        </w:rPr>
        <w:t>By</w:t>
      </w:r>
      <w:proofErr w:type="gramEnd"/>
      <w:r>
        <w:rPr>
          <w:rFonts w:ascii="Cabin" w:eastAsia="Cabin" w:hAnsi="Cabin" w:cs="Cabin"/>
          <w:i/>
        </w:rPr>
        <w:t xml:space="preserve"> May 2</w:t>
      </w:r>
      <w:r>
        <w:rPr>
          <w:rFonts w:ascii="Cabin" w:eastAsia="Cabin" w:hAnsi="Cabin" w:cs="Cabin"/>
          <w:b/>
          <w:i/>
          <w:sz w:val="26"/>
          <w:szCs w:val="26"/>
        </w:rPr>
        <w:br/>
      </w:r>
    </w:p>
    <w:p w14:paraId="097B7CBC" w14:textId="1339B60F" w:rsidR="00B94DB5" w:rsidRDefault="00DF60F1">
      <w:pPr>
        <w:spacing w:after="0" w:line="336" w:lineRule="auto"/>
        <w:rPr>
          <w:rFonts w:ascii="Cabin" w:eastAsia="Cabin" w:hAnsi="Cabin" w:cs="Cabin"/>
        </w:rPr>
      </w:pPr>
      <w:r>
        <w:rPr>
          <w:rFonts w:ascii="Cabin" w:eastAsia="Cabin" w:hAnsi="Cabin" w:cs="Cabin"/>
          <w:b/>
        </w:rPr>
        <w:t xml:space="preserve">Riga, Latvia, </w:t>
      </w:r>
      <w:r w:rsidR="00DA1AE8">
        <w:rPr>
          <w:rFonts w:ascii="Cabin" w:eastAsia="Cabin" w:hAnsi="Cabin" w:cs="Cabin"/>
          <w:b/>
        </w:rPr>
        <w:t xml:space="preserve">April </w:t>
      </w:r>
      <w:r w:rsidR="000F25E1">
        <w:rPr>
          <w:rFonts w:ascii="Cabin" w:eastAsia="Cabin" w:hAnsi="Cabin" w:cs="Cabin"/>
          <w:b/>
        </w:rPr>
        <w:t>8</w:t>
      </w:r>
      <w:r w:rsidR="00DA1AE8">
        <w:rPr>
          <w:rFonts w:ascii="Cabin" w:eastAsia="Cabin" w:hAnsi="Cabin" w:cs="Cabin"/>
          <w:b/>
        </w:rPr>
        <w:t>, 2019 –</w:t>
      </w:r>
      <w:r w:rsidR="00DA1AE8">
        <w:rPr>
          <w:rFonts w:ascii="Cabin" w:eastAsia="Cabin" w:hAnsi="Cabin" w:cs="Cabin"/>
        </w:rPr>
        <w:t xml:space="preserve"> European audio software innovator </w:t>
      </w:r>
      <w:proofErr w:type="spellStart"/>
      <w:r w:rsidR="00DA1AE8">
        <w:rPr>
          <w:rFonts w:ascii="Cabin" w:eastAsia="Cabin" w:hAnsi="Cabin" w:cs="Cabin"/>
        </w:rPr>
        <w:t>Sonarworks</w:t>
      </w:r>
      <w:proofErr w:type="spellEnd"/>
      <w:r w:rsidR="00DA1AE8">
        <w:rPr>
          <w:rFonts w:ascii="Cabin" w:eastAsia="Cabin" w:hAnsi="Cabin" w:cs="Cabin"/>
        </w:rPr>
        <w:t xml:space="preserve"> is offering </w:t>
      </w:r>
      <w:proofErr w:type="spellStart"/>
      <w:r w:rsidR="00DA1AE8">
        <w:rPr>
          <w:rFonts w:ascii="Cabin" w:eastAsia="Cabin" w:hAnsi="Cabin" w:cs="Cabin"/>
        </w:rPr>
        <w:t>Focusrite</w:t>
      </w:r>
      <w:proofErr w:type="spellEnd"/>
      <w:r w:rsidR="00DA1AE8">
        <w:rPr>
          <w:rFonts w:ascii="Cabin" w:eastAsia="Cabin" w:hAnsi="Cabin" w:cs="Cabin"/>
        </w:rPr>
        <w:t xml:space="preserve"> users a free software license of Reference 4 Headphone Edition for those who register their </w:t>
      </w:r>
      <w:proofErr w:type="spellStart"/>
      <w:r w:rsidR="00DA1AE8">
        <w:rPr>
          <w:rFonts w:ascii="Cabin" w:eastAsia="Cabin" w:hAnsi="Cabin" w:cs="Cabin"/>
        </w:rPr>
        <w:t>Focusrite</w:t>
      </w:r>
      <w:proofErr w:type="spellEnd"/>
      <w:r w:rsidR="00DA1AE8">
        <w:rPr>
          <w:rFonts w:ascii="Cabin" w:eastAsia="Cabin" w:hAnsi="Cabin" w:cs="Cabin"/>
        </w:rPr>
        <w:t xml:space="preserve"> hardware products with </w:t>
      </w:r>
      <w:proofErr w:type="spellStart"/>
      <w:r w:rsidR="00DA1AE8">
        <w:rPr>
          <w:rFonts w:ascii="Cabin" w:eastAsia="Cabin" w:hAnsi="Cabin" w:cs="Cabin"/>
        </w:rPr>
        <w:t>Focusrite’s</w:t>
      </w:r>
      <w:proofErr w:type="spellEnd"/>
      <w:r w:rsidR="00DA1AE8">
        <w:rPr>
          <w:rFonts w:ascii="Cabin" w:eastAsia="Cabin" w:hAnsi="Cabin" w:cs="Cabin"/>
        </w:rPr>
        <w:t xml:space="preserve"> Plug-In Collective before May 2, 2019. New </w:t>
      </w:r>
      <w:proofErr w:type="spellStart"/>
      <w:r w:rsidR="00DA1AE8">
        <w:rPr>
          <w:rFonts w:ascii="Cabin" w:eastAsia="Cabin" w:hAnsi="Cabin" w:cs="Cabin"/>
        </w:rPr>
        <w:t>Focusrite</w:t>
      </w:r>
      <w:proofErr w:type="spellEnd"/>
      <w:r w:rsidR="00DA1AE8">
        <w:rPr>
          <w:rFonts w:ascii="Cabin" w:eastAsia="Cabin" w:hAnsi="Cabin" w:cs="Cabin"/>
        </w:rPr>
        <w:t xml:space="preserve"> hardware users need only register an account on the </w:t>
      </w:r>
      <w:proofErr w:type="spellStart"/>
      <w:r w:rsidR="00DA1AE8">
        <w:rPr>
          <w:rFonts w:ascii="Cabin" w:eastAsia="Cabin" w:hAnsi="Cabin" w:cs="Cabin"/>
        </w:rPr>
        <w:t>Focusrite</w:t>
      </w:r>
      <w:proofErr w:type="spellEnd"/>
      <w:r w:rsidR="00DA1AE8">
        <w:rPr>
          <w:rFonts w:ascii="Cabin" w:eastAsia="Cabin" w:hAnsi="Cabin" w:cs="Cabin"/>
        </w:rPr>
        <w:t xml:space="preserve"> website, while existing users can log into their account and download the software and license before May 2. The software license is valid until October 1, 2019. </w:t>
      </w:r>
      <w:bookmarkStart w:id="0" w:name="_GoBack"/>
      <w:bookmarkEnd w:id="0"/>
    </w:p>
    <w:p w14:paraId="616CE4A7" w14:textId="2C40B41A" w:rsidR="00B94DB5" w:rsidRDefault="00DF60F1">
      <w:pPr>
        <w:spacing w:after="0" w:line="336" w:lineRule="auto"/>
        <w:rPr>
          <w:rFonts w:ascii="Cabin" w:eastAsia="Cabin" w:hAnsi="Cabin" w:cs="Cabin"/>
        </w:rPr>
      </w:pPr>
      <w:r>
        <w:rPr>
          <w:rFonts w:ascii="Cabin" w:eastAsia="Cabin" w:hAnsi="Cabin" w:cs="Cabin"/>
          <w:noProof/>
        </w:rPr>
        <w:drawing>
          <wp:anchor distT="0" distB="0" distL="114300" distR="114300" simplePos="0" relativeHeight="251658240" behindDoc="1" locked="0" layoutInCell="1" allowOverlap="1" wp14:anchorId="1A05FBCC" wp14:editId="4661304A">
            <wp:simplePos x="0" y="0"/>
            <wp:positionH relativeFrom="column">
              <wp:posOffset>2201</wp:posOffset>
            </wp:positionH>
            <wp:positionV relativeFrom="paragraph">
              <wp:posOffset>263085</wp:posOffset>
            </wp:positionV>
            <wp:extent cx="2898140" cy="1964055"/>
            <wp:effectExtent l="0" t="0" r="0" b="4445"/>
            <wp:wrapTight wrapText="bothSides">
              <wp:wrapPolygon edited="0">
                <wp:start x="95" y="0"/>
                <wp:lineTo x="0" y="559"/>
                <wp:lineTo x="0" y="20532"/>
                <wp:lineTo x="95" y="21509"/>
                <wp:lineTo x="21392" y="21509"/>
                <wp:lineTo x="21486" y="20532"/>
                <wp:lineTo x="21486" y="559"/>
                <wp:lineTo x="21392" y="0"/>
                <wp:lineTo x="9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arworks Reference 4.1 – Systemwide – Headphon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8140" cy="1964055"/>
                    </a:xfrm>
                    <a:prstGeom prst="rect">
                      <a:avLst/>
                    </a:prstGeom>
                  </pic:spPr>
                </pic:pic>
              </a:graphicData>
            </a:graphic>
            <wp14:sizeRelH relativeFrom="page">
              <wp14:pctWidth>0</wp14:pctWidth>
            </wp14:sizeRelH>
            <wp14:sizeRelV relativeFrom="page">
              <wp14:pctHeight>0</wp14:pctHeight>
            </wp14:sizeRelV>
          </wp:anchor>
        </w:drawing>
      </w:r>
    </w:p>
    <w:p w14:paraId="298CC8E4" w14:textId="481D6F39" w:rsidR="00B94DB5" w:rsidRDefault="00DA1AE8">
      <w:pPr>
        <w:spacing w:after="0" w:line="336" w:lineRule="auto"/>
        <w:rPr>
          <w:rFonts w:ascii="Cabin" w:eastAsia="Cabin" w:hAnsi="Cabin" w:cs="Cabin"/>
          <w:color w:val="333333"/>
          <w:highlight w:val="white"/>
        </w:rPr>
      </w:pPr>
      <w:r>
        <w:rPr>
          <w:rFonts w:ascii="Cabin" w:eastAsia="Cabin" w:hAnsi="Cabin" w:cs="Cabin"/>
        </w:rPr>
        <w:t xml:space="preserve">Reference 4 Headphone Edition is a </w:t>
      </w:r>
      <w:r w:rsidR="00D45D1A">
        <w:rPr>
          <w:rFonts w:ascii="Cabin" w:eastAsia="Cabin" w:hAnsi="Cabin" w:cs="Cabin"/>
        </w:rPr>
        <w:t>more streamlined</w:t>
      </w:r>
      <w:r>
        <w:rPr>
          <w:rFonts w:ascii="Cabin" w:eastAsia="Cabin" w:hAnsi="Cabin" w:cs="Cabin"/>
        </w:rPr>
        <w:t xml:space="preserve"> edition of </w:t>
      </w:r>
      <w:proofErr w:type="spellStart"/>
      <w:r>
        <w:rPr>
          <w:rFonts w:ascii="Cabin" w:eastAsia="Cabin" w:hAnsi="Cabin" w:cs="Cabin"/>
        </w:rPr>
        <w:t>Sonarworks</w:t>
      </w:r>
      <w:proofErr w:type="spellEnd"/>
      <w:r>
        <w:rPr>
          <w:rFonts w:ascii="Cabin" w:eastAsia="Cabin" w:hAnsi="Cabin" w:cs="Cabin"/>
        </w:rPr>
        <w:t xml:space="preserve">’ flagship audio calibration software, aimed towards music creators who monitor entirely on headphones and mix wherever their work takes them. The software calibrates all supported headphone models to a neutral Studio Reference standard, providing consistent and accurate sound that allows creators to make confident mixing decisions and trust that their mixes will translate appropriately regardless of the playback device. The software consists of </w:t>
      </w:r>
      <w:r>
        <w:rPr>
          <w:rFonts w:ascii="Cabin" w:eastAsia="Cabin" w:hAnsi="Cabin" w:cs="Cabin"/>
          <w:color w:val="333333"/>
          <w:highlight w:val="white"/>
        </w:rPr>
        <w:t xml:space="preserve">a DAW plug-in as well a Systemwide app, and currently supports over 200 models of headphones and counting. </w:t>
      </w:r>
    </w:p>
    <w:p w14:paraId="19038DB9" w14:textId="77777777" w:rsidR="00B94DB5" w:rsidRDefault="00B94DB5">
      <w:pPr>
        <w:spacing w:after="0" w:line="336" w:lineRule="auto"/>
        <w:rPr>
          <w:rFonts w:ascii="Cabin" w:eastAsia="Cabin" w:hAnsi="Cabin" w:cs="Cabin"/>
          <w:color w:val="333333"/>
          <w:highlight w:val="white"/>
        </w:rPr>
      </w:pPr>
    </w:p>
    <w:p w14:paraId="3860C335" w14:textId="77777777" w:rsidR="00B94DB5" w:rsidRDefault="00DA1AE8">
      <w:pPr>
        <w:spacing w:after="0" w:line="336" w:lineRule="auto"/>
        <w:rPr>
          <w:rFonts w:ascii="Cabin" w:eastAsia="Cabin" w:hAnsi="Cabin" w:cs="Cabin"/>
          <w:color w:val="333333"/>
          <w:highlight w:val="white"/>
        </w:rPr>
      </w:pPr>
      <w:r>
        <w:rPr>
          <w:rFonts w:ascii="Cabin" w:eastAsia="Cabin" w:hAnsi="Cabin" w:cs="Cabin"/>
          <w:color w:val="333333"/>
          <w:highlight w:val="white"/>
        </w:rPr>
        <w:t xml:space="preserve">“This partnering has been a great opportunity for us to deliver an accurate reference sound to even more users,” said </w:t>
      </w:r>
      <w:proofErr w:type="spellStart"/>
      <w:r>
        <w:rPr>
          <w:rFonts w:ascii="Cabin" w:eastAsia="Cabin" w:hAnsi="Cabin" w:cs="Cabin"/>
          <w:color w:val="333333"/>
          <w:highlight w:val="white"/>
        </w:rPr>
        <w:t>Sonarworks</w:t>
      </w:r>
      <w:proofErr w:type="spellEnd"/>
      <w:r>
        <w:rPr>
          <w:rFonts w:ascii="Cabin" w:eastAsia="Cabin" w:hAnsi="Cabin" w:cs="Cabin"/>
          <w:color w:val="333333"/>
          <w:highlight w:val="white"/>
        </w:rPr>
        <w:t xml:space="preserve">’ Co-Founder and VP Martins </w:t>
      </w:r>
      <w:proofErr w:type="spellStart"/>
      <w:r>
        <w:rPr>
          <w:rFonts w:ascii="Cabin" w:eastAsia="Cabin" w:hAnsi="Cabin" w:cs="Cabin"/>
          <w:color w:val="333333"/>
          <w:highlight w:val="white"/>
        </w:rPr>
        <w:t>Popelis</w:t>
      </w:r>
      <w:proofErr w:type="spellEnd"/>
      <w:r>
        <w:rPr>
          <w:rFonts w:ascii="Cabin" w:eastAsia="Cabin" w:hAnsi="Cabin" w:cs="Cabin"/>
          <w:color w:val="333333"/>
          <w:highlight w:val="white"/>
        </w:rPr>
        <w:t xml:space="preserve">. “We’re glad that we’re together on this mission with </w:t>
      </w:r>
      <w:proofErr w:type="spellStart"/>
      <w:r>
        <w:rPr>
          <w:rFonts w:ascii="Cabin" w:eastAsia="Cabin" w:hAnsi="Cabin" w:cs="Cabin"/>
          <w:color w:val="333333"/>
          <w:highlight w:val="white"/>
        </w:rPr>
        <w:t>Focusrite</w:t>
      </w:r>
      <w:proofErr w:type="spellEnd"/>
      <w:r>
        <w:rPr>
          <w:rFonts w:ascii="Cabin" w:eastAsia="Cabin" w:hAnsi="Cabin" w:cs="Cabin"/>
          <w:color w:val="333333"/>
          <w:highlight w:val="white"/>
        </w:rPr>
        <w:t xml:space="preserve">.” </w:t>
      </w:r>
    </w:p>
    <w:p w14:paraId="732D894A" w14:textId="77777777" w:rsidR="00B94DB5" w:rsidRDefault="00B94DB5">
      <w:pPr>
        <w:pBdr>
          <w:top w:val="nil"/>
          <w:left w:val="nil"/>
          <w:bottom w:val="nil"/>
          <w:right w:val="nil"/>
          <w:between w:val="nil"/>
        </w:pBdr>
        <w:spacing w:after="0" w:line="336" w:lineRule="auto"/>
        <w:rPr>
          <w:rFonts w:ascii="Cabin" w:eastAsia="Cabin" w:hAnsi="Cabin" w:cs="Cabin"/>
        </w:rPr>
      </w:pPr>
    </w:p>
    <w:p w14:paraId="34F8CF33" w14:textId="77777777" w:rsidR="00B94DB5" w:rsidRDefault="00DA1AE8">
      <w:pPr>
        <w:pBdr>
          <w:top w:val="nil"/>
          <w:left w:val="nil"/>
          <w:bottom w:val="nil"/>
          <w:right w:val="nil"/>
          <w:between w:val="nil"/>
        </w:pBdr>
        <w:spacing w:after="0" w:line="336" w:lineRule="auto"/>
        <w:rPr>
          <w:rFonts w:ascii="Cabin" w:eastAsia="Cabin" w:hAnsi="Cabin" w:cs="Cabin"/>
        </w:rPr>
      </w:pPr>
      <w:r>
        <w:rPr>
          <w:rFonts w:ascii="Cabin" w:eastAsia="Cabin" w:hAnsi="Cabin" w:cs="Cabin"/>
          <w:color w:val="000000"/>
        </w:rPr>
        <w:lastRenderedPageBreak/>
        <w:t xml:space="preserve">For more information about this promotional offer, please visit </w:t>
      </w:r>
      <w:hyperlink r:id="rId7">
        <w:r>
          <w:rPr>
            <w:rFonts w:ascii="Cabin" w:eastAsia="Cabin" w:hAnsi="Cabin" w:cs="Cabin"/>
            <w:color w:val="0000FF"/>
            <w:u w:val="single"/>
          </w:rPr>
          <w:t>https://focusrite.com/news/plug-collective-sonarworks</w:t>
        </w:r>
      </w:hyperlink>
    </w:p>
    <w:p w14:paraId="48319FFC" w14:textId="77777777" w:rsidR="00B94DB5" w:rsidRDefault="00B94DB5">
      <w:pPr>
        <w:pBdr>
          <w:top w:val="nil"/>
          <w:left w:val="nil"/>
          <w:bottom w:val="nil"/>
          <w:right w:val="nil"/>
          <w:between w:val="nil"/>
        </w:pBdr>
        <w:spacing w:after="0" w:line="336" w:lineRule="auto"/>
        <w:rPr>
          <w:rFonts w:ascii="Cabin" w:eastAsia="Cabin" w:hAnsi="Cabin" w:cs="Cabin"/>
        </w:rPr>
      </w:pPr>
    </w:p>
    <w:p w14:paraId="32D352D3" w14:textId="77777777" w:rsidR="00B94DB5" w:rsidRDefault="00DA1AE8">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 xml:space="preserve">For more information about </w:t>
      </w:r>
      <w:proofErr w:type="spellStart"/>
      <w:r>
        <w:rPr>
          <w:rFonts w:ascii="Cabin" w:eastAsia="Cabin" w:hAnsi="Cabin" w:cs="Cabin"/>
          <w:color w:val="000000"/>
        </w:rPr>
        <w:t>Sonarworks</w:t>
      </w:r>
      <w:proofErr w:type="spellEnd"/>
      <w:r>
        <w:rPr>
          <w:rFonts w:ascii="Cabin" w:eastAsia="Cabin" w:hAnsi="Cabin" w:cs="Cabin"/>
          <w:color w:val="000000"/>
        </w:rPr>
        <w:t xml:space="preserve"> Reference 4 Headphone Edition, please visit </w:t>
      </w:r>
      <w:hyperlink r:id="rId8">
        <w:r>
          <w:rPr>
            <w:rFonts w:ascii="Cabin" w:eastAsia="Cabin" w:hAnsi="Cabin" w:cs="Cabin"/>
            <w:color w:val="0000FF"/>
            <w:u w:val="single"/>
          </w:rPr>
          <w:t>https://store.sonarworks.com/products/reference-4-headphone-edition</w:t>
        </w:r>
      </w:hyperlink>
    </w:p>
    <w:p w14:paraId="701D3F0B" w14:textId="77777777" w:rsidR="00B94DB5" w:rsidRDefault="00B94DB5">
      <w:pPr>
        <w:pBdr>
          <w:top w:val="nil"/>
          <w:left w:val="nil"/>
          <w:bottom w:val="nil"/>
          <w:right w:val="nil"/>
          <w:between w:val="nil"/>
        </w:pBdr>
        <w:spacing w:after="0" w:line="336" w:lineRule="auto"/>
        <w:rPr>
          <w:rFonts w:ascii="Cabin" w:eastAsia="Cabin" w:hAnsi="Cabin" w:cs="Cabin"/>
          <w:color w:val="000000"/>
        </w:rPr>
      </w:pPr>
    </w:p>
    <w:p w14:paraId="2D087365" w14:textId="77777777" w:rsidR="00B94DB5" w:rsidRDefault="00DA1AE8">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 xml:space="preserve">About </w:t>
      </w:r>
      <w:proofErr w:type="spellStart"/>
      <w:r>
        <w:rPr>
          <w:rFonts w:ascii="Cabin" w:eastAsia="Cabin" w:hAnsi="Cabin" w:cs="Cabin"/>
          <w:b/>
          <w:color w:val="000000"/>
        </w:rPr>
        <w:t>Sonarworks</w:t>
      </w:r>
      <w:proofErr w:type="spellEnd"/>
    </w:p>
    <w:p w14:paraId="383FC0D5" w14:textId="77777777" w:rsidR="00B94DB5" w:rsidRDefault="00DA1AE8">
      <w:pPr>
        <w:pBdr>
          <w:top w:val="nil"/>
          <w:left w:val="nil"/>
          <w:bottom w:val="nil"/>
          <w:right w:val="nil"/>
          <w:between w:val="nil"/>
        </w:pBdr>
        <w:spacing w:after="0" w:line="276" w:lineRule="auto"/>
        <w:rPr>
          <w:rFonts w:ascii="Cabin" w:eastAsia="Cabin" w:hAnsi="Cabin" w:cs="Cabin"/>
          <w:color w:val="000000"/>
        </w:rPr>
      </w:pPr>
      <w:bookmarkStart w:id="1" w:name="_gjdgxs" w:colFirst="0" w:colLast="0"/>
      <w:bookmarkEnd w:id="1"/>
      <w:proofErr w:type="spellStart"/>
      <w:r>
        <w:rPr>
          <w:rFonts w:ascii="Cabin" w:eastAsia="Cabin" w:hAnsi="Cabin" w:cs="Cabin"/>
          <w:color w:val="000000"/>
        </w:rPr>
        <w:t>Sonarworks</w:t>
      </w:r>
      <w:proofErr w:type="spellEnd"/>
      <w:r>
        <w:rPr>
          <w:rFonts w:ascii="Cabin" w:eastAsia="Cabin" w:hAnsi="Cabin" w:cs="Cabin"/>
          <w:color w:val="000000"/>
        </w:rPr>
        <w:t xml:space="preserve"> was founded in 2012 when two music lovers met a scientist and embarked on a mission to deliver the ultimate sound experience for anyone creating or listening to music. The company’s headquarters are based in Riga, Latvia and its customers consist of Grammy Award winning audio and music industry professionals, audiophiles and music lovers around the world. For more information on </w:t>
      </w:r>
      <w:proofErr w:type="spellStart"/>
      <w:r>
        <w:rPr>
          <w:rFonts w:ascii="Cabin" w:eastAsia="Cabin" w:hAnsi="Cabin" w:cs="Cabin"/>
          <w:color w:val="000000"/>
        </w:rPr>
        <w:t>Sonarworks</w:t>
      </w:r>
      <w:proofErr w:type="spellEnd"/>
      <w:r>
        <w:rPr>
          <w:rFonts w:ascii="Cabin" w:eastAsia="Cabin" w:hAnsi="Cabin" w:cs="Cabin"/>
          <w:color w:val="000000"/>
        </w:rPr>
        <w:t>, please visit www.sonarworks.com.</w:t>
      </w:r>
    </w:p>
    <w:p w14:paraId="00D58EBD" w14:textId="77777777" w:rsidR="00B94DB5" w:rsidRDefault="00B94DB5">
      <w:pPr>
        <w:pBdr>
          <w:top w:val="nil"/>
          <w:left w:val="nil"/>
          <w:bottom w:val="nil"/>
          <w:right w:val="nil"/>
          <w:between w:val="nil"/>
        </w:pBdr>
        <w:spacing w:after="0" w:line="276" w:lineRule="auto"/>
        <w:rPr>
          <w:rFonts w:ascii="Cabin" w:eastAsia="Cabin" w:hAnsi="Cabin" w:cs="Cabin"/>
          <w:color w:val="000000"/>
        </w:rPr>
      </w:pPr>
    </w:p>
    <w:p w14:paraId="1BD19698" w14:textId="77777777" w:rsidR="00B94DB5" w:rsidRDefault="00B94DB5">
      <w:pPr>
        <w:pBdr>
          <w:top w:val="nil"/>
          <w:left w:val="nil"/>
          <w:bottom w:val="nil"/>
          <w:right w:val="nil"/>
          <w:between w:val="nil"/>
        </w:pBdr>
        <w:spacing w:after="0" w:line="276" w:lineRule="auto"/>
        <w:rPr>
          <w:rFonts w:ascii="Cabin" w:eastAsia="Cabin" w:hAnsi="Cabin" w:cs="Cabin"/>
          <w:color w:val="000000"/>
        </w:rPr>
      </w:pPr>
    </w:p>
    <w:p w14:paraId="528B05F5" w14:textId="77777777" w:rsidR="00B94DB5" w:rsidRDefault="00B94DB5">
      <w:pPr>
        <w:pBdr>
          <w:top w:val="nil"/>
          <w:left w:val="nil"/>
          <w:bottom w:val="nil"/>
          <w:right w:val="nil"/>
          <w:between w:val="nil"/>
        </w:pBdr>
        <w:spacing w:after="0" w:line="276" w:lineRule="auto"/>
        <w:rPr>
          <w:rFonts w:ascii="Cabin" w:eastAsia="Cabin" w:hAnsi="Cabin" w:cs="Cabin"/>
          <w:color w:val="000000"/>
        </w:rPr>
      </w:pPr>
    </w:p>
    <w:p w14:paraId="3A706AF3" w14:textId="77777777" w:rsidR="00B94DB5" w:rsidRDefault="00DA1AE8">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14:paraId="05C3AD78" w14:textId="77777777" w:rsidR="00B94DB5" w:rsidRDefault="00DA1AE8">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Jeff </w:t>
      </w:r>
      <w:proofErr w:type="spellStart"/>
      <w:r>
        <w:rPr>
          <w:rFonts w:ascii="Cabin" w:eastAsia="Cabin" w:hAnsi="Cabin" w:cs="Cabin"/>
          <w:color w:val="000000"/>
        </w:rPr>
        <w:t>Touzeau</w:t>
      </w:r>
      <w:proofErr w:type="spellEnd"/>
    </w:p>
    <w:p w14:paraId="3EE2891E" w14:textId="77777777" w:rsidR="00B94DB5" w:rsidRDefault="00DA1AE8">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14:paraId="13B32A67" w14:textId="77777777" w:rsidR="00B94DB5" w:rsidRDefault="00DA1AE8">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Pr>
          <w:rFonts w:ascii="Cabin" w:eastAsia="Cabin" w:hAnsi="Cabin" w:cs="Cabin"/>
          <w:color w:val="000000"/>
        </w:rPr>
        <w:br/>
        <w:t>jeff@hummingbirdmedia.com</w:t>
      </w:r>
      <w:r>
        <w:rPr>
          <w:rFonts w:ascii="Cabin" w:eastAsia="Cabin" w:hAnsi="Cabin" w:cs="Cabin"/>
          <w:color w:val="000000"/>
        </w:rPr>
        <w:br/>
      </w:r>
    </w:p>
    <w:p w14:paraId="5B6E7779" w14:textId="77777777" w:rsidR="00B94DB5" w:rsidRDefault="00B94DB5">
      <w:pPr>
        <w:pBdr>
          <w:top w:val="nil"/>
          <w:left w:val="nil"/>
          <w:bottom w:val="nil"/>
          <w:right w:val="nil"/>
          <w:between w:val="nil"/>
        </w:pBdr>
        <w:rPr>
          <w:color w:val="0000FF"/>
          <w:sz w:val="22"/>
          <w:szCs w:val="22"/>
          <w:u w:val="single"/>
        </w:rPr>
      </w:pPr>
    </w:p>
    <w:sectPr w:rsidR="00B94DB5">
      <w:headerReference w:type="first" r:id="rId9"/>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E210" w14:textId="77777777" w:rsidR="00D86147" w:rsidRDefault="00D86147">
      <w:pPr>
        <w:spacing w:after="0"/>
      </w:pPr>
      <w:r>
        <w:separator/>
      </w:r>
    </w:p>
  </w:endnote>
  <w:endnote w:type="continuationSeparator" w:id="0">
    <w:p w14:paraId="6910780E" w14:textId="77777777" w:rsidR="00D86147" w:rsidRDefault="00D86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5D6E" w14:textId="77777777" w:rsidR="00D86147" w:rsidRDefault="00D86147">
      <w:pPr>
        <w:spacing w:after="0"/>
      </w:pPr>
      <w:r>
        <w:separator/>
      </w:r>
    </w:p>
  </w:footnote>
  <w:footnote w:type="continuationSeparator" w:id="0">
    <w:p w14:paraId="7D38562A" w14:textId="77777777" w:rsidR="00D86147" w:rsidRDefault="00D861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3169" w14:textId="77777777" w:rsidR="00B94DB5" w:rsidRDefault="00DA1AE8">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1C6F953F" wp14:editId="7FBD4B34">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78AB92A3" w14:textId="77777777" w:rsidR="00B94DB5" w:rsidRDefault="00B94DB5">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4DB5"/>
    <w:rsid w:val="000F25E1"/>
    <w:rsid w:val="00B94DB5"/>
    <w:rsid w:val="00D45D1A"/>
    <w:rsid w:val="00D86147"/>
    <w:rsid w:val="00DA1AE8"/>
    <w:rsid w:val="00D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EF5E"/>
  <w15:docId w15:val="{1656E15E-EDB4-314E-B6F1-2A65C002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sonarworks.com/products/reference-4-headphone-edition" TargetMode="External"/><Relationship Id="rId3" Type="http://schemas.openxmlformats.org/officeDocument/2006/relationships/webSettings" Target="webSettings.xml"/><Relationship Id="rId7" Type="http://schemas.openxmlformats.org/officeDocument/2006/relationships/hyperlink" Target="https://focusrite.com/news/plug-collective-sonarwo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2019-04-08T18:37:00Z</dcterms:created>
  <dcterms:modified xsi:type="dcterms:W3CDTF">2019-04-08T19:29:00Z</dcterms:modified>
</cp:coreProperties>
</file>