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EE086EC" w:rsidP="53739199" w:rsidRDefault="3EE086EC" w14:paraId="1AE267BE" w14:textId="7FB8947F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53739199" w:rsidR="43974D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Tendencias </w:t>
      </w:r>
      <w:r w:rsidRPr="53739199" w:rsidR="43974D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2025</w:t>
      </w:r>
      <w:r w:rsidRPr="53739199" w:rsidR="3C674D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para el</w:t>
      </w:r>
      <w:r w:rsidRPr="53739199" w:rsidR="43974D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marketing digital e </w:t>
      </w:r>
      <w:r w:rsidRPr="53739199" w:rsidR="43974D4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inbound</w:t>
      </w:r>
      <w:r w:rsidRPr="53739199" w:rsidR="2BDC37D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: </w:t>
      </w:r>
      <w:r w:rsidRPr="53739199" w:rsidR="2BDC37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el poder del video y la conexión de las comunidades</w:t>
      </w:r>
      <w:r w:rsidRPr="53739199" w:rsidR="39AD51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digitales como punto central</w:t>
      </w:r>
    </w:p>
    <w:p xmlns:wp14="http://schemas.microsoft.com/office/word/2010/wordml" w:rsidP="192752EF" wp14:paraId="04B1384B" wp14:textId="2D9F6BA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panorama del marketing digital está en constante transformación, y 2025 traerá cambios significativos. Desde el aumento del consumo de video hasta el uso generalizado de inteligencia artificial y el protagonismo de las comunidades creadoras, las marcas enfrentarán desafíos únicos.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Digital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r w:rsidRPr="192752EF" w:rsidR="6452BD5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192752EF" w:rsidR="7340FF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agencia de comunicación estratégica con la mayor oferta de servicios en América Latina,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comparte su perspectiva sobre las tendencias más relevantes que transformarán la conexión entre marcas y audiencias en </w:t>
      </w:r>
      <w:r w:rsidRPr="192752EF" w:rsidR="651F51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región. </w:t>
      </w:r>
    </w:p>
    <w:p xmlns:wp14="http://schemas.microsoft.com/office/word/2010/wordml" w:rsidP="697526DB" wp14:paraId="7645C549" wp14:textId="035B314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7526DB" w:rsidR="6452BD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1. La revolución</w:t>
      </w:r>
      <w:r w:rsidRPr="697526DB" w:rsidR="63FC94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total</w:t>
      </w:r>
      <w:r w:rsidRPr="697526DB" w:rsidR="6452BD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del video</w:t>
      </w:r>
    </w:p>
    <w:p xmlns:wp14="http://schemas.microsoft.com/office/word/2010/wordml" w:rsidP="192752EF" wp14:paraId="39094723" wp14:textId="70B1817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consumo de video ha evolucionado radicalmente, impulsado por el auge de los televisores inteligentes, mientras la frontera entre televisión tradicional y 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streaming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difumina. Según </w:t>
      </w:r>
      <w:hyperlink r:id="R1feaf46a15634251">
        <w:r w:rsidRPr="192752EF" w:rsidR="6452BD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Kantar Media Reactions 2024</w:t>
        </w:r>
      </w:hyperlink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el 55% de los anunciantes planea aumentar su inversión en 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TV 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streaming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lo que resalta la importancia de diversificar estrategias para captar audiencias fragmentadas.</w:t>
      </w:r>
    </w:p>
    <w:p xmlns:wp14="http://schemas.microsoft.com/office/word/2010/wordml" w:rsidP="192752EF" wp14:paraId="42D3C98A" wp14:textId="2E23DB5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señala que el reto para las marcas será equilibrar su mezcla de contenidos de video. </w:t>
      </w:r>
      <w:r w:rsidRPr="192752EF" w:rsidR="1FFF51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experta e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xplica que las preferencias varían según la demografía y la geografía, y comprender estos matices permitirá maximizar el impacto de las campañas. Para tener éxito en 2025, será crucial diseñar estrategias personalizadas que integren lo mejor de la televisión tradicional, el 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streaming</w:t>
      </w:r>
      <w:r w:rsidRPr="192752EF" w:rsidR="6452BD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 plataformas como YouTube.</w:t>
      </w:r>
    </w:p>
    <w:p xmlns:wp14="http://schemas.microsoft.com/office/word/2010/wordml" w:rsidP="192752EF" wp14:paraId="3E6BB676" wp14:textId="31119ED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2. La IA como herramienta estratégica y creativa</w:t>
      </w:r>
    </w:p>
    <w:p xmlns:wp14="http://schemas.microsoft.com/office/word/2010/wordml" w:rsidP="192752EF" wp14:paraId="723C4C72" wp14:textId="2B96239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inteligencia artificial </w:t>
      </w:r>
      <w:r w:rsidRPr="192752EF" w:rsidR="525E1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(IA) 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ha dejado de ser una novedad para convertirse en una necesidad. En 2025, se espera que el uso de IA generativa sea el estándar en marketing digital. Según </w:t>
      </w:r>
      <w:hyperlink w:anchor=":~:text=It's%20no%20wonder%2083%25%20of,Those%20robots%20are%20fast." r:id="Rbd2cb788be554015">
        <w:r w:rsidRPr="192752EF" w:rsidR="6452BD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HubSpot</w:t>
        </w:r>
      </w:hyperlink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el 83% de los profesionales del marketing considera que la IA mejora notablemente la creación de contenido, desde textos hasta imágenes y análisis estratégicos.</w:t>
      </w:r>
    </w:p>
    <w:p xmlns:wp14="http://schemas.microsoft.com/office/word/2010/wordml" w:rsidP="192752EF" wp14:paraId="6CA93069" wp14:textId="285D29D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destaca que la </w:t>
      </w:r>
      <w:r w:rsidRPr="192752EF" w:rsidR="6BDF9B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inteligencia artificial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será fundamental tanto para la creación de contenido como para la planificación estratégica. Señala que las herramientas de IA están ayudando a identificar oportunidades, predecir tendencias y mejorar la eficacia de las campañas en tiempo real. Las empresas que incorporen estas herramientas optimizarán su productividad y fortalecerán su posición competitiva.</w:t>
      </w:r>
    </w:p>
    <w:p xmlns:wp14="http://schemas.microsoft.com/office/word/2010/wordml" w:rsidP="192752EF" wp14:paraId="65322F79" wp14:textId="1C2024B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3. La fuerza de las comunidades lideradas por creadores</w:t>
      </w:r>
    </w:p>
    <w:p xmlns:wp14="http://schemas.microsoft.com/office/word/2010/wordml" w:rsidP="192752EF" wp14:paraId="02D43E79" wp14:textId="658E9D1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un entorno digital saturado, los creadores de contenido construyen comunidades auténticas y sólidas, superando incluso a las propias marcas. Según </w:t>
      </w:r>
      <w:hyperlink r:id="R38f47e4c267943c8">
        <w:r w:rsidRPr="192752EF" w:rsidR="6452BD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Goldman Sachs</w:t>
        </w:r>
      </w:hyperlink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la economía de los creadores podría alcanzar los 480 mil millones de dólares para 2027, brindando una oportunidad invaluable para conectar con las audiencias de forma genuina.</w:t>
      </w:r>
    </w:p>
    <w:p xmlns:wp14="http://schemas.microsoft.com/office/word/2010/wordml" w:rsidP="192752EF" wp14:paraId="02E33851" wp14:textId="670492F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7BD57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subraya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 el contenido liderado por creadores genera resonancia, establece confianza y fortalece el vínculo emocional con la marca. Añade que las marcas que logren alinear sus estrategias con estas comunidades influirán significativamente en la percepción de su público. </w:t>
      </w:r>
      <w:r w:rsidRPr="192752EF" w:rsidR="16C19E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experta en </w:t>
      </w:r>
      <w:r w:rsidRPr="192752EF" w:rsidR="16C19EF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192752EF" w:rsidR="16C19EF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92752EF" w:rsidR="16C19E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agrega que c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olaborar con creadores que compartan valores y visión será esencial para desarrollar campañas relevantes y auténticas</w:t>
      </w:r>
      <w:r w:rsidRPr="192752EF" w:rsidR="7544CE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las marcas o empresas</w:t>
      </w:r>
      <w:r w:rsidRPr="192752EF" w:rsidR="6452B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xmlns:wp14="http://schemas.microsoft.com/office/word/2010/wordml" w:rsidP="192752EF" wp14:paraId="5C1A07E2" wp14:textId="5502ECCD">
      <w:pPr>
        <w:jc w:val="center"/>
        <w:rPr>
          <w:rFonts w:ascii="Arial" w:hAnsi="Arial" w:eastAsia="Arial" w:cs="Arial"/>
        </w:rPr>
      </w:pPr>
      <w:r w:rsidRPr="192752EF" w:rsidR="32D5250C">
        <w:rPr>
          <w:rFonts w:ascii="Arial" w:hAnsi="Arial" w:eastAsia="Arial" w:cs="Arial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561E2F"/>
    <w:rsid w:val="050ED295"/>
    <w:rsid w:val="07C4F0D2"/>
    <w:rsid w:val="0DC2B90D"/>
    <w:rsid w:val="16C19EF7"/>
    <w:rsid w:val="192752EF"/>
    <w:rsid w:val="1B08F5A1"/>
    <w:rsid w:val="1FFF515F"/>
    <w:rsid w:val="2A1E610E"/>
    <w:rsid w:val="2BDC37D0"/>
    <w:rsid w:val="32D5250C"/>
    <w:rsid w:val="339F8DD8"/>
    <w:rsid w:val="36714EE9"/>
    <w:rsid w:val="39AD517A"/>
    <w:rsid w:val="3C674D30"/>
    <w:rsid w:val="3EE086EC"/>
    <w:rsid w:val="43974D4E"/>
    <w:rsid w:val="460B025E"/>
    <w:rsid w:val="4C561E2F"/>
    <w:rsid w:val="525E11E3"/>
    <w:rsid w:val="5300189C"/>
    <w:rsid w:val="53739199"/>
    <w:rsid w:val="57037FDB"/>
    <w:rsid w:val="58BC45FE"/>
    <w:rsid w:val="59CCAEB2"/>
    <w:rsid w:val="63FC9416"/>
    <w:rsid w:val="6452BD5D"/>
    <w:rsid w:val="651F519C"/>
    <w:rsid w:val="697526DB"/>
    <w:rsid w:val="6BDF9B5E"/>
    <w:rsid w:val="7340FFD7"/>
    <w:rsid w:val="7544CEA2"/>
    <w:rsid w:val="787225C2"/>
    <w:rsid w:val="7BD57F18"/>
    <w:rsid w:val="7DEF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1E2F"/>
  <w15:chartTrackingRefBased/>
  <w15:docId w15:val="{5D13ECC4-FA68-4F96-A100-A2C6CD37E1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antar.com/campaigns/media-reactions" TargetMode="External" Id="R1feaf46a15634251" /><Relationship Type="http://schemas.openxmlformats.org/officeDocument/2006/relationships/hyperlink" Target="https://blog.hubspot.com/marketing/ai-b2b-marketing" TargetMode="External" Id="Rbd2cb788be554015" /><Relationship Type="http://schemas.openxmlformats.org/officeDocument/2006/relationships/hyperlink" Target="https://www.goldmansachs.com/insights/articles/the-creator-economy-could-approach-half-a-trillion-dollars-by-2027" TargetMode="External" Id="R38f47e4c267943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5" ma:contentTypeDescription="Crear nuevo documento." ma:contentTypeScope="" ma:versionID="9a4f245073ac5256e9d0df52644504a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880474f63ffa5eaccb0564eff123c9d3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6D668507-0671-41FF-9647-ABF2B5DB726B}"/>
</file>

<file path=customXml/itemProps2.xml><?xml version="1.0" encoding="utf-8"?>
<ds:datastoreItem xmlns:ds="http://schemas.openxmlformats.org/officeDocument/2006/customXml" ds:itemID="{D26D4698-8696-4121-8F8E-B65E092F54AD}"/>
</file>

<file path=customXml/itemProps3.xml><?xml version="1.0" encoding="utf-8"?>
<ds:datastoreItem xmlns:ds="http://schemas.openxmlformats.org/officeDocument/2006/customXml" ds:itemID="{4024340A-0EA2-458F-B73A-1C44E9364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Pineda Negrete</dc:creator>
  <cp:keywords/>
  <dc:description/>
  <cp:lastModifiedBy>Tamara Elizabeth Marambio García</cp:lastModifiedBy>
  <dcterms:created xsi:type="dcterms:W3CDTF">2024-12-17T19:02:55Z</dcterms:created>
  <dcterms:modified xsi:type="dcterms:W3CDTF">2025-01-20T15:42:31Z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