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line="240" w:lineRule="auto"/>
        <w:jc w:val="both"/>
      </w:pPr>
    </w:p>
    <w:p>
      <w:pPr>
        <w:pStyle w:val="Corpo"/>
        <w:spacing w:line="240" w:lineRule="auto"/>
        <w:jc w:val="both"/>
        <w:rPr>
          <w:b w:val="1"/>
          <w:bCs w:val="1"/>
        </w:rPr>
      </w:pPr>
    </w:p>
    <w:p>
      <w:pPr>
        <w:pStyle w:val="Corpo"/>
        <w:spacing w:line="240" w:lineRule="auto"/>
        <w:jc w:val="both"/>
      </w:pPr>
    </w:p>
    <w:p>
      <w:pPr>
        <w:pStyle w:val="Corpo"/>
        <w:spacing w:line="240" w:lineRule="auto"/>
        <w:jc w:val="both"/>
        <w:outlineLvl w:val="0"/>
        <w:rPr>
          <w:sz w:val="22"/>
          <w:szCs w:val="22"/>
          <w:u w:val="single"/>
        </w:rPr>
      </w:pPr>
    </w:p>
    <w:p>
      <w:pPr>
        <w:pStyle w:val="Corpo"/>
        <w:spacing w:line="240" w:lineRule="auto"/>
        <w:jc w:val="both"/>
        <w:rPr>
          <w:sz w:val="16"/>
          <w:szCs w:val="16"/>
          <w:u w:val="single"/>
        </w:rPr>
      </w:pPr>
    </w:p>
    <w:p>
      <w:pPr>
        <w:pStyle w:val="Corpo"/>
        <w:spacing w:line="240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  <w:rtl w:val="0"/>
          <w:lang w:val="es-ES_tradnl"/>
        </w:rPr>
        <w:t>Kuehne+Nagel Am</w:t>
      </w:r>
      <w:r>
        <w:rPr>
          <w:sz w:val="22"/>
          <w:szCs w:val="22"/>
          <w:u w:val="single"/>
          <w:rtl w:val="0"/>
          <w:lang w:val="es-ES_tradnl"/>
        </w:rPr>
        <w:t>é</w:t>
      </w:r>
      <w:r>
        <w:rPr>
          <w:sz w:val="22"/>
          <w:szCs w:val="22"/>
          <w:u w:val="single"/>
          <w:rtl w:val="0"/>
          <w:lang w:val="es-ES_tradnl"/>
        </w:rPr>
        <w:t>rica del Sur y Central</w:t>
      </w:r>
    </w:p>
    <w:p>
      <w:pPr>
        <w:pStyle w:val="Corpo"/>
        <w:spacing w:line="240" w:lineRule="auto"/>
        <w:ind w:left="142" w:firstLine="0"/>
        <w:rPr>
          <w:sz w:val="32"/>
          <w:szCs w:val="32"/>
          <w:u w:val="single"/>
          <w:lang w:val="es-ES_tradnl"/>
        </w:rPr>
      </w:pPr>
    </w:p>
    <w:p>
      <w:pPr>
        <w:pStyle w:val="Corpo"/>
        <w:rPr>
          <w:b w:val="1"/>
          <w:bCs w:val="1"/>
          <w:sz w:val="24"/>
          <w:szCs w:val="24"/>
        </w:rPr>
      </w:pPr>
      <w:r>
        <w:rPr>
          <w:rFonts w:cs="Arial Unicode MS" w:eastAsia="Arial Unicode MS"/>
          <w:b w:val="1"/>
          <w:bCs w:val="1"/>
          <w:sz w:val="24"/>
          <w:szCs w:val="24"/>
          <w:rtl w:val="0"/>
          <w:lang w:val="es-ES_tradnl"/>
        </w:rPr>
        <w:t>Kuehne+Nagel es el primer proveedor log</w:t>
      </w:r>
      <w:r>
        <w:rPr>
          <w:rFonts w:cs="Arial Unicode MS" w:eastAsia="Arial Unicode MS" w:hint="default"/>
          <w:b w:val="1"/>
          <w:bCs w:val="1"/>
          <w:sz w:val="24"/>
          <w:szCs w:val="24"/>
          <w:rtl w:val="0"/>
          <w:lang w:val="es-ES_tradnl"/>
        </w:rPr>
        <w:t>í</w:t>
      </w:r>
      <w:r>
        <w:rPr>
          <w:rFonts w:cs="Arial Unicode MS" w:eastAsia="Arial Unicode MS"/>
          <w:b w:val="1"/>
          <w:bCs w:val="1"/>
          <w:sz w:val="24"/>
          <w:szCs w:val="24"/>
          <w:rtl w:val="0"/>
          <w:lang w:val="es-ES_tradnl"/>
        </w:rPr>
        <w:t xml:space="preserve">stico mundial en ofrecer soluciones sostenibles de seguro de carga </w:t>
      </w:r>
    </w:p>
    <w:p>
      <w:pPr>
        <w:pStyle w:val="Corpo"/>
        <w:spacing w:line="240" w:lineRule="auto"/>
        <w:ind w:left="142" w:firstLine="0"/>
        <w:rPr>
          <w:sz w:val="28"/>
          <w:szCs w:val="28"/>
          <w:lang w:val="es-ES_tradnl"/>
        </w:rPr>
      </w:pPr>
    </w:p>
    <w:p>
      <w:pPr>
        <w:pStyle w:val="List Paragraph"/>
        <w:numPr>
          <w:ilvl w:val="0"/>
          <w:numId w:val="2"/>
        </w:numPr>
        <w:bidi w:val="0"/>
        <w:spacing w:line="320" w:lineRule="exact"/>
        <w:ind w:right="0"/>
        <w:jc w:val="left"/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Producto contribuye a la restauraci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n de oc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s-ES_tradnl"/>
        </w:rPr>
        <w:t>é</w:t>
      </w: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anos y a la investigaci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n cient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fica de biolog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s-ES_tradnl"/>
        </w:rPr>
        <w:t>í</w:t>
      </w: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a marina, en colaboraci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n con la Fundaci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n Marine Megafauna.</w:t>
      </w:r>
    </w:p>
    <w:p>
      <w:pPr>
        <w:pStyle w:val="List Paragraph"/>
        <w:numPr>
          <w:ilvl w:val="0"/>
          <w:numId w:val="2"/>
        </w:numPr>
        <w:bidi w:val="0"/>
        <w:spacing w:line="320" w:lineRule="exact"/>
        <w:ind w:right="0"/>
        <w:jc w:val="left"/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La soluci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n fue desarrollada por Nacora, corredor de seguros perteneciente a Kuehne+Nagel.</w:t>
      </w:r>
    </w:p>
    <w:p>
      <w:pPr>
        <w:pStyle w:val="List Paragraph"/>
        <w:numPr>
          <w:ilvl w:val="0"/>
          <w:numId w:val="2"/>
        </w:numPr>
        <w:bidi w:val="0"/>
        <w:spacing w:line="320" w:lineRule="exact"/>
        <w:ind w:right="0"/>
        <w:jc w:val="left"/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Con el respaldo mundial de las aseguradoras Zurich Insurance Company y AXA XL.</w:t>
      </w:r>
    </w:p>
    <w:p>
      <w:pPr>
        <w:pStyle w:val="Corpo"/>
        <w:spacing w:line="320" w:lineRule="exact"/>
        <w:ind w:left="142" w:firstLine="0"/>
        <w:rPr>
          <w:sz w:val="22"/>
          <w:szCs w:val="22"/>
          <w:lang w:val="es-ES_tradnl"/>
        </w:rPr>
      </w:pPr>
    </w:p>
    <w:p>
      <w:pPr>
        <w:pStyle w:val="Corpo"/>
        <w:spacing w:line="320" w:lineRule="exact"/>
        <w:ind w:left="142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sz w:val="22"/>
          <w:szCs w:val="22"/>
          <w:rtl w:val="0"/>
          <w:lang w:val="es-ES_tradnl"/>
        </w:rPr>
        <w:t xml:space="preserve">Junio 2022 </w:t>
      </w:r>
      <w:r>
        <w:rPr>
          <w:sz w:val="22"/>
          <w:szCs w:val="22"/>
          <w:rtl w:val="0"/>
          <w:lang w:val="es-ES_tradnl"/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Nacora International Insurance Brokers le permiti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ó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 Kuehne+Nagel convertirse en el primer proveedor log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stico mundial en darle la oportunidad a todos sus clientes, independiente del tama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ñ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o de la empresa o en el pa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í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 donde operen, en optar por una soluci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de seguro que contribuya directamente a la restauraci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y protecci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 de la flora y fauna marina en beneficio de la salud de los oc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é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anos.</w:t>
      </w:r>
    </w:p>
    <w:p>
      <w:pPr>
        <w:pStyle w:val="Corpo"/>
        <w:spacing w:line="320" w:lineRule="exact"/>
        <w:ind w:left="142" w:firstLine="0"/>
        <w:rPr>
          <w:outline w:val="0"/>
          <w:color w:val="000000"/>
          <w:sz w:val="22"/>
          <w:szCs w:val="22"/>
          <w:u w:color="000000"/>
          <w:lang w:val="es-ES_tradnl"/>
          <w14:textFill>
            <w14:solidFill>
              <w14:srgbClr w14:val="000000"/>
            </w14:solidFill>
          </w14:textFill>
        </w:rPr>
      </w:pPr>
    </w:p>
    <w:p>
      <w:pPr>
        <w:pStyle w:val="Corpo"/>
        <w:spacing w:line="320" w:lineRule="exact"/>
        <w:ind w:left="142" w:firstLine="0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>Por cada embarque asegurado a trav</w:t>
      </w:r>
      <w:r>
        <w:rPr>
          <w:sz w:val="22"/>
          <w:szCs w:val="22"/>
          <w:rtl w:val="0"/>
          <w:lang w:val="es-ES_tradnl"/>
        </w:rPr>
        <w:t>é</w:t>
      </w:r>
      <w:r>
        <w:rPr>
          <w:sz w:val="22"/>
          <w:szCs w:val="22"/>
          <w:rtl w:val="0"/>
          <w:lang w:val="es-ES_tradnl"/>
        </w:rPr>
        <w:t>s de Kuehne+Nagel o colocada por Nacora a trav</w:t>
      </w:r>
      <w:r>
        <w:rPr>
          <w:sz w:val="22"/>
          <w:szCs w:val="22"/>
          <w:rtl w:val="0"/>
          <w:lang w:val="es-ES_tradnl"/>
        </w:rPr>
        <w:t>é</w:t>
      </w:r>
      <w:r>
        <w:rPr>
          <w:sz w:val="22"/>
          <w:szCs w:val="22"/>
          <w:rtl w:val="0"/>
          <w:lang w:val="es-ES_tradnl"/>
        </w:rPr>
        <w:t>s de su sistema digital "e-insurance system", de manera autom</w:t>
      </w:r>
      <w:r>
        <w:rPr>
          <w:sz w:val="22"/>
          <w:szCs w:val="22"/>
          <w:rtl w:val="0"/>
          <w:lang w:val="es-ES_tradnl"/>
        </w:rPr>
        <w:t>á</w:t>
      </w:r>
      <w:r>
        <w:rPr>
          <w:sz w:val="22"/>
          <w:szCs w:val="22"/>
          <w:rtl w:val="0"/>
          <w:lang w:val="es-ES_tradnl"/>
        </w:rPr>
        <w:t>tica, un porcentaje de esos recursos ser</w:t>
      </w:r>
      <w:r>
        <w:rPr>
          <w:sz w:val="22"/>
          <w:szCs w:val="22"/>
          <w:rtl w:val="0"/>
          <w:lang w:val="es-ES_tradnl"/>
        </w:rPr>
        <w:t>á</w:t>
      </w:r>
      <w:r>
        <w:rPr>
          <w:sz w:val="22"/>
          <w:szCs w:val="22"/>
          <w:rtl w:val="0"/>
          <w:lang w:val="es-ES_tradnl"/>
        </w:rPr>
        <w:t>n destinados a financiar proyectos liderados por la organizaci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>n sin fines de lucro con sede en Estados Unidos "The Marine Megafauna Foundation" (MMF).</w:t>
      </w:r>
    </w:p>
    <w:p>
      <w:pPr>
        <w:pStyle w:val="Corpo"/>
        <w:spacing w:line="320" w:lineRule="exact"/>
        <w:ind w:left="142" w:firstLine="0"/>
        <w:rPr>
          <w:sz w:val="22"/>
          <w:szCs w:val="22"/>
          <w:lang w:val="es-ES_tradnl"/>
        </w:rPr>
      </w:pPr>
    </w:p>
    <w:p>
      <w:pPr>
        <w:pStyle w:val="Corpo"/>
        <w:spacing w:line="320" w:lineRule="exact"/>
        <w:ind w:left="142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>A trav</w:t>
      </w:r>
      <w:r>
        <w:rPr>
          <w:sz w:val="22"/>
          <w:szCs w:val="22"/>
          <w:rtl w:val="0"/>
          <w:lang w:val="es-ES_tradnl"/>
        </w:rPr>
        <w:t>é</w:t>
      </w:r>
      <w:r>
        <w:rPr>
          <w:sz w:val="22"/>
          <w:szCs w:val="22"/>
          <w:rtl w:val="0"/>
          <w:lang w:val="es-ES_tradnl"/>
        </w:rPr>
        <w:t>s de este producto, Nacora pretende involucrar y promover una gesti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>n log</w:t>
      </w:r>
      <w:r>
        <w:rPr>
          <w:sz w:val="22"/>
          <w:szCs w:val="22"/>
          <w:rtl w:val="0"/>
          <w:lang w:val="es-ES_tradnl"/>
        </w:rPr>
        <w:t>í</w:t>
      </w:r>
      <w:r>
        <w:rPr>
          <w:sz w:val="22"/>
          <w:szCs w:val="22"/>
          <w:rtl w:val="0"/>
          <w:lang w:val="es-ES_tradnl"/>
        </w:rPr>
        <w:t>stica consciente con el entorno. En este sentido, todos los actores log</w:t>
      </w:r>
      <w:r>
        <w:rPr>
          <w:sz w:val="22"/>
          <w:szCs w:val="22"/>
          <w:rtl w:val="0"/>
          <w:lang w:val="es-ES_tradnl"/>
        </w:rPr>
        <w:t>í</w:t>
      </w:r>
      <w:r>
        <w:rPr>
          <w:sz w:val="22"/>
          <w:szCs w:val="22"/>
          <w:rtl w:val="0"/>
          <w:lang w:val="es-ES_tradnl"/>
        </w:rPr>
        <w:t>sticos, al momento de reservar su flete, podr</w:t>
      </w:r>
      <w:r>
        <w:rPr>
          <w:sz w:val="22"/>
          <w:szCs w:val="22"/>
          <w:rtl w:val="0"/>
          <w:lang w:val="es-ES_tradnl"/>
        </w:rPr>
        <w:t>á</w:t>
      </w:r>
      <w:r>
        <w:rPr>
          <w:sz w:val="22"/>
          <w:szCs w:val="22"/>
          <w:rtl w:val="0"/>
          <w:lang w:val="es-ES_tradnl"/>
        </w:rPr>
        <w:t>n asegurar una acci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>n que ayudar</w:t>
      </w:r>
      <w:r>
        <w:rPr>
          <w:sz w:val="22"/>
          <w:szCs w:val="22"/>
          <w:rtl w:val="0"/>
          <w:lang w:val="es-ES_tradnl"/>
        </w:rPr>
        <w:t xml:space="preserve">á </w:t>
      </w:r>
      <w:r>
        <w:rPr>
          <w:sz w:val="22"/>
          <w:szCs w:val="22"/>
          <w:rtl w:val="0"/>
          <w:lang w:val="es-ES_tradnl"/>
        </w:rPr>
        <w:t>a proteger los oc</w:t>
      </w:r>
      <w:r>
        <w:rPr>
          <w:sz w:val="22"/>
          <w:szCs w:val="22"/>
          <w:rtl w:val="0"/>
          <w:lang w:val="es-ES_tradnl"/>
        </w:rPr>
        <w:t>é</w:t>
      </w:r>
      <w:r>
        <w:rPr>
          <w:sz w:val="22"/>
          <w:szCs w:val="22"/>
          <w:rtl w:val="0"/>
          <w:lang w:val="es-ES_tradnl"/>
        </w:rPr>
        <w:t>anos.</w:t>
      </w:r>
    </w:p>
    <w:p>
      <w:pPr>
        <w:pStyle w:val="Corpo"/>
        <w:spacing w:line="320" w:lineRule="exact"/>
        <w:jc w:val="both"/>
        <w:rPr>
          <w:sz w:val="22"/>
          <w:szCs w:val="22"/>
          <w:lang w:val="es-ES_tradnl"/>
        </w:rPr>
      </w:pPr>
    </w:p>
    <w:p>
      <w:pPr>
        <w:pStyle w:val="Corpo"/>
        <w:spacing w:line="320" w:lineRule="exact"/>
        <w:ind w:left="142" w:firstLine="0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>La misi</w:t>
      </w:r>
      <w:r>
        <w:rPr>
          <w:sz w:val="22"/>
          <w:szCs w:val="22"/>
          <w:rtl w:val="0"/>
          <w:lang w:val="fr-FR"/>
        </w:rPr>
        <w:t>ó</w:t>
      </w:r>
      <w:r>
        <w:rPr>
          <w:sz w:val="22"/>
          <w:szCs w:val="22"/>
          <w:rtl w:val="0"/>
          <w:lang w:val="fr-FR"/>
        </w:rPr>
        <w:t>n de MMF es salvar la vida marina amenazada y, en particular, la protecci</w:t>
      </w:r>
      <w:r>
        <w:rPr>
          <w:sz w:val="22"/>
          <w:szCs w:val="22"/>
          <w:rtl w:val="0"/>
          <w:lang w:val="fr-FR"/>
        </w:rPr>
        <w:t>ó</w:t>
      </w:r>
      <w:r>
        <w:rPr>
          <w:sz w:val="22"/>
          <w:szCs w:val="22"/>
          <w:rtl w:val="0"/>
          <w:lang w:val="fr-FR"/>
        </w:rPr>
        <w:t xml:space="preserve">n de las especies en peligro, crear o extender </w:t>
      </w:r>
      <w:r>
        <w:rPr>
          <w:sz w:val="22"/>
          <w:szCs w:val="22"/>
          <w:rtl w:val="0"/>
          <w:lang w:val="fr-FR"/>
        </w:rPr>
        <w:t>á</w:t>
      </w:r>
      <w:r>
        <w:rPr>
          <w:sz w:val="22"/>
          <w:szCs w:val="22"/>
          <w:rtl w:val="0"/>
          <w:lang w:val="fr-FR"/>
        </w:rPr>
        <w:t>reas protegidas, junto con educar y hacer parte a las comunidades locales en este importante desaf</w:t>
      </w:r>
      <w:r>
        <w:rPr>
          <w:sz w:val="22"/>
          <w:szCs w:val="22"/>
          <w:rtl w:val="0"/>
          <w:lang w:val="fr-FR"/>
        </w:rPr>
        <w:t>í</w:t>
      </w:r>
      <w:r>
        <w:rPr>
          <w:sz w:val="22"/>
          <w:szCs w:val="22"/>
          <w:rtl w:val="0"/>
          <w:lang w:val="fr-FR"/>
        </w:rPr>
        <w:t>o de conservaci</w:t>
      </w:r>
      <w:r>
        <w:rPr>
          <w:sz w:val="22"/>
          <w:szCs w:val="22"/>
          <w:rtl w:val="0"/>
          <w:lang w:val="fr-FR"/>
        </w:rPr>
        <w:t>ó</w:t>
      </w:r>
      <w:r>
        <w:rPr>
          <w:sz w:val="22"/>
          <w:szCs w:val="22"/>
          <w:rtl w:val="0"/>
          <w:lang w:val="fr-FR"/>
        </w:rPr>
        <w:t>n.</w:t>
      </w:r>
    </w:p>
    <w:p>
      <w:pPr>
        <w:pStyle w:val="Corpo"/>
        <w:spacing w:line="320" w:lineRule="exact"/>
        <w:ind w:left="142" w:firstLine="0"/>
        <w:rPr>
          <w:sz w:val="22"/>
          <w:szCs w:val="22"/>
          <w:lang w:val="es-ES_tradnl"/>
        </w:rPr>
      </w:pPr>
    </w:p>
    <w:p>
      <w:pPr>
        <w:pStyle w:val="Corpo"/>
        <w:spacing w:line="320" w:lineRule="exact"/>
        <w:ind w:left="142" w:firstLine="0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>Andrea Marshall, cofundadora de la fundaci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 xml:space="preserve">n comenta; </w:t>
      </w:r>
      <w:r>
        <w:rPr>
          <w:sz w:val="22"/>
          <w:szCs w:val="22"/>
          <w:rtl w:val="0"/>
          <w:lang w:val="es-ES_tradnl"/>
        </w:rPr>
        <w:t>“</w:t>
      </w:r>
      <w:r>
        <w:rPr>
          <w:sz w:val="22"/>
          <w:szCs w:val="22"/>
          <w:rtl w:val="0"/>
          <w:lang w:val="es-ES_tradnl"/>
        </w:rPr>
        <w:t>Esta fundaci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>n es destacada por llevar a cabo ambiciosos estudios de casos en pa</w:t>
      </w:r>
      <w:r>
        <w:rPr>
          <w:sz w:val="22"/>
          <w:szCs w:val="22"/>
          <w:rtl w:val="0"/>
          <w:lang w:val="es-ES_tradnl"/>
        </w:rPr>
        <w:t>í</w:t>
      </w:r>
      <w:r>
        <w:rPr>
          <w:sz w:val="22"/>
          <w:szCs w:val="22"/>
          <w:rtl w:val="0"/>
          <w:lang w:val="es-ES_tradnl"/>
        </w:rPr>
        <w:t>ses en desarrollo. Nuestro objetivo es sentar valiosos precedentes para la gesti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>n exitosa de la fauna marina en todo el mundo e inspirar a una nueva generaci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>n de 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>logos de la conservaci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>n</w:t>
      </w:r>
      <w:r>
        <w:rPr>
          <w:rtl w:val="0"/>
          <w:lang w:val="es-ES_tradnl"/>
        </w:rPr>
        <w:t xml:space="preserve"> </w:t>
      </w:r>
      <w:r>
        <w:rPr>
          <w:sz w:val="22"/>
          <w:szCs w:val="22"/>
          <w:rtl w:val="0"/>
          <w:lang w:val="es-ES_tradnl"/>
        </w:rPr>
        <w:t>para que a trav</w:t>
      </w:r>
      <w:r>
        <w:rPr>
          <w:sz w:val="22"/>
          <w:szCs w:val="22"/>
          <w:rtl w:val="0"/>
          <w:lang w:val="es-ES_tradnl"/>
        </w:rPr>
        <w:t>é</w:t>
      </w:r>
      <w:r>
        <w:rPr>
          <w:sz w:val="22"/>
          <w:szCs w:val="22"/>
          <w:rtl w:val="0"/>
          <w:lang w:val="es-ES_tradnl"/>
        </w:rPr>
        <w:t>s de su trabajo generen el cambio".</w:t>
      </w:r>
    </w:p>
    <w:p>
      <w:pPr>
        <w:pStyle w:val="Corpo"/>
        <w:spacing w:line="320" w:lineRule="exact"/>
        <w:ind w:left="142" w:firstLine="0"/>
        <w:rPr>
          <w:sz w:val="22"/>
          <w:szCs w:val="22"/>
          <w:lang w:val="es-ES_tradnl"/>
        </w:rPr>
      </w:pPr>
    </w:p>
    <w:p>
      <w:pPr>
        <w:pStyle w:val="Corpo"/>
        <w:spacing w:line="320" w:lineRule="exact"/>
        <w:ind w:left="142" w:firstLine="0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>Steffen Bergholz, Director General del Grupo Nacora, afirma: "Para hacer frente a las responsabilidades actuales y futuras, en Nacora estamos orgullosos en introducir el primer modelo de colocaci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>n de seguro que aporta directo a la conservaci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>n de los h</w:t>
      </w:r>
      <w:r>
        <w:rPr>
          <w:sz w:val="22"/>
          <w:szCs w:val="22"/>
          <w:rtl w:val="0"/>
          <w:lang w:val="es-ES_tradnl"/>
        </w:rPr>
        <w:t>á</w:t>
      </w:r>
      <w:r>
        <w:rPr>
          <w:sz w:val="22"/>
          <w:szCs w:val="22"/>
          <w:rtl w:val="0"/>
          <w:lang w:val="es-ES_tradnl"/>
        </w:rPr>
        <w:t>bitats mar</w:t>
      </w:r>
      <w:r>
        <w:rPr>
          <w:sz w:val="22"/>
          <w:szCs w:val="22"/>
          <w:rtl w:val="0"/>
          <w:lang w:val="es-ES_tradnl"/>
        </w:rPr>
        <w:t>í</w:t>
      </w:r>
      <w:r>
        <w:rPr>
          <w:sz w:val="22"/>
          <w:szCs w:val="22"/>
          <w:rtl w:val="0"/>
          <w:lang w:val="es-ES_tradnl"/>
        </w:rPr>
        <w:t>timos. Esperamos encender un desarrollo sostenible global dando este ejemplo."</w:t>
      </w:r>
    </w:p>
    <w:p>
      <w:pPr>
        <w:pStyle w:val="Corpo"/>
        <w:spacing w:line="320" w:lineRule="exact"/>
        <w:ind w:left="142" w:firstLine="0"/>
        <w:rPr>
          <w:sz w:val="22"/>
          <w:szCs w:val="22"/>
          <w:lang w:val="es-ES_tradnl"/>
        </w:rPr>
      </w:pPr>
    </w:p>
    <w:p>
      <w:pPr>
        <w:pStyle w:val="Corpo"/>
        <w:spacing w:line="320" w:lineRule="exact"/>
        <w:ind w:left="142" w:firstLine="0"/>
        <w:rPr>
          <w:outline w:val="0"/>
          <w:color w:val="ff0000"/>
          <w:sz w:val="22"/>
          <w:szCs w:val="22"/>
          <w:u w:color="ff0000"/>
          <w14:textFill>
            <w14:solidFill>
              <w14:srgbClr w14:val="FF0000"/>
            </w14:solidFill>
          </w14:textFill>
        </w:rPr>
      </w:pPr>
      <w:r>
        <w:rPr>
          <w:sz w:val="22"/>
          <w:szCs w:val="22"/>
          <w:rtl w:val="0"/>
          <w:lang w:val="es-ES_tradnl"/>
        </w:rPr>
        <w:t>El producto de seguro de carga est</w:t>
      </w:r>
      <w:r>
        <w:rPr>
          <w:sz w:val="22"/>
          <w:szCs w:val="22"/>
          <w:rtl w:val="0"/>
          <w:lang w:val="es-ES_tradnl"/>
        </w:rPr>
        <w:t xml:space="preserve">á </w:t>
      </w:r>
      <w:r>
        <w:rPr>
          <w:sz w:val="22"/>
          <w:szCs w:val="22"/>
          <w:rtl w:val="0"/>
          <w:lang w:val="es-ES_tradnl"/>
        </w:rPr>
        <w:t>respaldado por las compa</w:t>
      </w:r>
      <w:r>
        <w:rPr>
          <w:sz w:val="22"/>
          <w:szCs w:val="22"/>
          <w:rtl w:val="0"/>
          <w:lang w:val="es-ES_tradnl"/>
        </w:rPr>
        <w:t>ñí</w:t>
      </w:r>
      <w:r>
        <w:rPr>
          <w:sz w:val="22"/>
          <w:szCs w:val="22"/>
          <w:rtl w:val="0"/>
          <w:lang w:val="es-ES_tradnl"/>
        </w:rPr>
        <w:t>as de seguros globales Zurich Insurance Company Ltd. y AXA XL.</w:t>
      </w:r>
      <w:r>
        <w:rPr>
          <w:outline w:val="0"/>
          <w:color w:val="ff0000"/>
          <w:sz w:val="22"/>
          <w:szCs w:val="22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 xml:space="preserve"> </w:t>
      </w:r>
    </w:p>
    <w:p>
      <w:pPr>
        <w:pStyle w:val="Corpo"/>
        <w:spacing w:line="320" w:lineRule="exact"/>
        <w:ind w:left="142" w:firstLine="0"/>
        <w:rPr>
          <w:sz w:val="22"/>
          <w:szCs w:val="22"/>
          <w:lang w:val="es-ES_tradnl"/>
        </w:rPr>
      </w:pPr>
    </w:p>
    <w:p>
      <w:pPr>
        <w:pStyle w:val="Corpo"/>
        <w:spacing w:line="320" w:lineRule="exact"/>
        <w:ind w:left="142" w:firstLine="0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>Toda la informaci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s-ES_tradnl"/>
        </w:rPr>
        <w:t xml:space="preserve">n sobre esta iniciativa conjunta de Nacora y MMF se encuentra en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"http://www.nacora.com/nacora-blue/"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s-ES_tradnl"/>
        </w:rPr>
        <w:t>www.nacora.com/nacora-blue/</w:t>
      </w:r>
      <w:r>
        <w:rPr/>
        <w:fldChar w:fldCharType="end" w:fldLock="0"/>
      </w:r>
    </w:p>
    <w:p>
      <w:pPr>
        <w:pStyle w:val="Corpo"/>
        <w:spacing w:line="320" w:lineRule="exact"/>
        <w:ind w:left="142" w:firstLine="0"/>
        <w:rPr>
          <w:sz w:val="22"/>
          <w:szCs w:val="22"/>
          <w:lang w:val="es-ES_tradnl"/>
        </w:rPr>
      </w:pPr>
    </w:p>
    <w:p>
      <w:pPr>
        <w:pStyle w:val="Corpo"/>
        <w:ind w:left="142" w:firstLine="0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  <w:rtl w:val="0"/>
          <w:lang w:val="es-ES_tradnl"/>
        </w:rPr>
        <w:t>Sobre Kuehne+Nagel</w:t>
      </w:r>
    </w:p>
    <w:p>
      <w:pPr>
        <w:pStyle w:val="Corpo"/>
        <w:ind w:left="142" w:firstLine="0"/>
      </w:pPr>
      <w:r>
        <w:rPr>
          <w:sz w:val="16"/>
          <w:szCs w:val="16"/>
          <w:rtl w:val="0"/>
          <w:lang w:val="es-ES_tradnl"/>
        </w:rPr>
        <w:t>Con m</w:t>
      </w:r>
      <w:r>
        <w:rPr>
          <w:sz w:val="16"/>
          <w:szCs w:val="16"/>
          <w:rtl w:val="0"/>
          <w:lang w:val="es-ES_tradnl"/>
        </w:rPr>
        <w:t>á</w:t>
      </w:r>
      <w:r>
        <w:rPr>
          <w:sz w:val="16"/>
          <w:szCs w:val="16"/>
          <w:rtl w:val="0"/>
          <w:lang w:val="es-ES_tradnl"/>
        </w:rPr>
        <w:t>s de 78.000 empleados en casi 1.300 centros en m</w:t>
      </w:r>
      <w:r>
        <w:rPr>
          <w:sz w:val="16"/>
          <w:szCs w:val="16"/>
          <w:rtl w:val="0"/>
          <w:lang w:val="es-ES_tradnl"/>
        </w:rPr>
        <w:t>á</w:t>
      </w:r>
      <w:r>
        <w:rPr>
          <w:sz w:val="16"/>
          <w:szCs w:val="16"/>
          <w:rtl w:val="0"/>
          <w:lang w:val="es-ES_tradnl"/>
        </w:rPr>
        <w:t>s de 100 pa</w:t>
      </w:r>
      <w:r>
        <w:rPr>
          <w:sz w:val="16"/>
          <w:szCs w:val="16"/>
          <w:rtl w:val="0"/>
          <w:lang w:val="es-ES_tradnl"/>
        </w:rPr>
        <w:t>í</w:t>
      </w:r>
      <w:r>
        <w:rPr>
          <w:sz w:val="16"/>
          <w:szCs w:val="16"/>
          <w:rtl w:val="0"/>
          <w:lang w:val="es-ES_tradnl"/>
        </w:rPr>
        <w:t>ses, el Grupo Kuehne+Nagel es uno de los principales proveedores de log</w:t>
      </w:r>
      <w:r>
        <w:rPr>
          <w:sz w:val="16"/>
          <w:szCs w:val="16"/>
          <w:rtl w:val="0"/>
          <w:lang w:val="es-ES_tradnl"/>
        </w:rPr>
        <w:t>í</w:t>
      </w:r>
      <w:r>
        <w:rPr>
          <w:sz w:val="16"/>
          <w:szCs w:val="16"/>
          <w:rtl w:val="0"/>
          <w:lang w:val="es-ES_tradnl"/>
        </w:rPr>
        <w:t xml:space="preserve">stica del mundo. Opera en el </w:t>
      </w:r>
      <w:r>
        <w:rPr>
          <w:sz w:val="16"/>
          <w:szCs w:val="16"/>
          <w:rtl w:val="0"/>
          <w:lang w:val="es-ES_tradnl"/>
        </w:rPr>
        <w:t>á</w:t>
      </w:r>
      <w:r>
        <w:rPr>
          <w:sz w:val="16"/>
          <w:szCs w:val="16"/>
          <w:rtl w:val="0"/>
          <w:lang w:val="es-ES_tradnl"/>
        </w:rPr>
        <w:t>mbito de la log</w:t>
      </w:r>
      <w:r>
        <w:rPr>
          <w:sz w:val="16"/>
          <w:szCs w:val="16"/>
          <w:rtl w:val="0"/>
          <w:lang w:val="es-ES_tradnl"/>
        </w:rPr>
        <w:t>í</w:t>
      </w:r>
      <w:r>
        <w:rPr>
          <w:sz w:val="16"/>
          <w:szCs w:val="16"/>
          <w:rtl w:val="0"/>
          <w:lang w:val="es-ES_tradnl"/>
        </w:rPr>
        <w:t>stica mar</w:t>
      </w:r>
      <w:r>
        <w:rPr>
          <w:sz w:val="16"/>
          <w:szCs w:val="16"/>
          <w:rtl w:val="0"/>
          <w:lang w:val="es-ES_tradnl"/>
        </w:rPr>
        <w:t>í</w:t>
      </w:r>
      <w:r>
        <w:rPr>
          <w:sz w:val="16"/>
          <w:szCs w:val="16"/>
          <w:rtl w:val="0"/>
          <w:lang w:val="es-ES_tradnl"/>
        </w:rPr>
        <w:t>tima, la log</w:t>
      </w:r>
      <w:r>
        <w:rPr>
          <w:sz w:val="16"/>
          <w:szCs w:val="16"/>
          <w:rtl w:val="0"/>
          <w:lang w:val="es-ES_tradnl"/>
        </w:rPr>
        <w:t>í</w:t>
      </w:r>
      <w:r>
        <w:rPr>
          <w:sz w:val="16"/>
          <w:szCs w:val="16"/>
          <w:rtl w:val="0"/>
          <w:lang w:val="es-ES_tradnl"/>
        </w:rPr>
        <w:t>stica a</w:t>
      </w:r>
      <w:r>
        <w:rPr>
          <w:sz w:val="16"/>
          <w:szCs w:val="16"/>
          <w:rtl w:val="0"/>
          <w:lang w:val="es-ES_tradnl"/>
        </w:rPr>
        <w:t>é</w:t>
      </w:r>
      <w:r>
        <w:rPr>
          <w:sz w:val="16"/>
          <w:szCs w:val="16"/>
          <w:rtl w:val="0"/>
          <w:lang w:val="es-ES_tradnl"/>
        </w:rPr>
        <w:t>rea, la log</w:t>
      </w:r>
      <w:r>
        <w:rPr>
          <w:sz w:val="16"/>
          <w:szCs w:val="16"/>
          <w:rtl w:val="0"/>
          <w:lang w:val="es-ES_tradnl"/>
        </w:rPr>
        <w:t>í</w:t>
      </w:r>
      <w:r>
        <w:rPr>
          <w:sz w:val="16"/>
          <w:szCs w:val="16"/>
          <w:rtl w:val="0"/>
          <w:lang w:val="es-ES_tradnl"/>
        </w:rPr>
        <w:t>stica por carretera y la log</w:t>
      </w:r>
      <w:r>
        <w:rPr>
          <w:sz w:val="16"/>
          <w:szCs w:val="16"/>
          <w:rtl w:val="0"/>
          <w:lang w:val="es-ES_tradnl"/>
        </w:rPr>
        <w:t>í</w:t>
      </w:r>
      <w:r>
        <w:rPr>
          <w:sz w:val="16"/>
          <w:szCs w:val="16"/>
          <w:rtl w:val="0"/>
          <w:lang w:val="es-ES_tradnl"/>
        </w:rPr>
        <w:t>stica de contratos, con un claro enfoque en las soluciones log</w:t>
      </w:r>
      <w:r>
        <w:rPr>
          <w:sz w:val="16"/>
          <w:szCs w:val="16"/>
          <w:rtl w:val="0"/>
          <w:lang w:val="es-ES_tradnl"/>
        </w:rPr>
        <w:t>í</w:t>
      </w:r>
      <w:r>
        <w:rPr>
          <w:sz w:val="16"/>
          <w:szCs w:val="16"/>
          <w:rtl w:val="0"/>
          <w:lang w:val="es-ES_tradnl"/>
        </w:rPr>
        <w:t>sticas integradas.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985" w:right="1021" w:bottom="993" w:left="3686" w:header="720" w:footer="275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7173"/>
        <w:tab w:val="clear" w:pos="9072"/>
      </w:tabs>
      <w:ind w:left="2124" w:firstLine="0"/>
    </w:pPr>
    <w:r>
      <w:rPr>
        <w:rtl w:val="0"/>
        <w:lang w:val="en-US"/>
      </w:rPr>
      <w:t xml:space="preserve">Page </w:t>
    </w:r>
    <w:r>
      <w:rPr>
        <w:rtl w:val="0"/>
        <w:lang w:val="en-US"/>
      </w:rPr>
      <w:fldChar w:fldCharType="begin" w:fldLock="0"/>
    </w:r>
    <w:r>
      <w:rPr>
        <w:rtl w:val="0"/>
        <w:lang w:val="en-US"/>
      </w:rPr>
      <w:instrText xml:space="preserve"> PAGE </w:instrText>
    </w:r>
    <w:r>
      <w:rPr>
        <w:rtl w:val="0"/>
        <w:lang w:val="en-US"/>
      </w:rPr>
      <w:fldChar w:fldCharType="separate" w:fldLock="0"/>
    </w:r>
    <w:r>
      <w:rPr>
        <w:rtl w:val="0"/>
        <w:lang w:val="en-US"/>
      </w:rPr>
    </w:r>
    <w:r>
      <w:rPr>
        <w:rtl w:val="0"/>
        <w:lang w:val="en-US"/>
      </w:rPr>
      <w:fldChar w:fldCharType="end" w:fldLock="0"/>
    </w:r>
    <w:r>
      <w:rPr>
        <w:rtl w:val="0"/>
        <w:lang w:val="en-US"/>
      </w:rPr>
      <w:t xml:space="preserve"> </w:t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7173"/>
        <w:tab w:val="clear" w:pos="9072"/>
      </w:tabs>
      <w:ind w:left="2124" w:firstLine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Address2"/>
      <w:bidi w:val="0"/>
      <w:ind w:left="0" w:right="0" w:firstLine="0"/>
      <w:jc w:val="left"/>
      <w:rPr>
        <w:rFonts w:ascii="Arial" w:cs="Arial" w:hAnsi="Arial" w:eastAsia="Arial"/>
        <w:shd w:val="nil" w:color="auto" w:fill="auto"/>
        <w:rtl w:val="0"/>
      </w:rPr>
    </w:pPr>
    <w:r>
      <w:rPr>
        <w:lang w:val="de-DE"/>
      </w:rPr>
      <mc:AlternateContent>
        <mc:Choice Requires="wpg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1263650</wp:posOffset>
              </wp:positionV>
              <wp:extent cx="7560310" cy="9068435"/>
              <wp:effectExtent l="0" t="0" r="0" b="0"/>
              <wp:wrapNone/>
              <wp:docPr id="1073741828" name="officeArt object" descr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9068435"/>
                        <a:chOff x="0" y="0"/>
                        <a:chExt cx="7560309" cy="9068435"/>
                      </a:xfrm>
                    </wpg:grpSpPr>
                    <wps:wsp>
                      <wps:cNvPr id="1073741825" name="Line 3"/>
                      <wps:cNvSpPr/>
                      <wps:spPr>
                        <a:xfrm>
                          <a:off x="0" y="-1"/>
                          <a:ext cx="756031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2B55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26" name="Line 4"/>
                      <wps:cNvSpPr/>
                      <wps:spPr>
                        <a:xfrm>
                          <a:off x="0" y="387984"/>
                          <a:ext cx="756031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2B55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27" name="Line 5"/>
                      <wps:cNvSpPr/>
                      <wps:spPr>
                        <a:xfrm flipH="1">
                          <a:off x="2153284" y="0"/>
                          <a:ext cx="1" cy="9068436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2B55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0.0pt;margin-top:99.5pt;width:595.3pt;height:714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7560310,9068435">
              <w10:wrap type="none" side="bothSides" anchorx="page" anchory="page"/>
              <v:line id="_x0000_s1027" style="position:absolute;left:0;top:0;width:7560310;height:0;">
                <v:fill on="f"/>
                <v:stroke filltype="solid" color="#002B55" opacity="100.0%" weight="1.0pt" dashstyle="solid" endcap="flat" joinstyle="round" linestyle="single" startarrow="none" startarrowwidth="medium" startarrowlength="medium" endarrow="none" endarrowwidth="medium" endarrowlength="medium"/>
              </v:line>
              <v:line id="_x0000_s1028" style="position:absolute;left:0;top:387985;width:7560310;height:0;">
                <v:fill on="f"/>
                <v:stroke filltype="solid" color="#002B55" opacity="100.0%" weight="1.0pt" dashstyle="solid" endcap="flat" joinstyle="round" linestyle="single" startarrow="none" startarrowwidth="medium" startarrowlength="medium" endarrow="none" endarrowwidth="medium" endarrowlength="medium"/>
              </v:line>
              <v:line id="_x0000_s1029" style="position:absolute;left:2153285;top:0;width:0;height:9068435;flip:x;">
                <v:fill on="f"/>
                <v:stroke filltype="solid" color="#002B55" opacity="100.0%" weight="1.0pt" dashstyle="solid" endcap="flat" joinstyle="round" linestyle="single" startarrow="none" startarrowwidth="medium" startarrowlength="medium" endarrow="none" endarrowwidth="medium" endarrowlength="medium"/>
              </v:line>
            </v:group>
          </w:pict>
        </mc:Fallback>
      </mc:AlternateContent>
    </w:r>
    <w:r>
      <w:rPr>
        <w:lang w:val="de-DE"/>
      </w:rP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394335</wp:posOffset>
              </wp:positionH>
              <wp:positionV relativeFrom="page">
                <wp:posOffset>1021714</wp:posOffset>
              </wp:positionV>
              <wp:extent cx="1653540" cy="239396"/>
              <wp:effectExtent l="0" t="0" r="0" b="0"/>
              <wp:wrapNone/>
              <wp:docPr id="1073741829" name="officeArt object" descr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3540" cy="23939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Corpo"/>
                            <w:spacing w:line="240" w:lineRule="auto"/>
                          </w:pPr>
                          <w:r>
                            <w:rPr>
                              <w:b w:val="1"/>
                              <w:bCs w:val="1"/>
                              <w:outline w:val="0"/>
                              <w:color w:val="002060"/>
                              <w:sz w:val="30"/>
                              <w:szCs w:val="30"/>
                              <w:u w:color="002060"/>
                              <w:rtl w:val="0"/>
                              <w:lang w:val="de-DE"/>
                              <w14:textFill>
                                <w14:solidFill>
                                  <w14:srgbClr w14:val="002060"/>
                                </w14:solidFill>
                              </w14:textFill>
                            </w:rPr>
                            <w:t>PRESS INFO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31.1pt;margin-top:80.4pt;width:130.2pt;height:18.9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o"/>
                      <w:spacing w:line="240" w:lineRule="auto"/>
                    </w:pPr>
                    <w:r>
                      <w:rPr>
                        <w:b w:val="1"/>
                        <w:bCs w:val="1"/>
                        <w:outline w:val="0"/>
                        <w:color w:val="002060"/>
                        <w:sz w:val="30"/>
                        <w:szCs w:val="30"/>
                        <w:u w:color="002060"/>
                        <w:rtl w:val="0"/>
                        <w:lang w:val="de-DE"/>
                        <w14:textFill>
                          <w14:solidFill>
                            <w14:srgbClr w14:val="002060"/>
                          </w14:solidFill>
                        </w14:textFill>
                      </w:rPr>
                      <w:t>PRESS INFO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lang w:val="de-DE"/>
      </w:rPr>
      <w:drawing xmlns:a="http://schemas.openxmlformats.org/drawingml/2006/main"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4631690</wp:posOffset>
          </wp:positionH>
          <wp:positionV relativeFrom="page">
            <wp:posOffset>417195</wp:posOffset>
          </wp:positionV>
          <wp:extent cx="2326005" cy="467360"/>
          <wp:effectExtent l="0" t="0" r="0" b="0"/>
          <wp:wrapNone/>
          <wp:docPr id="1073741830" name="officeArt object" descr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Picture 14" descr="Picture 14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6005" cy="46736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rial" w:hAnsi="Arial"/>
        <w:shd w:val="nil" w:color="auto" w:fill="auto"/>
        <w:rtl w:val="0"/>
        <w:lang w:val="de-DE"/>
      </w:rPr>
      <w:t>Kuehne + Nagel</w:t>
    </w:r>
  </w:p>
  <w:p>
    <w:pPr>
      <w:pStyle w:val="Address2"/>
      <w:bidi w:val="0"/>
      <w:spacing w:after="60"/>
      <w:ind w:left="0" w:right="0" w:firstLine="0"/>
      <w:jc w:val="left"/>
      <w:rPr>
        <w:rFonts w:ascii="Arial" w:cs="Arial" w:hAnsi="Arial" w:eastAsia="Arial"/>
        <w:shd w:val="nil" w:color="auto" w:fill="auto"/>
        <w:rtl w:val="0"/>
      </w:rPr>
    </w:pPr>
    <w:r>
      <w:rPr>
        <w:rFonts w:ascii="Arial" w:hAnsi="Arial"/>
        <w:shd w:val="nil" w:color="auto" w:fill="auto"/>
        <w:rtl w:val="0"/>
        <w:lang w:val="de-DE"/>
      </w:rPr>
      <w:t>South and Central America</w:t>
    </w:r>
  </w:p>
  <w:p>
    <w:pPr>
      <w:pStyle w:val="Address2"/>
      <w:rPr>
        <w:rFonts w:ascii="Arial" w:cs="Arial" w:hAnsi="Arial" w:eastAsia="Arial"/>
        <w:shd w:val="nil" w:color="auto" w:fill="auto"/>
        <w:lang w:val="de-DE"/>
      </w:rPr>
    </w:pPr>
  </w:p>
  <w:p>
    <w:pPr>
      <w:pStyle w:val="Address2"/>
      <w:bidi w:val="0"/>
      <w:ind w:left="0" w:right="0" w:firstLine="0"/>
      <w:jc w:val="left"/>
      <w:rPr>
        <w:rFonts w:ascii="Arial" w:cs="Arial" w:hAnsi="Arial" w:eastAsia="Arial"/>
        <w:shd w:val="nil" w:color="auto" w:fill="auto"/>
        <w:rtl w:val="0"/>
      </w:rPr>
    </w:pPr>
    <w:r>
      <w:rPr>
        <w:rFonts w:ascii="Arial" w:hAnsi="Arial"/>
        <w:shd w:val="nil" w:color="auto" w:fill="auto"/>
        <w:rtl w:val="0"/>
        <w:lang w:val="de-DE"/>
      </w:rPr>
      <w:t>Andrea Lagno A</w:t>
    </w:r>
  </w:p>
  <w:p>
    <w:pPr>
      <w:pStyle w:val="Address2"/>
      <w:bidi w:val="0"/>
      <w:ind w:left="0" w:right="0" w:firstLine="0"/>
      <w:jc w:val="left"/>
      <w:rPr>
        <w:rFonts w:ascii="Arial" w:cs="Arial" w:hAnsi="Arial" w:eastAsia="Arial"/>
        <w:shd w:val="nil" w:color="auto" w:fill="auto"/>
        <w:rtl w:val="0"/>
      </w:rPr>
    </w:pPr>
    <w:r>
      <w:rPr>
        <w:rFonts w:ascii="Arial" w:hAnsi="Arial"/>
        <w:shd w:val="nil" w:color="auto" w:fill="auto"/>
        <w:rtl w:val="0"/>
        <w:lang w:val="de-DE"/>
      </w:rPr>
      <w:t>Regional Communication en SCA</w:t>
    </w:r>
  </w:p>
  <w:p>
    <w:pPr>
      <w:pStyle w:val="Address2"/>
      <w:rPr>
        <w:rFonts w:ascii="Arial" w:cs="Arial" w:hAnsi="Arial" w:eastAsia="Arial"/>
        <w:shd w:val="nil" w:color="auto" w:fill="auto"/>
        <w:lang w:val="de-DE"/>
      </w:rPr>
    </w:pPr>
  </w:p>
  <w:p>
    <w:pPr>
      <w:pStyle w:val="Address2"/>
      <w:tabs>
        <w:tab w:val="left" w:pos="567"/>
        <w:tab w:val="clear" w:pos="352"/>
      </w:tabs>
      <w:spacing w:line="240" w:lineRule="auto"/>
      <w:rPr>
        <w:rFonts w:ascii="Arial" w:cs="Arial" w:hAnsi="Arial" w:eastAsia="Arial"/>
        <w:spacing w:val="6"/>
        <w:sz w:val="8"/>
        <w:szCs w:val="8"/>
        <w:shd w:val="nil" w:color="auto" w:fill="auto"/>
        <w:lang w:val="de-DE"/>
      </w:rPr>
    </w:pPr>
  </w:p>
  <w:p>
    <w:pPr>
      <w:pStyle w:val="Address2"/>
      <w:bidi w:val="0"/>
      <w:ind w:left="0" w:right="0" w:firstLine="0"/>
      <w:jc w:val="left"/>
      <w:rPr>
        <w:rFonts w:ascii="Arial" w:cs="Arial" w:hAnsi="Arial" w:eastAsia="Arial"/>
        <w:shd w:val="nil" w:color="auto" w:fill="auto"/>
        <w:rtl w:val="0"/>
      </w:rPr>
    </w:pPr>
    <w:r>
      <w:rPr>
        <w:rFonts w:ascii="Arial" w:hAnsi="Arial"/>
        <w:shd w:val="nil" w:color="auto" w:fill="auto"/>
        <w:rtl w:val="0"/>
        <w:lang w:val="de-DE"/>
      </w:rPr>
      <w:t>+56989529122</w:t>
    </w:r>
  </w:p>
  <w:p>
    <w:pPr>
      <w:pStyle w:val="Address2"/>
      <w:bidi w:val="0"/>
      <w:ind w:left="0" w:right="0" w:firstLine="0"/>
      <w:jc w:val="left"/>
      <w:rPr>
        <w:rFonts w:ascii="Arial" w:cs="Arial" w:hAnsi="Arial" w:eastAsia="Arial"/>
        <w:shd w:val="nil" w:color="auto" w:fill="auto"/>
        <w:rtl w:val="0"/>
      </w:rPr>
    </w:pPr>
    <w:r>
      <w:rPr>
        <w:rFonts w:ascii="Arial" w:hAnsi="Arial"/>
        <w:shd w:val="nil" w:color="auto" w:fill="auto"/>
        <w:rtl w:val="0"/>
        <w:lang w:val="de-DE"/>
      </w:rPr>
      <w:t>Andrea.lagno@kuehne-nagel.com</w:t>
    </w:r>
  </w:p>
  <w:p>
    <w:pPr>
      <w:pStyle w:val="Address2"/>
      <w:rPr>
        <w:rFonts w:ascii="Arial Black" w:cs="Arial Black" w:hAnsi="Arial Black" w:eastAsia="Arial Black"/>
        <w:b w:val="0"/>
        <w:bCs w:val="0"/>
        <w:shd w:val="nil" w:color="auto" w:fill="auto"/>
      </w:rPr>
    </w:pPr>
  </w:p>
  <w:p>
    <w:pPr>
      <w:pStyle w:val="Corpo"/>
      <w:shd w:val="clear" w:color="auto" w:fill="ffffff"/>
      <w:rPr>
        <w:lang w:val="de-DE"/>
      </w:rPr>
    </w:pPr>
  </w:p>
  <w:p>
    <w:pPr>
      <w:pStyle w:val="header"/>
      <w:tabs>
        <w:tab w:val="right" w:pos="7173"/>
        <w:tab w:val="clear" w:pos="9072"/>
      </w:tabs>
      <w:rPr>
        <w:lang w:val="de-DE"/>
      </w:rPr>
    </w:pPr>
  </w:p>
  <w:p>
    <w:pPr>
      <w:pStyle w:val="header"/>
      <w:tabs>
        <w:tab w:val="right" w:pos="7173"/>
        <w:tab w:val="clear" w:pos="9072"/>
      </w:tabs>
    </w:pPr>
    <w:r>
      <w:rPr>
        <w:lang w:val="de-DE"/>
      </w:rPr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1"/>
  </w:abstractNum>
  <w:abstractNum w:abstractNumId="1">
    <w:multiLevelType w:val="hybridMultilevel"/>
    <w:styleLink w:val="Estilo Importado 1"/>
    <w:lvl w:ilvl="0">
      <w:start w:val="1"/>
      <w:numFmt w:val="bullet"/>
      <w:suff w:val="tab"/>
      <w:lvlText w:val="·"/>
      <w:lvlJc w:val="left"/>
      <w:pPr>
        <w:ind w:left="86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58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30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02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74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46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18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90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62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60" w:lineRule="exact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Address2">
    <w:name w:val="Address2"/>
    <w:next w:val="Address2"/>
    <w:pPr>
      <w:keepNext w:val="0"/>
      <w:keepLines w:val="0"/>
      <w:pageBreakBefore w:val="0"/>
      <w:widowControl w:val="1"/>
      <w:shd w:val="clear" w:color="auto" w:fill="auto"/>
      <w:tabs>
        <w:tab w:val="left" w:pos="352"/>
      </w:tabs>
      <w:suppressAutoHyphens w:val="0"/>
      <w:bidi w:val="0"/>
      <w:spacing w:before="0" w:after="0" w:line="220" w:lineRule="exact"/>
      <w:ind w:left="0" w:right="0" w:firstLine="0"/>
      <w:jc w:val="left"/>
      <w:outlineLvl w:val="9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2b55"/>
      <w:spacing w:val="6"/>
      <w:kern w:val="0"/>
      <w:position w:val="0"/>
      <w:sz w:val="18"/>
      <w:szCs w:val="18"/>
      <w:u w:val="none" w:color="002b55"/>
      <w:shd w:val="nil" w:color="auto" w:fill="auto"/>
      <w:vertAlign w:val="baseline"/>
      <w:lang w:val="en-US"/>
      <w14:textFill>
        <w14:solidFill>
          <w14:srgbClr w14:val="002B55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60" w:lineRule="exact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60" w:lineRule="exact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Estilo Importado 1">
    <w:name w:val="Estilo Importado 1"/>
    <w:pPr>
      <w:numPr>
        <w:numId w:val="1"/>
      </w:numPr>
    </w:p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sz w:val="22"/>
      <w:szCs w:val="22"/>
      <w:lang w:val="es-ES_tradn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