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882" w:rsidRPr="0033188E" w:rsidRDefault="00757FA9" w:rsidP="00807DAA">
      <w:pPr>
        <w:pStyle w:val="Body"/>
        <w:ind w:right="95"/>
        <w:jc w:val="right"/>
        <w:rPr>
          <w:lang w:val="fr-BE"/>
        </w:rPr>
      </w:pPr>
      <w:r>
        <w:rPr>
          <w:lang w:val="fr-BE"/>
        </w:rPr>
        <w:t>17 janvier</w:t>
      </w:r>
      <w:r w:rsidR="006618E9" w:rsidRPr="0033188E">
        <w:rPr>
          <w:lang w:val="fr-BE"/>
        </w:rPr>
        <w:t xml:space="preserve"> 201</w:t>
      </w:r>
      <w:r>
        <w:rPr>
          <w:lang w:val="fr-BE"/>
        </w:rPr>
        <w:t>8</w:t>
      </w:r>
    </w:p>
    <w:p w:rsidR="00807DAA" w:rsidRPr="0033188E" w:rsidRDefault="006618E9" w:rsidP="00807DAA">
      <w:pPr>
        <w:pStyle w:val="Body"/>
        <w:ind w:right="95"/>
        <w:jc w:val="right"/>
        <w:rPr>
          <w:lang w:val="fr-BE"/>
        </w:rPr>
      </w:pPr>
      <w:r w:rsidRPr="0033188E">
        <w:rPr>
          <w:lang w:val="fr-BE"/>
        </w:rPr>
        <w:t>V1</w:t>
      </w:r>
      <w:r w:rsidR="00757FA9">
        <w:rPr>
          <w:lang w:val="fr-BE"/>
        </w:rPr>
        <w:t>8</w:t>
      </w:r>
      <w:r w:rsidR="00807DAA" w:rsidRPr="0033188E">
        <w:rPr>
          <w:lang w:val="fr-BE"/>
        </w:rPr>
        <w:t>/</w:t>
      </w:r>
      <w:r w:rsidR="00757FA9">
        <w:rPr>
          <w:lang w:val="fr-BE"/>
        </w:rPr>
        <w:t>03F</w:t>
      </w:r>
    </w:p>
    <w:p w:rsidR="0033188E" w:rsidRPr="0033188E" w:rsidRDefault="0033188E" w:rsidP="00757FA9">
      <w:pPr>
        <w:pStyle w:val="Headline"/>
        <w:rPr>
          <w:lang w:val="fr-BE"/>
        </w:rPr>
      </w:pPr>
      <w:r w:rsidRPr="0033188E">
        <w:rPr>
          <w:lang w:val="fr-BE"/>
        </w:rPr>
        <w:t>Nombre de livraisons record pour la marque Volkswagen en 2017</w:t>
      </w:r>
    </w:p>
    <w:p w:rsidR="00893518" w:rsidRDefault="00893518" w:rsidP="00893518">
      <w:pPr>
        <w:pStyle w:val="Deck"/>
        <w:numPr>
          <w:ilvl w:val="0"/>
          <w:numId w:val="0"/>
        </w:numPr>
        <w:ind w:left="720"/>
        <w:rPr>
          <w:lang w:val="fr-BE"/>
        </w:rPr>
      </w:pPr>
    </w:p>
    <w:p w:rsidR="0033188E" w:rsidRPr="00893518" w:rsidRDefault="00893518" w:rsidP="00893518">
      <w:pPr>
        <w:pStyle w:val="Deck"/>
        <w:rPr>
          <w:lang w:val="fr-BE"/>
        </w:rPr>
      </w:pPr>
      <w:r>
        <w:rPr>
          <w:lang w:val="fr-BE"/>
        </w:rPr>
        <w:t>6</w:t>
      </w:r>
      <w:r w:rsidR="0033188E" w:rsidRPr="00893518">
        <w:rPr>
          <w:lang w:val="fr-BE"/>
        </w:rPr>
        <w:t xml:space="preserve">,23 millions de véhicules livrés dans le monde </w:t>
      </w:r>
    </w:p>
    <w:p w:rsidR="0033188E" w:rsidRPr="0033188E" w:rsidRDefault="0033188E" w:rsidP="00757FA9">
      <w:pPr>
        <w:pStyle w:val="Deck"/>
        <w:rPr>
          <w:lang w:val="fr-BE"/>
        </w:rPr>
      </w:pPr>
      <w:r w:rsidRPr="0033188E">
        <w:rPr>
          <w:lang w:val="fr-BE"/>
        </w:rPr>
        <w:t>Hausse des livraisons de 4,2% par rapport à l’année précédente</w:t>
      </w:r>
    </w:p>
    <w:p w:rsidR="0033188E" w:rsidRPr="0033188E" w:rsidRDefault="0033188E" w:rsidP="00757FA9">
      <w:pPr>
        <w:pStyle w:val="Deck"/>
        <w:rPr>
          <w:lang w:val="fr-BE"/>
        </w:rPr>
      </w:pPr>
      <w:r w:rsidRPr="0033188E">
        <w:rPr>
          <w:lang w:val="fr-BE"/>
        </w:rPr>
        <w:t xml:space="preserve">Mois de décembre record pour Volkswagen </w:t>
      </w:r>
    </w:p>
    <w:p w:rsidR="0033188E" w:rsidRPr="0033188E" w:rsidRDefault="0033188E" w:rsidP="00757FA9">
      <w:pPr>
        <w:pStyle w:val="Deck"/>
        <w:rPr>
          <w:lang w:val="fr-BE"/>
        </w:rPr>
      </w:pPr>
      <w:r w:rsidRPr="0033188E">
        <w:rPr>
          <w:lang w:val="fr-BE"/>
        </w:rPr>
        <w:t xml:space="preserve">Nombre de livraisons record pour la gamme Tiguan </w:t>
      </w:r>
    </w:p>
    <w:p w:rsidR="0033188E" w:rsidRPr="0033188E" w:rsidRDefault="0033188E" w:rsidP="0033188E">
      <w:pPr>
        <w:rPr>
          <w:lang w:val="fr-BE"/>
        </w:rPr>
      </w:pPr>
    </w:p>
    <w:p w:rsidR="0033188E" w:rsidRDefault="0033188E" w:rsidP="0033188E">
      <w:pPr>
        <w:rPr>
          <w:lang w:val="fr-BE"/>
        </w:rPr>
      </w:pPr>
      <w:r w:rsidRPr="0033188E">
        <w:rPr>
          <w:lang w:val="fr-BE"/>
        </w:rPr>
        <w:t>La marque Volkswagen a livr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6,23 millions de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hicules dans le monde en 2017, un record pour la marque Volkswagen. La Chine, le plus grand march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unique, est le principal moteur de ce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veloppement positif avec plus de 3 millions de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hicules livr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s pour la premi</w:t>
      </w:r>
      <w:r w:rsidRPr="0033188E">
        <w:rPr>
          <w:rFonts w:hint="eastAsia"/>
          <w:lang w:val="fr-BE"/>
        </w:rPr>
        <w:t>è</w:t>
      </w:r>
      <w:r w:rsidRPr="0033188E">
        <w:rPr>
          <w:lang w:val="fr-BE"/>
        </w:rPr>
        <w:t>re fois l’an dernier, soit une hausse de 5,9 % par rapport à 2016.</w:t>
      </w:r>
    </w:p>
    <w:p w:rsidR="00893518" w:rsidRPr="0033188E" w:rsidRDefault="00893518" w:rsidP="0033188E">
      <w:pPr>
        <w:rPr>
          <w:lang w:val="fr-BE"/>
        </w:rPr>
      </w:pPr>
    </w:p>
    <w:p w:rsidR="0033188E" w:rsidRDefault="0033188E" w:rsidP="0033188E">
      <w:pPr>
        <w:rPr>
          <w:lang w:val="fr-BE"/>
        </w:rPr>
      </w:pPr>
      <w:r w:rsidRPr="0033188E">
        <w:rPr>
          <w:lang w:val="fr-BE"/>
        </w:rPr>
        <w:t>Volkswagen a lanc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la plus grande campagne produits de l’histoire de la marque en 2017 sous la strat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gie </w:t>
      </w:r>
      <w:r w:rsidRPr="0033188E">
        <w:rPr>
          <w:rFonts w:hint="eastAsia"/>
          <w:lang w:val="fr-BE"/>
        </w:rPr>
        <w:t>«</w:t>
      </w:r>
      <w:r w:rsidRPr="0033188E">
        <w:rPr>
          <w:lang w:val="fr-BE"/>
        </w:rPr>
        <w:t> TRANSFORM 2025+ </w:t>
      </w:r>
      <w:r w:rsidRPr="0033188E">
        <w:rPr>
          <w:rFonts w:hint="eastAsia"/>
          <w:lang w:val="fr-BE"/>
        </w:rPr>
        <w:t>»</w:t>
      </w:r>
      <w:r w:rsidRPr="0033188E">
        <w:rPr>
          <w:lang w:val="fr-BE"/>
        </w:rPr>
        <w:t>. Les livraisons ont progress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mani</w:t>
      </w:r>
      <w:r w:rsidRPr="0033188E">
        <w:rPr>
          <w:rFonts w:hint="eastAsia"/>
          <w:lang w:val="fr-BE"/>
        </w:rPr>
        <w:t>è</w:t>
      </w:r>
      <w:r w:rsidRPr="0033188E">
        <w:rPr>
          <w:lang w:val="fr-BE"/>
        </w:rPr>
        <w:t xml:space="preserve">re significative. Volkswagen a 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galement enregistr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un nouveau record en termes de livraisons sur le mois de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cembre avec 594 100 unités dans le monde (+ 5,6 %). La gamme Tiguan affiche une augment</w:t>
      </w:r>
      <w:r w:rsidRPr="0033188E">
        <w:rPr>
          <w:rFonts w:hint="eastAsia"/>
          <w:lang w:val="fr-BE"/>
        </w:rPr>
        <w:t>ation</w:t>
      </w:r>
      <w:r w:rsidRPr="0033188E">
        <w:rPr>
          <w:lang w:val="fr-BE"/>
        </w:rPr>
        <w:t xml:space="preserve"> de 38 % par rapport </w:t>
      </w:r>
      <w:r w:rsidRPr="0033188E">
        <w:rPr>
          <w:rFonts w:hint="eastAsia"/>
          <w:lang w:val="fr-BE"/>
        </w:rPr>
        <w:t>à</w:t>
      </w:r>
      <w:r w:rsidRPr="0033188E">
        <w:rPr>
          <w:lang w:val="fr-BE"/>
        </w:rPr>
        <w:t xml:space="preserve"> l’année précédente avec 720 000 unit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s livr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es dans le monde, un record.</w:t>
      </w:r>
    </w:p>
    <w:p w:rsidR="00893518" w:rsidRPr="0033188E" w:rsidRDefault="00893518" w:rsidP="0033188E">
      <w:pPr>
        <w:rPr>
          <w:lang w:val="fr-BE"/>
        </w:rPr>
      </w:pPr>
    </w:p>
    <w:p w:rsidR="0033188E" w:rsidRPr="0033188E" w:rsidRDefault="0033188E" w:rsidP="0033188E">
      <w:pPr>
        <w:rPr>
          <w:lang w:val="fr-BE"/>
        </w:rPr>
      </w:pPr>
      <w:r w:rsidRPr="0033188E">
        <w:rPr>
          <w:lang w:val="fr-BE"/>
        </w:rPr>
        <w:t>J</w:t>
      </w:r>
      <w:r w:rsidRPr="0033188E">
        <w:rPr>
          <w:rFonts w:hint="eastAsia"/>
          <w:lang w:val="fr-BE"/>
        </w:rPr>
        <w:t>ü</w:t>
      </w:r>
      <w:r w:rsidRPr="0033188E">
        <w:rPr>
          <w:lang w:val="fr-BE"/>
        </w:rPr>
        <w:t xml:space="preserve">rgen </w:t>
      </w:r>
      <w:proofErr w:type="spellStart"/>
      <w:r w:rsidRPr="0033188E">
        <w:rPr>
          <w:lang w:val="fr-BE"/>
        </w:rPr>
        <w:t>Stackmann</w:t>
      </w:r>
      <w:proofErr w:type="spellEnd"/>
      <w:r w:rsidRPr="0033188E">
        <w:rPr>
          <w:lang w:val="fr-BE"/>
        </w:rPr>
        <w:t>, directeur commercial de la marque Volkswagen, a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clar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 : </w:t>
      </w:r>
      <w:r w:rsidRPr="0033188E">
        <w:rPr>
          <w:rFonts w:hint="eastAsia"/>
          <w:lang w:val="fr-BE"/>
        </w:rPr>
        <w:t>«</w:t>
      </w:r>
      <w:r w:rsidRPr="0033188E">
        <w:rPr>
          <w:lang w:val="fr-BE"/>
        </w:rPr>
        <w:t> Nous sommes ravis de la forte demande pour nos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hicules et de l’évolution positive de la marque au cours de ces derniers mois. Je tiens </w:t>
      </w:r>
      <w:r w:rsidRPr="0033188E">
        <w:rPr>
          <w:rFonts w:hint="eastAsia"/>
          <w:lang w:val="fr-BE"/>
        </w:rPr>
        <w:t>à</w:t>
      </w:r>
      <w:r w:rsidRPr="0033188E">
        <w:rPr>
          <w:lang w:val="fr-BE"/>
        </w:rPr>
        <w:t xml:space="preserve"> remercier nos clients pour leur confiance ainsi que nos partenaires commerciaux pour leur excellent travail. Je constate avec plaisir que les commandes de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hicules 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lectriques en Allemagne et en Europe ont tripl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par rapport </w:t>
      </w:r>
      <w:r w:rsidRPr="0033188E">
        <w:rPr>
          <w:rFonts w:hint="eastAsia"/>
          <w:lang w:val="fr-BE"/>
        </w:rPr>
        <w:t>à</w:t>
      </w:r>
      <w:r w:rsidRPr="0033188E">
        <w:rPr>
          <w:lang w:val="fr-BE"/>
        </w:rPr>
        <w:t xml:space="preserve"> 2016. Nous allons acc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l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rer le rythme de notre campagne produits en 2018 avec le lancement de nouveaux mod</w:t>
      </w:r>
      <w:r w:rsidRPr="0033188E">
        <w:rPr>
          <w:rFonts w:hint="eastAsia"/>
          <w:lang w:val="fr-BE"/>
        </w:rPr>
        <w:t>è</w:t>
      </w:r>
      <w:r w:rsidRPr="0033188E">
        <w:rPr>
          <w:lang w:val="fr-BE"/>
        </w:rPr>
        <w:t xml:space="preserve">les comme la Polo, le </w:t>
      </w:r>
      <w:proofErr w:type="spellStart"/>
      <w:r w:rsidRPr="0033188E">
        <w:rPr>
          <w:lang w:val="fr-BE"/>
        </w:rPr>
        <w:t>T-Roc</w:t>
      </w:r>
      <w:proofErr w:type="spellEnd"/>
      <w:r w:rsidRPr="0033188E">
        <w:rPr>
          <w:lang w:val="fr-BE"/>
        </w:rPr>
        <w:t xml:space="preserve"> et le Touareg </w:t>
      </w:r>
      <w:r w:rsidRPr="0033188E">
        <w:rPr>
          <w:rFonts w:hint="eastAsia"/>
          <w:lang w:val="fr-BE"/>
        </w:rPr>
        <w:t>»</w:t>
      </w:r>
      <w:r w:rsidRPr="0033188E">
        <w:rPr>
          <w:lang w:val="fr-BE"/>
        </w:rPr>
        <w:t>.</w:t>
      </w:r>
    </w:p>
    <w:p w:rsidR="00893518" w:rsidRDefault="00893518">
      <w:pPr>
        <w:rPr>
          <w:lang w:val="fr-BE"/>
        </w:rPr>
      </w:pPr>
      <w:r>
        <w:rPr>
          <w:lang w:val="fr-BE"/>
        </w:rPr>
        <w:br w:type="page"/>
      </w:r>
    </w:p>
    <w:p w:rsidR="0033188E" w:rsidRPr="0033188E" w:rsidRDefault="0033188E" w:rsidP="0033188E">
      <w:pPr>
        <w:rPr>
          <w:lang w:val="fr-BE"/>
        </w:rPr>
      </w:pPr>
      <w:r w:rsidRPr="0033188E">
        <w:rPr>
          <w:lang w:val="fr-BE"/>
        </w:rPr>
        <w:lastRenderedPageBreak/>
        <w:t>Les principales tendances du mois de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cembre par 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gion et par march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sont les suivantes : </w:t>
      </w:r>
    </w:p>
    <w:p w:rsidR="0033188E" w:rsidRPr="0033188E" w:rsidRDefault="0033188E" w:rsidP="00893518">
      <w:pPr>
        <w:ind w:left="708"/>
        <w:rPr>
          <w:lang w:val="fr-BE"/>
        </w:rPr>
      </w:pPr>
      <w:r w:rsidRPr="0033188E">
        <w:rPr>
          <w:lang w:val="fr-BE"/>
        </w:rPr>
        <w:t>Avec 136 400 unit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s, les livraisons en Europe ont progress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1,6 % par rapport </w:t>
      </w:r>
      <w:r w:rsidRPr="0033188E">
        <w:rPr>
          <w:rFonts w:hint="eastAsia"/>
          <w:lang w:val="fr-BE"/>
        </w:rPr>
        <w:t>à</w:t>
      </w:r>
      <w:r w:rsidRPr="0033188E">
        <w:rPr>
          <w:lang w:val="fr-BE"/>
        </w:rPr>
        <w:t xml:space="preserve"> l’année précédente. La marque Volkswagen a enregistr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une forte croissance en Belgique (+ 17,8 %) et au Danemark (+ 10,4 %). Cette tendance positive s’explique par la forte demande pour la Golf et le Tiguan, mais 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galement par le lancement 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ussi de la nouvelle Polo. </w:t>
      </w:r>
    </w:p>
    <w:p w:rsidR="0033188E" w:rsidRPr="0033188E" w:rsidRDefault="0033188E" w:rsidP="00893518">
      <w:pPr>
        <w:ind w:left="708"/>
        <w:rPr>
          <w:lang w:val="fr-BE"/>
        </w:rPr>
      </w:pPr>
      <w:r w:rsidRPr="0033188E">
        <w:rPr>
          <w:lang w:val="fr-BE"/>
        </w:rPr>
        <w:t>Avec 42 000 unit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s, les livraisons en Allemagne sur le mois de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cembre ont grimpé de 8,4 %. Les commandes continuent leur tendance </w:t>
      </w:r>
      <w:r w:rsidRPr="0033188E">
        <w:rPr>
          <w:rFonts w:hint="eastAsia"/>
          <w:lang w:val="fr-BE"/>
        </w:rPr>
        <w:t>à</w:t>
      </w:r>
      <w:r w:rsidRPr="0033188E">
        <w:rPr>
          <w:lang w:val="fr-BE"/>
        </w:rPr>
        <w:t xml:space="preserve"> la hausse, notamment gr</w:t>
      </w:r>
      <w:r w:rsidRPr="0033188E">
        <w:rPr>
          <w:rFonts w:hint="eastAsia"/>
          <w:lang w:val="fr-BE"/>
        </w:rPr>
        <w:t>â</w:t>
      </w:r>
      <w:r w:rsidRPr="0033188E">
        <w:rPr>
          <w:lang w:val="fr-BE"/>
        </w:rPr>
        <w:t xml:space="preserve">ce à la prime environnementale. </w:t>
      </w:r>
    </w:p>
    <w:p w:rsidR="0033188E" w:rsidRPr="0033188E" w:rsidRDefault="0033188E" w:rsidP="00893518">
      <w:pPr>
        <w:ind w:left="708"/>
        <w:rPr>
          <w:lang w:val="fr-BE"/>
        </w:rPr>
      </w:pPr>
      <w:r w:rsidRPr="0033188E">
        <w:rPr>
          <w:lang w:val="fr-BE"/>
        </w:rPr>
        <w:t>La marque Volkswagen a enregistr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une croissance significative en Europe Centrale et de l’Est avec une hausse des livraisons de 23,8 %. Cette tendance est très marquée en Pologne (+ 27,9 %) et en Russie (+ 35,2 %) par rapport à décembre 2016.</w:t>
      </w:r>
    </w:p>
    <w:p w:rsidR="0033188E" w:rsidRPr="0033188E" w:rsidRDefault="0033188E" w:rsidP="00893518">
      <w:pPr>
        <w:ind w:left="708"/>
        <w:rPr>
          <w:lang w:val="fr-BE"/>
        </w:rPr>
      </w:pPr>
      <w:r w:rsidRPr="0033188E">
        <w:rPr>
          <w:lang w:val="fr-BE"/>
        </w:rPr>
        <w:t>Avec 51 600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hicules livr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s, les livraisons en Am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rique du Nord ont baiss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12,3 % par rapport </w:t>
      </w:r>
      <w:r w:rsidRPr="0033188E">
        <w:rPr>
          <w:rFonts w:hint="eastAsia"/>
          <w:lang w:val="fr-BE"/>
        </w:rPr>
        <w:t>au m</w:t>
      </w:r>
      <w:r w:rsidRPr="0033188E">
        <w:rPr>
          <w:lang w:val="fr-BE"/>
        </w:rPr>
        <w:t>ême mois de l’année précédente. Alors que les ventes aux États-Unis sur le mois de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cembre ont baiss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18,7 %, les livraisons sur l’ann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e 2017 ont progress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5,2 %. Il s’agit de la premi</w:t>
      </w:r>
      <w:r w:rsidRPr="0033188E">
        <w:rPr>
          <w:rFonts w:hint="eastAsia"/>
          <w:lang w:val="fr-BE"/>
        </w:rPr>
        <w:t>è</w:t>
      </w:r>
      <w:r w:rsidRPr="0033188E">
        <w:rPr>
          <w:lang w:val="fr-BE"/>
        </w:rPr>
        <w:t>re hausse de livraisons depuis 2013. Au Canada, les livraisons ont remarquablement augmenté de 53,7 % sur le mois de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cembre avec 4 200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hicules vendus. Cette tendance s’explique par la Golf </w:t>
      </w:r>
      <w:proofErr w:type="spellStart"/>
      <w:r w:rsidRPr="0033188E">
        <w:rPr>
          <w:lang w:val="fr-BE"/>
        </w:rPr>
        <w:t>Alltrack</w:t>
      </w:r>
      <w:proofErr w:type="spellEnd"/>
      <w:r w:rsidRPr="0033188E">
        <w:rPr>
          <w:lang w:val="fr-BE"/>
        </w:rPr>
        <w:t xml:space="preserve"> et l’Atlas, ainsi que par le lancement du Tiguan en ao</w:t>
      </w:r>
      <w:r w:rsidRPr="0033188E">
        <w:rPr>
          <w:rFonts w:hint="eastAsia"/>
          <w:lang w:val="fr-BE"/>
        </w:rPr>
        <w:t>û</w:t>
      </w:r>
      <w:r w:rsidRPr="0033188E">
        <w:rPr>
          <w:lang w:val="fr-BE"/>
        </w:rPr>
        <w:t xml:space="preserve">t. </w:t>
      </w:r>
    </w:p>
    <w:p w:rsidR="0033188E" w:rsidRPr="0033188E" w:rsidRDefault="0033188E" w:rsidP="00893518">
      <w:pPr>
        <w:ind w:left="708"/>
        <w:rPr>
          <w:lang w:val="fr-BE"/>
        </w:rPr>
      </w:pPr>
      <w:r w:rsidRPr="0033188E">
        <w:rPr>
          <w:lang w:val="fr-BE"/>
        </w:rPr>
        <w:t>30 200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hicules ont 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t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livr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s en Am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rique du Sud, soit 0,4 % de plus par rapport </w:t>
      </w:r>
      <w:r w:rsidRPr="0033188E">
        <w:rPr>
          <w:rFonts w:hint="eastAsia"/>
          <w:lang w:val="fr-BE"/>
        </w:rPr>
        <w:t>à</w:t>
      </w:r>
      <w:r w:rsidRPr="0033188E">
        <w:rPr>
          <w:lang w:val="fr-BE"/>
        </w:rPr>
        <w:t xml:space="preserve"> l’année précédente. </w:t>
      </w:r>
    </w:p>
    <w:p w:rsidR="0033188E" w:rsidRPr="0033188E" w:rsidRDefault="0033188E" w:rsidP="00893518">
      <w:pPr>
        <w:ind w:left="708"/>
        <w:rPr>
          <w:lang w:val="fr-BE"/>
        </w:rPr>
      </w:pPr>
      <w:r w:rsidRPr="0033188E">
        <w:rPr>
          <w:lang w:val="fr-BE"/>
        </w:rPr>
        <w:t>En Chine, la marque Volkswagen a enregistr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nouveaux records sur le mois de d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cembre et sur l’ann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e enti</w:t>
      </w:r>
      <w:r w:rsidRPr="0033188E">
        <w:rPr>
          <w:rFonts w:hint="eastAsia"/>
          <w:lang w:val="fr-BE"/>
        </w:rPr>
        <w:t>è</w:t>
      </w:r>
      <w:r w:rsidRPr="0033188E">
        <w:rPr>
          <w:lang w:val="fr-BE"/>
        </w:rPr>
        <w:t>re. En décembre, les livraisons ont augment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 de 12,9 % par rapport au même mois de l’année précédente, un record pour la marque en Chine. Avec 3,18 millions de v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>hicules, les livraisons en Chine ont franchi pour la premi</w:t>
      </w:r>
      <w:r w:rsidRPr="0033188E">
        <w:rPr>
          <w:rFonts w:hint="eastAsia"/>
          <w:lang w:val="fr-BE"/>
        </w:rPr>
        <w:t>è</w:t>
      </w:r>
      <w:r w:rsidRPr="0033188E">
        <w:rPr>
          <w:lang w:val="fr-BE"/>
        </w:rPr>
        <w:t>re fois la barre des 3 millions sur une ann</w:t>
      </w:r>
      <w:r w:rsidRPr="0033188E">
        <w:rPr>
          <w:rFonts w:hint="eastAsia"/>
          <w:lang w:val="fr-BE"/>
        </w:rPr>
        <w:t>é</w:t>
      </w:r>
      <w:r w:rsidRPr="0033188E">
        <w:rPr>
          <w:lang w:val="fr-BE"/>
        </w:rPr>
        <w:t xml:space="preserve">e. </w:t>
      </w:r>
    </w:p>
    <w:p w:rsidR="00893518" w:rsidRDefault="00893518">
      <w:pPr>
        <w:rPr>
          <w:lang w:val="fr-BE"/>
        </w:rPr>
      </w:pPr>
      <w:r>
        <w:rPr>
          <w:lang w:val="fr-BE"/>
        </w:rPr>
        <w:br w:type="page"/>
      </w:r>
    </w:p>
    <w:p w:rsidR="0033188E" w:rsidRPr="0033188E" w:rsidRDefault="0033188E" w:rsidP="0033188E">
      <w:pPr>
        <w:rPr>
          <w:lang w:val="fr-BE"/>
        </w:rPr>
      </w:pPr>
      <w:r w:rsidRPr="0033188E">
        <w:rPr>
          <w:lang w:val="fr-BE"/>
        </w:rPr>
        <w:lastRenderedPageBreak/>
        <w:t>Vue d’ensemble des livraisons de Volkswagen en 2017 :</w:t>
      </w:r>
    </w:p>
    <w:p w:rsidR="0033188E" w:rsidRPr="0033188E" w:rsidRDefault="0033188E" w:rsidP="0033188E">
      <w:pPr>
        <w:rPr>
          <w:lang w:val="fr-B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9"/>
        <w:gridCol w:w="992"/>
        <w:gridCol w:w="993"/>
        <w:gridCol w:w="850"/>
        <w:gridCol w:w="1134"/>
        <w:gridCol w:w="1134"/>
        <w:gridCol w:w="851"/>
      </w:tblGrid>
      <w:tr w:rsidR="0033188E" w:rsidRPr="006A6122" w:rsidTr="00893518">
        <w:trPr>
          <w:trHeight w:val="259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Livraisons</w:t>
            </w:r>
            <w:proofErr w:type="spellEnd"/>
            <w:r w:rsidRPr="006A6122">
              <w:t xml:space="preserve"> </w:t>
            </w:r>
            <w:r>
              <w:t xml:space="preserve">par </w:t>
            </w:r>
            <w:r w:rsidRPr="006A6122">
              <w:t>march</w:t>
            </w:r>
            <w:r w:rsidRPr="006A6122">
              <w:rPr>
                <w:rFonts w:hint="eastAsia"/>
              </w:rPr>
              <w:t>é</w:t>
            </w:r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>
              <w:t>Dé</w:t>
            </w:r>
            <w:r w:rsidRPr="006A6122">
              <w:t xml:space="preserve">c. 2016 </w:t>
            </w:r>
          </w:p>
        </w:tc>
        <w:tc>
          <w:tcPr>
            <w:tcW w:w="993" w:type="dxa"/>
          </w:tcPr>
          <w:p w:rsidR="0033188E" w:rsidRPr="006A6122" w:rsidRDefault="0033188E" w:rsidP="006D7416">
            <w:r>
              <w:t>Dé</w:t>
            </w:r>
            <w:r w:rsidRPr="006A6122">
              <w:t xml:space="preserve">c. 2017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 xml:space="preserve">Var. (%) </w:t>
            </w:r>
          </w:p>
        </w:tc>
        <w:tc>
          <w:tcPr>
            <w:tcW w:w="1134" w:type="dxa"/>
          </w:tcPr>
          <w:p w:rsidR="0033188E" w:rsidRPr="006A6122" w:rsidRDefault="0033188E" w:rsidP="006D7416">
            <w:r>
              <w:t>Jan.-Dé</w:t>
            </w:r>
            <w:r w:rsidRPr="006A6122">
              <w:t xml:space="preserve">c. 2016 </w:t>
            </w:r>
          </w:p>
        </w:tc>
        <w:tc>
          <w:tcPr>
            <w:tcW w:w="1134" w:type="dxa"/>
          </w:tcPr>
          <w:p w:rsidR="0033188E" w:rsidRPr="006A6122" w:rsidRDefault="0033188E" w:rsidP="006D7416">
            <w:r>
              <w:t>Jan.-Dé</w:t>
            </w:r>
            <w:r w:rsidRPr="006A6122">
              <w:t xml:space="preserve">c. 2017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 xml:space="preserve">Var. (%) </w:t>
            </w:r>
          </w:p>
        </w:tc>
      </w:tr>
      <w:tr w:rsidR="0033188E" w:rsidRPr="006A6122" w:rsidTr="00893518">
        <w:trPr>
          <w:trHeight w:val="148"/>
        </w:trPr>
        <w:tc>
          <w:tcPr>
            <w:tcW w:w="1379" w:type="dxa"/>
          </w:tcPr>
          <w:p w:rsidR="0033188E" w:rsidRPr="006A6122" w:rsidRDefault="0033188E" w:rsidP="006D7416">
            <w:r w:rsidRPr="006A6122">
              <w:t xml:space="preserve">Europe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134 300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136 400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1,</w:t>
            </w:r>
            <w:r w:rsidRPr="006A6122">
              <w:t xml:space="preserve">6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1 690 300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1 688 100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-</w:t>
            </w:r>
            <w:r>
              <w:t xml:space="preserve"> 0,</w:t>
            </w:r>
            <w:r w:rsidRPr="006A6122">
              <w:t xml:space="preserve">1 </w:t>
            </w:r>
          </w:p>
        </w:tc>
      </w:tr>
      <w:tr w:rsidR="0033188E" w:rsidRPr="006A6122" w:rsidTr="00893518">
        <w:trPr>
          <w:trHeight w:val="147"/>
        </w:trPr>
        <w:tc>
          <w:tcPr>
            <w:tcW w:w="1379" w:type="dxa"/>
          </w:tcPr>
          <w:p w:rsidR="0033188E" w:rsidRPr="006A6122" w:rsidRDefault="0033188E" w:rsidP="006D7416">
            <w:r w:rsidRPr="006A6122">
              <w:t xml:space="preserve">Europe de </w:t>
            </w:r>
            <w:proofErr w:type="spellStart"/>
            <w:r w:rsidRPr="006A6122">
              <w:t>l’Ouest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114 100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111 400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-</w:t>
            </w:r>
            <w:r>
              <w:t xml:space="preserve"> 2,</w:t>
            </w:r>
            <w:r w:rsidRPr="006A6122">
              <w:t xml:space="preserve">4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1 466 100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1 429 200 </w:t>
            </w:r>
          </w:p>
        </w:tc>
        <w:tc>
          <w:tcPr>
            <w:tcW w:w="851" w:type="dxa"/>
          </w:tcPr>
          <w:p w:rsidR="0033188E" w:rsidRPr="006A6122" w:rsidRDefault="0033188E" w:rsidP="006D7416">
            <w:r>
              <w:t>- 2,</w:t>
            </w:r>
            <w:r w:rsidRPr="006A6122">
              <w:t xml:space="preserve">5 </w:t>
            </w:r>
          </w:p>
        </w:tc>
      </w:tr>
      <w:tr w:rsidR="0033188E" w:rsidRPr="006A6122" w:rsidTr="00893518">
        <w:trPr>
          <w:trHeight w:val="147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Allemagne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38 800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42 000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8,</w:t>
            </w:r>
            <w:r w:rsidRPr="006A6122">
              <w:t xml:space="preserve">4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557 800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531 600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-</w:t>
            </w:r>
            <w:r>
              <w:t xml:space="preserve"> 4,</w:t>
            </w:r>
            <w:r w:rsidRPr="006A6122">
              <w:t xml:space="preserve">7 </w:t>
            </w:r>
          </w:p>
        </w:tc>
      </w:tr>
      <w:tr w:rsidR="0033188E" w:rsidRPr="006A6122" w:rsidTr="00893518">
        <w:trPr>
          <w:trHeight w:val="148"/>
        </w:trPr>
        <w:tc>
          <w:tcPr>
            <w:tcW w:w="1379" w:type="dxa"/>
          </w:tcPr>
          <w:p w:rsidR="0033188E" w:rsidRPr="0033188E" w:rsidRDefault="0033188E" w:rsidP="006D7416">
            <w:pPr>
              <w:rPr>
                <w:lang w:val="fr-BE"/>
              </w:rPr>
            </w:pPr>
            <w:r w:rsidRPr="0033188E">
              <w:rPr>
                <w:lang w:val="fr-BE"/>
              </w:rPr>
              <w:t xml:space="preserve">Europe Centrale et de l’Est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20 200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25 000 </w:t>
            </w:r>
          </w:p>
        </w:tc>
        <w:tc>
          <w:tcPr>
            <w:tcW w:w="850" w:type="dxa"/>
          </w:tcPr>
          <w:p w:rsidR="0033188E" w:rsidRPr="006A6122" w:rsidRDefault="0033188E" w:rsidP="006D7416">
            <w:r>
              <w:t>+ 23,</w:t>
            </w:r>
            <w:r w:rsidRPr="006A6122">
              <w:t xml:space="preserve">8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224 200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259 000 </w:t>
            </w:r>
          </w:p>
        </w:tc>
        <w:tc>
          <w:tcPr>
            <w:tcW w:w="851" w:type="dxa"/>
          </w:tcPr>
          <w:p w:rsidR="0033188E" w:rsidRPr="006A6122" w:rsidRDefault="0033188E" w:rsidP="006D7416">
            <w:r>
              <w:t>+ 15,</w:t>
            </w:r>
            <w:r w:rsidRPr="006A6122">
              <w:t xml:space="preserve">5 </w:t>
            </w:r>
          </w:p>
        </w:tc>
      </w:tr>
      <w:tr w:rsidR="0033188E" w:rsidRPr="006A6122" w:rsidTr="00893518">
        <w:trPr>
          <w:trHeight w:val="146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Russie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7 600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10 300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35,</w:t>
            </w:r>
            <w:r w:rsidRPr="006A6122">
              <w:t xml:space="preserve">2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74 200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89 400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20,</w:t>
            </w:r>
            <w:r w:rsidRPr="006A6122">
              <w:t xml:space="preserve">4 </w:t>
            </w:r>
          </w:p>
        </w:tc>
      </w:tr>
      <w:tr w:rsidR="0033188E" w:rsidRPr="006A6122" w:rsidTr="00893518">
        <w:trPr>
          <w:trHeight w:val="148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Am</w:t>
            </w:r>
            <w:r w:rsidRPr="006A6122">
              <w:rPr>
                <w:rFonts w:hint="eastAsia"/>
              </w:rPr>
              <w:t>é</w:t>
            </w:r>
            <w:r w:rsidRPr="006A6122">
              <w:t>rique</w:t>
            </w:r>
            <w:proofErr w:type="spellEnd"/>
            <w:r w:rsidRPr="006A6122">
              <w:t xml:space="preserve"> du Nord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58 800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51 600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-</w:t>
            </w:r>
            <w:r>
              <w:t xml:space="preserve"> 12,</w:t>
            </w:r>
            <w:r w:rsidRPr="006A6122">
              <w:t xml:space="preserve">3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580 600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591 600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1,</w:t>
            </w:r>
            <w:r w:rsidRPr="006A6122">
              <w:t xml:space="preserve">9 </w:t>
            </w:r>
          </w:p>
        </w:tc>
      </w:tr>
      <w:tr w:rsidR="0033188E" w:rsidRPr="006A6122" w:rsidTr="00893518">
        <w:trPr>
          <w:trHeight w:val="147"/>
        </w:trPr>
        <w:tc>
          <w:tcPr>
            <w:tcW w:w="1379" w:type="dxa"/>
          </w:tcPr>
          <w:p w:rsidR="0033188E" w:rsidRPr="006A6122" w:rsidRDefault="0033188E" w:rsidP="006D7416">
            <w:r w:rsidRPr="006A6122">
              <w:t xml:space="preserve">USA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37 200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30 300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-</w:t>
            </w:r>
            <w:r>
              <w:t xml:space="preserve"> 18,</w:t>
            </w:r>
            <w:r w:rsidRPr="006A6122">
              <w:t xml:space="preserve">7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322 900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339 700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5,</w:t>
            </w:r>
            <w:r w:rsidRPr="006A6122">
              <w:t xml:space="preserve">2 </w:t>
            </w:r>
          </w:p>
        </w:tc>
      </w:tr>
      <w:tr w:rsidR="0033188E" w:rsidRPr="006A6122" w:rsidTr="00893518">
        <w:trPr>
          <w:trHeight w:val="147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Am</w:t>
            </w:r>
            <w:r w:rsidRPr="006A6122">
              <w:rPr>
                <w:rFonts w:hint="eastAsia"/>
              </w:rPr>
              <w:t>é</w:t>
            </w:r>
            <w:r w:rsidRPr="006A6122">
              <w:t>rique</w:t>
            </w:r>
            <w:proofErr w:type="spellEnd"/>
            <w:r w:rsidRPr="006A6122">
              <w:t xml:space="preserve"> du </w:t>
            </w:r>
            <w:proofErr w:type="spellStart"/>
            <w:r w:rsidRPr="006A6122">
              <w:t>Sud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30 100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30 200 </w:t>
            </w:r>
          </w:p>
        </w:tc>
        <w:tc>
          <w:tcPr>
            <w:tcW w:w="850" w:type="dxa"/>
          </w:tcPr>
          <w:p w:rsidR="0033188E" w:rsidRPr="006A6122" w:rsidRDefault="0033188E" w:rsidP="006D7416">
            <w:r>
              <w:t>+ 0,</w:t>
            </w:r>
            <w:r w:rsidRPr="006A6122">
              <w:t xml:space="preserve">4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335 400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419 200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25,</w:t>
            </w:r>
            <w:r w:rsidRPr="006A6122">
              <w:t xml:space="preserve">0 </w:t>
            </w:r>
          </w:p>
        </w:tc>
      </w:tr>
      <w:tr w:rsidR="0033188E" w:rsidRPr="006A6122" w:rsidTr="00893518">
        <w:trPr>
          <w:trHeight w:val="147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Br</w:t>
            </w:r>
            <w:r w:rsidRPr="006A6122">
              <w:rPr>
                <w:rFonts w:hint="eastAsia"/>
              </w:rPr>
              <w:t>é</w:t>
            </w:r>
            <w:r w:rsidRPr="006A6122">
              <w:t>sil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21 400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21 000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-</w:t>
            </w:r>
            <w:r>
              <w:t xml:space="preserve"> 2,</w:t>
            </w:r>
            <w:r w:rsidRPr="006A6122">
              <w:t xml:space="preserve">3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218 200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261 100 </w:t>
            </w:r>
          </w:p>
        </w:tc>
        <w:tc>
          <w:tcPr>
            <w:tcW w:w="851" w:type="dxa"/>
          </w:tcPr>
          <w:p w:rsidR="0033188E" w:rsidRPr="006A6122" w:rsidRDefault="0033188E" w:rsidP="006D7416">
            <w:r>
              <w:t>+ 19,</w:t>
            </w:r>
            <w:r w:rsidRPr="006A6122">
              <w:t xml:space="preserve">7 </w:t>
            </w:r>
          </w:p>
        </w:tc>
      </w:tr>
      <w:tr w:rsidR="0033188E" w:rsidRPr="006A6122" w:rsidTr="00893518">
        <w:trPr>
          <w:trHeight w:val="148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Asie-Pacifique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317 300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356 300 </w:t>
            </w:r>
          </w:p>
        </w:tc>
        <w:tc>
          <w:tcPr>
            <w:tcW w:w="850" w:type="dxa"/>
          </w:tcPr>
          <w:p w:rsidR="0033188E" w:rsidRPr="006A6122" w:rsidRDefault="0033188E" w:rsidP="006D7416">
            <w:r>
              <w:t>+ 12,</w:t>
            </w:r>
            <w:r w:rsidRPr="006A6122">
              <w:t xml:space="preserve">3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3 171 700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3 342 800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5,</w:t>
            </w:r>
            <w:r w:rsidRPr="006A6122">
              <w:t xml:space="preserve">4 </w:t>
            </w:r>
          </w:p>
        </w:tc>
      </w:tr>
      <w:tr w:rsidR="0033188E" w:rsidRPr="006A6122" w:rsidTr="00893518">
        <w:trPr>
          <w:trHeight w:val="146"/>
        </w:trPr>
        <w:tc>
          <w:tcPr>
            <w:tcW w:w="1379" w:type="dxa"/>
          </w:tcPr>
          <w:p w:rsidR="0033188E" w:rsidRPr="006A6122" w:rsidRDefault="0033188E" w:rsidP="006D7416">
            <w:proofErr w:type="spellStart"/>
            <w:r w:rsidRPr="006A6122">
              <w:t>Chine</w:t>
            </w:r>
            <w:proofErr w:type="spellEnd"/>
            <w:r w:rsidRPr="006A6122">
              <w:t xml:space="preserve">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303 100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342 100 </w:t>
            </w:r>
          </w:p>
        </w:tc>
        <w:tc>
          <w:tcPr>
            <w:tcW w:w="850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12,</w:t>
            </w:r>
            <w:r w:rsidRPr="006A6122">
              <w:t xml:space="preserve">9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2 999 300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3 177 300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5,</w:t>
            </w:r>
            <w:r w:rsidRPr="006A6122">
              <w:t xml:space="preserve">9 </w:t>
            </w:r>
          </w:p>
        </w:tc>
      </w:tr>
      <w:tr w:rsidR="0033188E" w:rsidRPr="006A6122" w:rsidTr="00893518">
        <w:trPr>
          <w:trHeight w:val="148"/>
        </w:trPr>
        <w:tc>
          <w:tcPr>
            <w:tcW w:w="1379" w:type="dxa"/>
          </w:tcPr>
          <w:p w:rsidR="0033188E" w:rsidRPr="006A6122" w:rsidRDefault="0033188E" w:rsidP="006D7416">
            <w:r w:rsidRPr="006A6122">
              <w:t xml:space="preserve">Monde </w:t>
            </w:r>
          </w:p>
        </w:tc>
        <w:tc>
          <w:tcPr>
            <w:tcW w:w="992" w:type="dxa"/>
          </w:tcPr>
          <w:p w:rsidR="0033188E" w:rsidRPr="006A6122" w:rsidRDefault="0033188E" w:rsidP="006D7416">
            <w:r w:rsidRPr="006A6122">
              <w:t xml:space="preserve">562 400 </w:t>
            </w:r>
          </w:p>
        </w:tc>
        <w:tc>
          <w:tcPr>
            <w:tcW w:w="993" w:type="dxa"/>
          </w:tcPr>
          <w:p w:rsidR="0033188E" w:rsidRPr="006A6122" w:rsidRDefault="0033188E" w:rsidP="006D7416">
            <w:r w:rsidRPr="006A6122">
              <w:t xml:space="preserve">594 100 </w:t>
            </w:r>
          </w:p>
        </w:tc>
        <w:tc>
          <w:tcPr>
            <w:tcW w:w="850" w:type="dxa"/>
          </w:tcPr>
          <w:p w:rsidR="0033188E" w:rsidRPr="006A6122" w:rsidRDefault="0033188E" w:rsidP="006D7416">
            <w:r>
              <w:t>+ 5,</w:t>
            </w:r>
            <w:r w:rsidRPr="006A6122">
              <w:t xml:space="preserve">6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5 980 300 </w:t>
            </w:r>
          </w:p>
        </w:tc>
        <w:tc>
          <w:tcPr>
            <w:tcW w:w="1134" w:type="dxa"/>
          </w:tcPr>
          <w:p w:rsidR="0033188E" w:rsidRPr="006A6122" w:rsidRDefault="0033188E" w:rsidP="006D7416">
            <w:r w:rsidRPr="006A6122">
              <w:t xml:space="preserve">6 230 200 </w:t>
            </w:r>
          </w:p>
        </w:tc>
        <w:tc>
          <w:tcPr>
            <w:tcW w:w="851" w:type="dxa"/>
          </w:tcPr>
          <w:p w:rsidR="0033188E" w:rsidRPr="006A6122" w:rsidRDefault="0033188E" w:rsidP="006D7416">
            <w:r w:rsidRPr="006A6122">
              <w:t>+</w:t>
            </w:r>
            <w:r>
              <w:t xml:space="preserve"> 4,</w:t>
            </w:r>
            <w:r w:rsidRPr="006A6122">
              <w:t xml:space="preserve">2 </w:t>
            </w:r>
          </w:p>
        </w:tc>
      </w:tr>
    </w:tbl>
    <w:p w:rsidR="00807DAA" w:rsidRDefault="00807DAA" w:rsidP="00893518">
      <w:pPr>
        <w:pStyle w:val="Body"/>
      </w:pPr>
      <w:bookmarkStart w:id="0" w:name="_GoBack"/>
      <w:bookmarkEnd w:id="0"/>
    </w:p>
    <w:sectPr w:rsidR="00807DAA" w:rsidSect="00807DAA">
      <w:headerReference w:type="first" r:id="rId7"/>
      <w:pgSz w:w="11906" w:h="16838"/>
      <w:pgMar w:top="3828" w:right="1440" w:bottom="1985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88E" w:rsidRDefault="0033188E" w:rsidP="00807DAA">
      <w:pPr>
        <w:spacing w:after="0" w:line="240" w:lineRule="auto"/>
      </w:pPr>
      <w:r>
        <w:separator/>
      </w:r>
    </w:p>
  </w:endnote>
  <w:endnote w:type="continuationSeparator" w:id="0">
    <w:p w:rsidR="0033188E" w:rsidRDefault="0033188E" w:rsidP="0080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88E" w:rsidRDefault="0033188E" w:rsidP="00807DAA">
      <w:pPr>
        <w:spacing w:after="0" w:line="240" w:lineRule="auto"/>
      </w:pPr>
      <w:r>
        <w:separator/>
      </w:r>
    </w:p>
  </w:footnote>
  <w:footnote w:type="continuationSeparator" w:id="0">
    <w:p w:rsidR="0033188E" w:rsidRDefault="0033188E" w:rsidP="00807D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DAA" w:rsidRDefault="00807DAA">
    <w:pPr>
      <w:pStyle w:val="Header"/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914400" y="449580"/>
          <wp:positionH relativeFrom="page">
            <wp:align>center</wp:align>
          </wp:positionH>
          <wp:positionV relativeFrom="page">
            <wp:align>center</wp:align>
          </wp:positionV>
          <wp:extent cx="7542000" cy="10666800"/>
          <wp:effectExtent l="0" t="0" r="1905" b="127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06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953F9E"/>
    <w:multiLevelType w:val="hybridMultilevel"/>
    <w:tmpl w:val="E146C31E"/>
    <w:lvl w:ilvl="0" w:tplc="E45E8710">
      <w:start w:val="1"/>
      <w:numFmt w:val="bullet"/>
      <w:pStyle w:val="Dec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8E"/>
    <w:rsid w:val="0022448E"/>
    <w:rsid w:val="00225CB0"/>
    <w:rsid w:val="003304D9"/>
    <w:rsid w:val="0033188E"/>
    <w:rsid w:val="004353BC"/>
    <w:rsid w:val="006618E9"/>
    <w:rsid w:val="00672882"/>
    <w:rsid w:val="00757FA9"/>
    <w:rsid w:val="00807DAA"/>
    <w:rsid w:val="0089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69E484"/>
  <w15:chartTrackingRefBased/>
  <w15:docId w15:val="{A2DD2829-B55B-41B2-87CF-BCC213852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DAA"/>
  </w:style>
  <w:style w:type="paragraph" w:styleId="Footer">
    <w:name w:val="footer"/>
    <w:basedOn w:val="Normal"/>
    <w:link w:val="FooterChar"/>
    <w:uiPriority w:val="99"/>
    <w:unhideWhenUsed/>
    <w:rsid w:val="00807D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DAA"/>
  </w:style>
  <w:style w:type="paragraph" w:customStyle="1" w:styleId="Body">
    <w:name w:val="Body"/>
    <w:basedOn w:val="Normal"/>
    <w:link w:val="BodyChar"/>
    <w:qFormat/>
    <w:rsid w:val="00225CB0"/>
    <w:pPr>
      <w:ind w:right="1655"/>
    </w:pPr>
    <w:rPr>
      <w:rFonts w:ascii="Verdana" w:hAnsi="Verdana"/>
      <w:sz w:val="18"/>
    </w:rPr>
  </w:style>
  <w:style w:type="paragraph" w:customStyle="1" w:styleId="Deck">
    <w:name w:val="Deck"/>
    <w:basedOn w:val="Body"/>
    <w:link w:val="DeckChar"/>
    <w:qFormat/>
    <w:rsid w:val="00225CB0"/>
    <w:pPr>
      <w:numPr>
        <w:numId w:val="1"/>
      </w:numPr>
    </w:pPr>
    <w:rPr>
      <w:b/>
    </w:rPr>
  </w:style>
  <w:style w:type="character" w:customStyle="1" w:styleId="BodyChar">
    <w:name w:val="Body Char"/>
    <w:basedOn w:val="DefaultParagraphFont"/>
    <w:link w:val="Body"/>
    <w:rsid w:val="00225CB0"/>
    <w:rPr>
      <w:rFonts w:ascii="Verdana" w:hAnsi="Verdana"/>
      <w:sz w:val="18"/>
    </w:rPr>
  </w:style>
  <w:style w:type="paragraph" w:customStyle="1" w:styleId="Headline">
    <w:name w:val="Headline"/>
    <w:basedOn w:val="Deck"/>
    <w:link w:val="HeadlineChar"/>
    <w:qFormat/>
    <w:rsid w:val="00225CB0"/>
    <w:pPr>
      <w:numPr>
        <w:numId w:val="0"/>
      </w:numPr>
    </w:pPr>
    <w:rPr>
      <w:sz w:val="24"/>
    </w:rPr>
  </w:style>
  <w:style w:type="character" w:customStyle="1" w:styleId="DeckChar">
    <w:name w:val="Deck Char"/>
    <w:basedOn w:val="BodyChar"/>
    <w:link w:val="Deck"/>
    <w:rsid w:val="00225CB0"/>
    <w:rPr>
      <w:rFonts w:ascii="Verdana" w:hAnsi="Verdana"/>
      <w:b/>
      <w:sz w:val="18"/>
    </w:rPr>
  </w:style>
  <w:style w:type="character" w:customStyle="1" w:styleId="HeadlineChar">
    <w:name w:val="Headline Char"/>
    <w:basedOn w:val="DeckChar"/>
    <w:link w:val="Headline"/>
    <w:rsid w:val="00225CB0"/>
    <w:rPr>
      <w:rFonts w:ascii="Verdana" w:hAnsi="Verdana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Volkswagen\Lay-out\PressWord\2017_PressWord_V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2017_PressWord_VW</Template>
  <TotalTime>0</TotalTime>
  <Pages>3</Pages>
  <Words>698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STEYVERS Dirk</dc:creator>
  <cp:keywords/>
  <dc:description/>
  <cp:lastModifiedBy>STEYVERS Dirk</cp:lastModifiedBy>
  <cp:revision>3</cp:revision>
  <dcterms:created xsi:type="dcterms:W3CDTF">2018-01-17T11:26:00Z</dcterms:created>
  <dcterms:modified xsi:type="dcterms:W3CDTF">2018-01-17T11:31:00Z</dcterms:modified>
</cp:coreProperties>
</file>