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3E84878" w:rsidP="35DDACE9" w:rsidRDefault="03E84878" w14:paraId="09D555BC" w14:textId="2C94D568">
      <w:pPr>
        <w:pStyle w:val="Heading1"/>
        <w:spacing w:line="276" w:lineRule="auto"/>
        <w:ind w:right="131"/>
        <w:jc w:val="center"/>
        <w:rPr>
          <w:rFonts w:ascii="Book Antiqua" w:hAnsi="Book Antiqua" w:eastAsia="Book Antiqua" w:cs="Book Antiqua"/>
          <w:b w:val="0"/>
          <w:bCs w:val="0"/>
          <w:i w:val="1"/>
          <w:iCs w:val="1"/>
          <w:noProof w:val="0"/>
          <w:color w:val="auto"/>
          <w:sz w:val="28"/>
          <w:szCs w:val="28"/>
          <w:lang w:val="es-ES"/>
        </w:rPr>
      </w:pPr>
      <w:r w:rsidRPr="35DDACE9" w:rsidR="57F98539">
        <w:rPr>
          <w:rFonts w:ascii="Book Antiqua" w:hAnsi="Book Antiqua" w:eastAsia="Book Antiqua" w:cs="Book Antiqua"/>
          <w:b w:val="1"/>
          <w:bCs w:val="1"/>
          <w:noProof w:val="0"/>
          <w:color w:val="auto"/>
          <w:sz w:val="28"/>
          <w:szCs w:val="28"/>
          <w:lang w:val="en-US"/>
        </w:rPr>
        <w:t xml:space="preserve">Turkish Airlines y CFM </w:t>
      </w:r>
      <w:r w:rsidRPr="35DDACE9" w:rsidR="57F98539">
        <w:rPr>
          <w:rFonts w:ascii="Book Antiqua" w:hAnsi="Book Antiqua" w:eastAsia="Book Antiqua" w:cs="Book Antiqua"/>
          <w:b w:val="1"/>
          <w:bCs w:val="1"/>
          <w:noProof w:val="0"/>
          <w:color w:val="auto"/>
          <w:sz w:val="28"/>
          <w:szCs w:val="28"/>
          <w:lang w:val="en-US"/>
        </w:rPr>
        <w:t>firman</w:t>
      </w:r>
      <w:r w:rsidRPr="35DDACE9" w:rsidR="57F98539">
        <w:rPr>
          <w:rFonts w:ascii="Book Antiqua" w:hAnsi="Book Antiqua" w:eastAsia="Book Antiqua" w:cs="Book Antiqua"/>
          <w:b w:val="1"/>
          <w:bCs w:val="1"/>
          <w:noProof w:val="0"/>
          <w:color w:val="auto"/>
          <w:sz w:val="28"/>
          <w:szCs w:val="28"/>
          <w:lang w:val="en-US"/>
        </w:rPr>
        <w:t xml:space="preserve"> </w:t>
      </w:r>
      <w:r w:rsidRPr="35DDACE9" w:rsidR="57F98539">
        <w:rPr>
          <w:rFonts w:ascii="Book Antiqua" w:hAnsi="Book Antiqua" w:eastAsia="Book Antiqua" w:cs="Book Antiqua"/>
          <w:b w:val="1"/>
          <w:bCs w:val="1"/>
          <w:noProof w:val="0"/>
          <w:color w:val="auto"/>
          <w:sz w:val="28"/>
          <w:szCs w:val="28"/>
          <w:lang w:val="en-US"/>
        </w:rPr>
        <w:t>un MoU</w:t>
      </w:r>
      <w:r w:rsidRPr="35DDACE9" w:rsidR="57F98539">
        <w:rPr>
          <w:rFonts w:ascii="Book Antiqua" w:hAnsi="Book Antiqua" w:eastAsia="Book Antiqua" w:cs="Book Antiqua"/>
          <w:b w:val="1"/>
          <w:bCs w:val="1"/>
          <w:noProof w:val="0"/>
          <w:color w:val="auto"/>
          <w:sz w:val="28"/>
          <w:szCs w:val="28"/>
          <w:lang w:val="en-US"/>
        </w:rPr>
        <w:t xml:space="preserve"> para </w:t>
      </w:r>
      <w:r w:rsidRPr="35DDACE9" w:rsidR="57F98539">
        <w:rPr>
          <w:rFonts w:ascii="Book Antiqua" w:hAnsi="Book Antiqua" w:eastAsia="Book Antiqua" w:cs="Book Antiqua"/>
          <w:b w:val="1"/>
          <w:bCs w:val="1"/>
          <w:noProof w:val="0"/>
          <w:color w:val="auto"/>
          <w:sz w:val="28"/>
          <w:szCs w:val="28"/>
          <w:lang w:val="en-US"/>
        </w:rPr>
        <w:t>más</w:t>
      </w:r>
      <w:r w:rsidRPr="35DDACE9" w:rsidR="57F98539">
        <w:rPr>
          <w:rFonts w:ascii="Book Antiqua" w:hAnsi="Book Antiqua" w:eastAsia="Book Antiqua" w:cs="Book Antiqua"/>
          <w:b w:val="1"/>
          <w:bCs w:val="1"/>
          <w:noProof w:val="0"/>
          <w:color w:val="auto"/>
          <w:sz w:val="28"/>
          <w:szCs w:val="28"/>
          <w:lang w:val="en-US"/>
        </w:rPr>
        <w:t xml:space="preserve"> de 600 </w:t>
      </w:r>
      <w:r w:rsidRPr="35DDACE9" w:rsidR="57F98539">
        <w:rPr>
          <w:rFonts w:ascii="Book Antiqua" w:hAnsi="Book Antiqua" w:eastAsia="Book Antiqua" w:cs="Book Antiqua"/>
          <w:b w:val="1"/>
          <w:bCs w:val="1"/>
          <w:noProof w:val="0"/>
          <w:color w:val="auto"/>
          <w:sz w:val="28"/>
          <w:szCs w:val="28"/>
          <w:lang w:val="en-US"/>
        </w:rPr>
        <w:t>motores</w:t>
      </w:r>
      <w:r w:rsidRPr="35DDACE9" w:rsidR="57F98539">
        <w:rPr>
          <w:rFonts w:ascii="Book Antiqua" w:hAnsi="Book Antiqua" w:eastAsia="Book Antiqua" w:cs="Book Antiqua"/>
          <w:b w:val="1"/>
          <w:bCs w:val="1"/>
          <w:noProof w:val="0"/>
          <w:color w:val="auto"/>
          <w:sz w:val="28"/>
          <w:szCs w:val="28"/>
          <w:lang w:val="en-US"/>
        </w:rPr>
        <w:t xml:space="preserve"> </w:t>
      </w:r>
      <w:r w:rsidRPr="35DDACE9" w:rsidR="57F98539">
        <w:rPr>
          <w:rFonts w:ascii="Book Antiqua" w:hAnsi="Book Antiqua" w:eastAsia="Book Antiqua" w:cs="Book Antiqua"/>
          <w:b w:val="1"/>
          <w:bCs w:val="1"/>
          <w:i w:val="1"/>
          <w:iCs w:val="1"/>
          <w:noProof w:val="0"/>
          <w:color w:val="auto"/>
          <w:sz w:val="28"/>
          <w:szCs w:val="28"/>
          <w:lang w:val="en-US"/>
        </w:rPr>
        <w:t>LEAP-1B</w:t>
      </w:r>
    </w:p>
    <w:p w:rsidR="03E84878" w:rsidP="35DDACE9" w:rsidRDefault="03E84878" w14:paraId="5B603CBF" w14:textId="10B786B2">
      <w:pPr>
        <w:spacing w:before="240" w:beforeAutospacing="off" w:after="240" w:afterAutospacing="off"/>
        <w:jc w:val="center"/>
        <w:rPr>
          <w:rFonts w:ascii="Book Antiqua" w:hAnsi="Book Antiqua" w:eastAsia="Book Antiqua" w:cs="Book Antiqua"/>
          <w:b w:val="0"/>
          <w:bCs w:val="0"/>
          <w:i w:val="1"/>
          <w:iCs w:val="1"/>
          <w:noProof w:val="0"/>
          <w:color w:val="auto"/>
          <w:sz w:val="28"/>
          <w:szCs w:val="28"/>
          <w:lang w:val="en-US"/>
        </w:rPr>
      </w:pPr>
      <w:r w:rsidRPr="35DDACE9" w:rsidR="57F98539">
        <w:rPr>
          <w:rFonts w:ascii="Book Antiqua" w:hAnsi="Book Antiqua" w:eastAsia="Book Antiqua" w:cs="Book Antiqua"/>
          <w:b w:val="0"/>
          <w:bCs w:val="0"/>
          <w:i w:val="1"/>
          <w:iCs w:val="1"/>
          <w:noProof w:val="0"/>
          <w:color w:val="auto"/>
          <w:sz w:val="28"/>
          <w:szCs w:val="28"/>
          <w:lang w:val="en-US"/>
        </w:rPr>
        <w:t>El acuerdo estratégico contempla la adquisición de más de 300 motores LEAP-1B y servicios para una flota de más de 600 motores, además de fortalecer las capacidades de mantenimiento de Turkish Technic en Turquía.</w:t>
      </w:r>
    </w:p>
    <w:p w:rsidR="03E84878" w:rsidP="35DDACE9" w:rsidRDefault="03E84878" w14:paraId="1CA7FD5B" w14:textId="68B05BB2">
      <w:pPr>
        <w:spacing w:before="240" w:beforeAutospacing="off" w:after="240" w:afterAutospacing="off"/>
        <w:ind w:firstLine="720"/>
        <w:jc w:val="both"/>
        <w:rPr>
          <w:rFonts w:ascii="Book Antiqua" w:hAnsi="Book Antiqua" w:eastAsia="Book Antiqua" w:cs="Book Antiqua"/>
          <w:noProof w:val="0"/>
          <w:sz w:val="24"/>
          <w:szCs w:val="24"/>
          <w:lang w:val="es-ES"/>
        </w:rPr>
      </w:pPr>
      <w:r w:rsidRPr="35DDACE9" w:rsidR="57F98539">
        <w:rPr>
          <w:rFonts w:ascii="Book Antiqua" w:hAnsi="Book Antiqua" w:eastAsia="Book Antiqua" w:cs="Book Antiqua"/>
          <w:noProof w:val="0"/>
          <w:sz w:val="24"/>
          <w:szCs w:val="24"/>
          <w:lang w:val="es-ES"/>
        </w:rPr>
        <w:t>Turkish Airlines, la aerolínea que vuela a más países que cualquier otra; Turkish Technic, uno de los principales proveedores de servicios de mantenimiento, reparación y revisión (MRO) a nivel mundial; y CFM International, uno de los mayores fabricantes de motores para aeronaves del mundo, firmaron un Memorando de Entendimiento (MoU) para la adquisición de más de 300 motores LEAP-1B, incluidos motores de repuesto, destinados a propulsar 100 aeronaves Boeing 737 MAX en pedido firme y otras 50 opcionales, anunciadas el pasado 23 de septiembre.</w:t>
      </w:r>
    </w:p>
    <w:p w:rsidR="03E84878" w:rsidP="35DDACE9" w:rsidRDefault="03E84878" w14:paraId="180700F3" w14:textId="7924C732">
      <w:pPr>
        <w:spacing w:before="240" w:beforeAutospacing="off" w:after="240" w:afterAutospacing="off"/>
        <w:ind w:firstLine="720"/>
        <w:jc w:val="both"/>
        <w:rPr>
          <w:rFonts w:ascii="Book Antiqua" w:hAnsi="Book Antiqua" w:eastAsia="Book Antiqua" w:cs="Book Antiqua"/>
          <w:noProof w:val="0"/>
          <w:sz w:val="24"/>
          <w:szCs w:val="24"/>
          <w:lang w:val="es-ES"/>
        </w:rPr>
      </w:pPr>
      <w:r w:rsidRPr="35DDACE9" w:rsidR="57F98539">
        <w:rPr>
          <w:rFonts w:ascii="Book Antiqua" w:hAnsi="Book Antiqua" w:eastAsia="Book Antiqua" w:cs="Book Antiqua"/>
          <w:noProof w:val="0"/>
          <w:sz w:val="24"/>
          <w:szCs w:val="24"/>
          <w:lang w:val="es-ES"/>
        </w:rPr>
        <w:t>El acuerdo de servicios a largo plazo abarcará toda la flota de motores LEAP-1B de la aerolínea, incluidos los motores previamente ordenados y entregados, los motores de repuesto, así como aquellos correspondientes a aeronaves arrendadas y a posibles opciones futuras. En conjunto, esto representa más de 600 motores LEAP-1B operados por Turkish Airlines y su subsidiaria AJet.</w:t>
      </w:r>
    </w:p>
    <w:p w:rsidR="03E84878" w:rsidP="35DDACE9" w:rsidRDefault="03E84878" w14:paraId="47896E8C" w14:textId="6970877C">
      <w:pPr>
        <w:spacing w:before="240" w:beforeAutospacing="off" w:after="240" w:afterAutospacing="off"/>
        <w:ind w:firstLine="720"/>
        <w:jc w:val="both"/>
        <w:rPr>
          <w:rFonts w:ascii="Book Antiqua" w:hAnsi="Book Antiqua" w:eastAsia="Book Antiqua" w:cs="Book Antiqua"/>
          <w:noProof w:val="0"/>
          <w:sz w:val="24"/>
          <w:szCs w:val="24"/>
          <w:lang w:val="es-ES"/>
        </w:rPr>
      </w:pPr>
      <w:r w:rsidRPr="35DDACE9" w:rsidR="57F98539">
        <w:rPr>
          <w:rFonts w:ascii="Book Antiqua" w:hAnsi="Book Antiqua" w:eastAsia="Book Antiqua" w:cs="Book Antiqua"/>
          <w:noProof w:val="0"/>
          <w:sz w:val="24"/>
          <w:szCs w:val="24"/>
          <w:lang w:val="es-ES"/>
        </w:rPr>
        <w:t>El MoU fue firmado durante una ceremonia celebrada en Estambul por el Prof. Murat Şeker, Presidente del Consejo de Administración y del Comité Ejecutivo de Turkish Airlines; Mikail Akbulut, CEO y miembro del Consejo de Administración de Turkish Technic; y Olivier Andriès, CEO de Safran, una de las dos compañías matrices de CFM. El acuerdo también incluye servicios de suministro de materiales para respaldar el establecimiento en Turquía de una instalación dedicada al mantenimiento, reparación y revisión (MRO) de motores.</w:t>
      </w:r>
    </w:p>
    <w:p w:rsidR="03E84878" w:rsidP="35DDACE9" w:rsidRDefault="03E84878" w14:paraId="5157F996" w14:textId="44D17C15">
      <w:pPr>
        <w:spacing w:before="240" w:beforeAutospacing="off" w:after="240" w:afterAutospacing="off"/>
        <w:ind w:firstLine="720"/>
        <w:jc w:val="both"/>
        <w:rPr>
          <w:rFonts w:ascii="Book Antiqua" w:hAnsi="Book Antiqua" w:eastAsia="Book Antiqua" w:cs="Book Antiqua"/>
          <w:noProof w:val="0"/>
          <w:sz w:val="24"/>
          <w:szCs w:val="24"/>
          <w:lang w:val="es-ES"/>
        </w:rPr>
      </w:pPr>
      <w:r w:rsidRPr="35DDACE9" w:rsidR="57F98539">
        <w:rPr>
          <w:rFonts w:ascii="Book Antiqua" w:hAnsi="Book Antiqua" w:eastAsia="Book Antiqua" w:cs="Book Antiqua"/>
          <w:noProof w:val="0"/>
          <w:sz w:val="24"/>
          <w:szCs w:val="24"/>
          <w:lang w:val="es-ES"/>
        </w:rPr>
        <w:t xml:space="preserve">Al comentar sobre el acuerdo, el </w:t>
      </w:r>
      <w:r w:rsidRPr="35DDACE9" w:rsidR="57F98539">
        <w:rPr>
          <w:rFonts w:ascii="Book Antiqua" w:hAnsi="Book Antiqua" w:eastAsia="Book Antiqua" w:cs="Book Antiqua"/>
          <w:b w:val="1"/>
          <w:bCs w:val="1"/>
          <w:noProof w:val="0"/>
          <w:sz w:val="24"/>
          <w:szCs w:val="24"/>
          <w:lang w:val="es-ES"/>
        </w:rPr>
        <w:t>Prof. Murat Şeker, Presidente del Consejo de Administración y del Comité Ejecutivo de Turkish Airlines</w:t>
      </w:r>
      <w:r w:rsidRPr="35DDACE9" w:rsidR="57F98539">
        <w:rPr>
          <w:rFonts w:ascii="Book Antiqua" w:hAnsi="Book Antiqua" w:eastAsia="Book Antiqua" w:cs="Book Antiqua"/>
          <w:noProof w:val="0"/>
          <w:sz w:val="24"/>
          <w:szCs w:val="24"/>
          <w:lang w:val="es-ES"/>
        </w:rPr>
        <w:t xml:space="preserve">, señaló: </w:t>
      </w:r>
      <w:r w:rsidRPr="35DDACE9" w:rsidR="57F98539">
        <w:rPr>
          <w:rFonts w:ascii="Book Antiqua" w:hAnsi="Book Antiqua" w:eastAsia="Book Antiqua" w:cs="Book Antiqua"/>
          <w:i w:val="1"/>
          <w:iCs w:val="1"/>
          <w:noProof w:val="0"/>
          <w:sz w:val="24"/>
          <w:szCs w:val="24"/>
          <w:lang w:val="es-ES"/>
        </w:rPr>
        <w:t>“Este nuevo paso junto con CFM respaldará el crecimiento de nuestra flota y red, así como nuestra eficiencia operativa. Asimismo, nos complace fortalecer nuestra alianza con CFM mediante un conjunto integral de servicios que proporcionará la experiencia, confiabilidad y respaldo a largo plazo necesarios para desarrollar nuestras capacidades de MRO para motores LEAP junto con un socio de larga trayectoria.”</w:t>
      </w:r>
    </w:p>
    <w:p w:rsidR="03E84878" w:rsidP="35DDACE9" w:rsidRDefault="03E84878" w14:paraId="32034158" w14:textId="5C450E72">
      <w:pPr>
        <w:spacing w:before="240" w:beforeAutospacing="off" w:after="240" w:afterAutospacing="off"/>
        <w:ind w:firstLine="720"/>
        <w:jc w:val="both"/>
        <w:rPr>
          <w:rFonts w:ascii="Book Antiqua" w:hAnsi="Book Antiqua" w:eastAsia="Book Antiqua" w:cs="Book Antiqua"/>
          <w:noProof w:val="0"/>
          <w:sz w:val="24"/>
          <w:szCs w:val="24"/>
          <w:lang w:val="es-ES"/>
        </w:rPr>
      </w:pPr>
      <w:r w:rsidRPr="35DDACE9" w:rsidR="57F98539">
        <w:rPr>
          <w:rFonts w:ascii="Book Antiqua" w:hAnsi="Book Antiqua" w:eastAsia="Book Antiqua" w:cs="Book Antiqua"/>
          <w:noProof w:val="0"/>
          <w:sz w:val="24"/>
          <w:szCs w:val="24"/>
          <w:lang w:val="es-ES"/>
        </w:rPr>
        <w:t xml:space="preserve">Por su parte, </w:t>
      </w:r>
      <w:r w:rsidRPr="35DDACE9" w:rsidR="57F98539">
        <w:rPr>
          <w:rFonts w:ascii="Book Antiqua" w:hAnsi="Book Antiqua" w:eastAsia="Book Antiqua" w:cs="Book Antiqua"/>
          <w:b w:val="1"/>
          <w:bCs w:val="1"/>
          <w:noProof w:val="0"/>
          <w:sz w:val="24"/>
          <w:szCs w:val="24"/>
          <w:lang w:val="es-ES"/>
        </w:rPr>
        <w:t>Mikail Akbulut, CEO y miembro del Consejo de Administración de Turkish Technic</w:t>
      </w:r>
      <w:r w:rsidRPr="35DDACE9" w:rsidR="57F98539">
        <w:rPr>
          <w:rFonts w:ascii="Book Antiqua" w:hAnsi="Book Antiqua" w:eastAsia="Book Antiqua" w:cs="Book Antiqua"/>
          <w:noProof w:val="0"/>
          <w:sz w:val="24"/>
          <w:szCs w:val="24"/>
          <w:lang w:val="es-ES"/>
        </w:rPr>
        <w:t xml:space="preserve">, comentó: </w:t>
      </w:r>
      <w:r w:rsidRPr="35DDACE9" w:rsidR="57F98539">
        <w:rPr>
          <w:rFonts w:ascii="Book Antiqua" w:hAnsi="Book Antiqua" w:eastAsia="Book Antiqua" w:cs="Book Antiqua"/>
          <w:i w:val="1"/>
          <w:iCs w:val="1"/>
          <w:noProof w:val="0"/>
          <w:sz w:val="24"/>
          <w:szCs w:val="24"/>
          <w:lang w:val="es-ES"/>
        </w:rPr>
        <w:t>“Con este acuerdo, podremos ofrecer operaciones integrales de mantenimiento para los motores LEAP. Como Turkish Technic, continuaremos invirtiendo en servicios de mantenimiento de motores, así como en nuestras capacidades de mantenimiento de aeronaves y componentes, en línea con nuestra estrategia.”</w:t>
      </w:r>
    </w:p>
    <w:p w:rsidR="03E84878" w:rsidP="35DDACE9" w:rsidRDefault="03E84878" w14:paraId="0B633349" w14:textId="344595DB">
      <w:pPr>
        <w:spacing w:before="240" w:beforeAutospacing="off" w:after="240" w:afterAutospacing="off"/>
        <w:ind w:firstLine="720"/>
        <w:jc w:val="both"/>
        <w:rPr>
          <w:rFonts w:ascii="Book Antiqua" w:hAnsi="Book Antiqua" w:eastAsia="Book Antiqua" w:cs="Book Antiqua"/>
          <w:noProof w:val="0"/>
          <w:sz w:val="24"/>
          <w:szCs w:val="24"/>
          <w:lang w:val="es-ES"/>
        </w:rPr>
      </w:pPr>
      <w:r w:rsidRPr="35DDACE9" w:rsidR="57F98539">
        <w:rPr>
          <w:rFonts w:ascii="Book Antiqua" w:hAnsi="Book Antiqua" w:eastAsia="Book Antiqua" w:cs="Book Antiqua"/>
          <w:b w:val="1"/>
          <w:bCs w:val="1"/>
          <w:noProof w:val="0"/>
          <w:sz w:val="24"/>
          <w:szCs w:val="24"/>
          <w:lang w:val="es-ES"/>
        </w:rPr>
        <w:t>Olivier Andriès, CEO de Safran</w:t>
      </w:r>
      <w:r w:rsidRPr="35DDACE9" w:rsidR="57F98539">
        <w:rPr>
          <w:rFonts w:ascii="Book Antiqua" w:hAnsi="Book Antiqua" w:eastAsia="Book Antiqua" w:cs="Book Antiqua"/>
          <w:noProof w:val="0"/>
          <w:sz w:val="24"/>
          <w:szCs w:val="24"/>
          <w:lang w:val="es-ES"/>
        </w:rPr>
        <w:t xml:space="preserve">, declaró: </w:t>
      </w:r>
      <w:r w:rsidRPr="35DDACE9" w:rsidR="57F98539">
        <w:rPr>
          <w:rFonts w:ascii="Book Antiqua" w:hAnsi="Book Antiqua" w:eastAsia="Book Antiqua" w:cs="Book Antiqua"/>
          <w:i w:val="1"/>
          <w:iCs w:val="1"/>
          <w:noProof w:val="0"/>
          <w:sz w:val="24"/>
          <w:szCs w:val="24"/>
          <w:lang w:val="es-ES"/>
        </w:rPr>
        <w:t>“Este MoU marca un nuevo hito en nuestra exitosa relación con Turkish Airlines, un socio de confianza desde hace casi cuatro décadas. Refleja nuestra ambición compartida de respaldar el crecimiento continuo de la aerolínea y la expansión de su flota. El MoU demuestra nuestro compromiso con un ecosistema MRO abierto, que proporciona a las aerolíneas flexibilidad y servicios competitivos para mejorar su desempeño operativo y gestionar sus costos de manera eficiente.”</w:t>
      </w:r>
    </w:p>
    <w:p w:rsidR="03E84878" w:rsidP="35DDACE9" w:rsidRDefault="03E84878" w14:paraId="329F2F6B" w14:textId="5F1C7766">
      <w:pPr>
        <w:spacing w:before="240" w:beforeAutospacing="off" w:after="240" w:afterAutospacing="off"/>
        <w:ind w:firstLine="720"/>
        <w:jc w:val="both"/>
        <w:rPr>
          <w:rFonts w:ascii="Book Antiqua" w:hAnsi="Book Antiqua" w:eastAsia="Book Antiqua" w:cs="Book Antiqua"/>
          <w:noProof w:val="0"/>
          <w:sz w:val="24"/>
          <w:szCs w:val="24"/>
          <w:lang w:val="es-ES"/>
        </w:rPr>
      </w:pPr>
      <w:r w:rsidRPr="35DDACE9" w:rsidR="57F98539">
        <w:rPr>
          <w:rFonts w:ascii="Book Antiqua" w:hAnsi="Book Antiqua" w:eastAsia="Book Antiqua" w:cs="Book Antiqua"/>
          <w:b w:val="1"/>
          <w:bCs w:val="1"/>
          <w:noProof w:val="0"/>
          <w:sz w:val="24"/>
          <w:szCs w:val="24"/>
          <w:lang w:val="es-ES"/>
        </w:rPr>
        <w:t>H. Lawrence Culp, Jr., Presidente y CEO de GE Aerospace</w:t>
      </w:r>
      <w:r w:rsidRPr="35DDACE9" w:rsidR="57F98539">
        <w:rPr>
          <w:rFonts w:ascii="Book Antiqua" w:hAnsi="Book Antiqua" w:eastAsia="Book Antiqua" w:cs="Book Antiqua"/>
          <w:noProof w:val="0"/>
          <w:sz w:val="24"/>
          <w:szCs w:val="24"/>
          <w:lang w:val="es-ES"/>
        </w:rPr>
        <w:t xml:space="preserve">, añadió: </w:t>
      </w:r>
      <w:r w:rsidRPr="35DDACE9" w:rsidR="57F98539">
        <w:rPr>
          <w:rFonts w:ascii="Book Antiqua" w:hAnsi="Book Antiqua" w:eastAsia="Book Antiqua" w:cs="Book Antiqua"/>
          <w:i w:val="1"/>
          <w:iCs w:val="1"/>
          <w:noProof w:val="0"/>
          <w:sz w:val="24"/>
          <w:szCs w:val="24"/>
          <w:lang w:val="es-ES"/>
        </w:rPr>
        <w:t>“Estamos orgullosos de colaborar con Turkish Airlines mientras continúa volando a más países que cualquier otra aerolínea en el mundo. La confianza depositada en CFM para proporcionar motores altamente confiables y eficientes que respalden el crecimiento de su red desde Estambul y sus capacidades de MRO de motores representa una responsabilidad que asumimos con gran seriedad. Esperamos seguir construyendo sobre nuestra sólida alianza en este nuevo capítulo.”</w:t>
      </w:r>
    </w:p>
    <w:p w:rsidR="03E84878" w:rsidP="35DDACE9" w:rsidRDefault="03E84878" w14:paraId="7561EB0B" w14:textId="1C91EFAD">
      <w:pPr>
        <w:spacing w:before="240" w:beforeAutospacing="off" w:after="240" w:afterAutospacing="off"/>
        <w:ind w:firstLine="720"/>
        <w:jc w:val="both"/>
        <w:rPr>
          <w:rFonts w:ascii="Book Antiqua" w:hAnsi="Book Antiqua" w:eastAsia="Book Antiqua" w:cs="Book Antiqua"/>
          <w:noProof w:val="0"/>
          <w:sz w:val="24"/>
          <w:szCs w:val="24"/>
          <w:lang w:val="es-ES"/>
        </w:rPr>
      </w:pPr>
      <w:r w:rsidRPr="2497137E" w:rsidR="2497137E">
        <w:rPr>
          <w:rFonts w:ascii="Book Antiqua" w:hAnsi="Book Antiqua" w:eastAsia="Book Antiqua" w:cs="Book Antiqua"/>
          <w:noProof w:val="0"/>
          <w:sz w:val="24"/>
          <w:szCs w:val="24"/>
          <w:lang w:val="es-ES"/>
        </w:rPr>
        <w:t xml:space="preserve">Como aerolínea bandera de Turquía, Turkish Airlines opera actualmente 96* aeronaves Boeing 737 Next </w:t>
      </w:r>
      <w:r w:rsidRPr="2497137E" w:rsidR="2497137E">
        <w:rPr>
          <w:rFonts w:ascii="Book Antiqua" w:hAnsi="Book Antiqua" w:eastAsia="Book Antiqua" w:cs="Book Antiqua"/>
          <w:noProof w:val="0"/>
          <w:sz w:val="24"/>
          <w:szCs w:val="24"/>
          <w:lang w:val="es-ES"/>
        </w:rPr>
        <w:t>Generation</w:t>
      </w:r>
      <w:r w:rsidRPr="2497137E" w:rsidR="2497137E">
        <w:rPr>
          <w:rFonts w:ascii="Book Antiqua" w:hAnsi="Book Antiqua" w:eastAsia="Book Antiqua" w:cs="Book Antiqua"/>
          <w:noProof w:val="0"/>
          <w:sz w:val="24"/>
          <w:szCs w:val="24"/>
          <w:lang w:val="es-ES"/>
        </w:rPr>
        <w:t xml:space="preserve"> equipadas con motores CFM56-7B, así como 79* Boeing 737 MAX propulsados por motores LEAP-1B. En los 10 años transcurridos desde la entrada en servicio de LEAP, CFM ha entregado más de 10,000 motores, que en conjunto han acumulado más de 100 millones de horas de vuelo. CFM continúa modernizando la flota LEAP mediante un kit de durabilidad para la turbina de alta presión (HPT), diseñado para prolongar el tiempo de operación del motor instalado en el ala, así como mediante un sistema de sangrado inverso (RBS).</w:t>
      </w:r>
    </w:p>
    <w:p w:rsidR="03E84878" w:rsidP="35DDACE9" w:rsidRDefault="03E84878" w14:paraId="0C53AC43" w14:textId="4FE62730">
      <w:pPr>
        <w:spacing w:before="240" w:beforeAutospacing="off" w:after="240" w:afterAutospacing="off"/>
        <w:ind w:firstLine="720"/>
        <w:jc w:val="both"/>
        <w:rPr>
          <w:rFonts w:ascii="Book Antiqua" w:hAnsi="Book Antiqua" w:eastAsia="Book Antiqua" w:cs="Book Antiqua"/>
          <w:noProof w:val="0"/>
          <w:sz w:val="24"/>
          <w:szCs w:val="24"/>
          <w:lang w:val="es-ES"/>
        </w:rPr>
      </w:pPr>
      <w:r w:rsidRPr="35DDACE9" w:rsidR="57F98539">
        <w:rPr>
          <w:rFonts w:ascii="Book Antiqua" w:hAnsi="Book Antiqua" w:eastAsia="Book Antiqua" w:cs="Book Antiqua"/>
          <w:noProof w:val="0"/>
          <w:sz w:val="24"/>
          <w:szCs w:val="24"/>
          <w:lang w:val="es-ES"/>
        </w:rPr>
        <w:t>Este acuerdo estratégico no solo reafirma la relación de larga trayectoria entre la aerolínea de bandera y CFM International, sino que también representa un nuevo capítulo en el proceso de incorporación de los Boeing 737 MAX recientemente ordenados a su flota en constante crecimiento. Asimismo, el acuerdo fortalecerá las capacidades de Turkish Technic en materia de mantenimiento de motores mediante el establecimiento de una nueva instalación de última generación, que permitirá a Turkish Technic ofrecer servicios integrales de mantenimiento.</w:t>
      </w:r>
    </w:p>
    <w:p w:rsidR="03E84878" w:rsidP="35DDACE9" w:rsidRDefault="03E84878" w14:paraId="3EBA7FFB" w14:textId="74AC0D7D">
      <w:pPr>
        <w:spacing w:before="240" w:beforeAutospacing="off" w:after="240" w:afterAutospacing="off"/>
        <w:jc w:val="both"/>
      </w:pPr>
      <w:r w:rsidRPr="35DDACE9" w:rsidR="57F98539">
        <w:rPr>
          <w:rFonts w:ascii="Book Antiqua" w:hAnsi="Book Antiqua" w:eastAsia="Book Antiqua" w:cs="Book Antiqua"/>
          <w:noProof w:val="0"/>
          <w:sz w:val="24"/>
          <w:szCs w:val="24"/>
          <w:lang w:val="en-US"/>
        </w:rPr>
        <w:t>* Incluye la flota de AJet.</w:t>
      </w:r>
    </w:p>
    <w:p w:rsidR="35DDACE9" w:rsidP="35DDACE9" w:rsidRDefault="35DDACE9" w14:paraId="6E940F6B" w14:textId="761351F7">
      <w:pPr>
        <w:pStyle w:val="Normal"/>
        <w:spacing w:before="240" w:beforeAutospacing="off" w:after="240" w:afterAutospacing="off"/>
        <w:jc w:val="both"/>
        <w:rPr>
          <w:rFonts w:ascii="Book Antiqua" w:hAnsi="Book Antiqua" w:eastAsia="Book Antiqua" w:cs="Book Antiqua"/>
          <w:noProof w:val="0"/>
          <w:sz w:val="24"/>
          <w:szCs w:val="24"/>
          <w:lang w:val="en-US"/>
        </w:rPr>
      </w:pPr>
    </w:p>
    <w:p w:rsidR="03E84878" w:rsidP="35DDACE9" w:rsidRDefault="03E84878" w14:paraId="587ED607" w14:textId="1DA3D761">
      <w:pPr>
        <w:spacing w:before="240" w:beforeAutospacing="off" w:after="240" w:afterAutospacing="off"/>
        <w:jc w:val="both"/>
      </w:pPr>
      <w:r w:rsidRPr="35DDACE9" w:rsidR="57F98539">
        <w:rPr>
          <w:rFonts w:ascii="Book Antiqua" w:hAnsi="Book Antiqua" w:eastAsia="Book Antiqua" w:cs="Book Antiqua"/>
          <w:b w:val="1"/>
          <w:bCs w:val="1"/>
          <w:noProof w:val="0"/>
          <w:sz w:val="18"/>
          <w:szCs w:val="18"/>
          <w:lang w:val="en-US"/>
        </w:rPr>
        <w:t>Acerca de Turkish Airlines:</w:t>
      </w:r>
      <w:r w:rsidRPr="35DDACE9" w:rsidR="57F98539">
        <w:rPr>
          <w:rFonts w:ascii="Book Antiqua" w:hAnsi="Book Antiqua" w:eastAsia="Book Antiqua" w:cs="Book Antiqua"/>
          <w:noProof w:val="0"/>
          <w:sz w:val="18"/>
          <w:szCs w:val="18"/>
          <w:lang w:val="en-US"/>
        </w:rPr>
        <w:t xml:space="preserve"> Fundada en 1933 con una flota de cinco aeronaves, Turkish Airlines, miembro de Star Alliance, cuenta actualmente con una flota de 569 aeronaves de pasajeros y carga, que vuelan a 358 destinos alrededor del mundo: 305 internacionales y 53 nacionales, en 133 países. Para obtener más información sobre Turkish Airlines, visite su sitio web oficial, </w:t>
      </w:r>
      <w:hyperlink r:id="R8074af4484224ccc">
        <w:r w:rsidRPr="35DDACE9" w:rsidR="57F98539">
          <w:rPr>
            <w:rStyle w:val="Hyperlink"/>
            <w:rFonts w:ascii="Book Antiqua" w:hAnsi="Book Antiqua" w:eastAsia="Book Antiqua" w:cs="Book Antiqua"/>
            <w:noProof w:val="0"/>
            <w:sz w:val="18"/>
            <w:szCs w:val="18"/>
            <w:lang w:val="en-US"/>
          </w:rPr>
          <w:t>www.turkishairlines.com</w:t>
        </w:r>
      </w:hyperlink>
      <w:r w:rsidRPr="35DDACE9" w:rsidR="57F98539">
        <w:rPr>
          <w:rFonts w:ascii="Book Antiqua" w:hAnsi="Book Antiqua" w:eastAsia="Book Antiqua" w:cs="Book Antiqua"/>
          <w:noProof w:val="0"/>
          <w:sz w:val="18"/>
          <w:szCs w:val="18"/>
          <w:lang w:val="en-US"/>
        </w:rPr>
        <w:t>, o consulte sus cuentas en Facebook, X, YouTube, LinkedIn e Instagram.</w:t>
      </w:r>
    </w:p>
    <w:p w:rsidR="03E84878" w:rsidP="35DDACE9" w:rsidRDefault="03E84878" w14:paraId="2106C69A" w14:textId="45D0278D">
      <w:pPr>
        <w:spacing w:before="240" w:beforeAutospacing="off" w:after="240" w:afterAutospacing="off"/>
        <w:jc w:val="both"/>
      </w:pPr>
      <w:r w:rsidRPr="35DDACE9" w:rsidR="57F98539">
        <w:rPr>
          <w:rFonts w:ascii="Book Antiqua" w:hAnsi="Book Antiqua" w:eastAsia="Book Antiqua" w:cs="Book Antiqua"/>
          <w:b w:val="1"/>
          <w:bCs w:val="1"/>
          <w:noProof w:val="0"/>
          <w:sz w:val="18"/>
          <w:szCs w:val="18"/>
          <w:lang w:val="en-US"/>
        </w:rPr>
        <w:t>Acerca de Turkish Technic:</w:t>
      </w:r>
      <w:r w:rsidRPr="35DDACE9" w:rsidR="57F98539">
        <w:rPr>
          <w:rFonts w:ascii="Book Antiqua" w:hAnsi="Book Antiqua" w:eastAsia="Book Antiqua" w:cs="Book Antiqua"/>
          <w:noProof w:val="0"/>
          <w:sz w:val="18"/>
          <w:szCs w:val="18"/>
          <w:lang w:val="en-US"/>
        </w:rPr>
        <w:t xml:space="preserve"> Turkish Technic (IATP: TKT), perteneciente al grupo de empresas de Turkish Airlines (Bolsa de Estambul: THYAO), es uno de los principales proveedores de servicios de aviación del mundo. Cuenta con una fuerza laboral altamente calificada de 11,650 colaboradores que lleva a cabo servicios integrales de mantenimiento, reparación, revisión, modificación y reconfiguración en sus instalaciones ubicadas en el Aeropuerto Atatürk de Estambul, el Aeropuerto Sabiha Gökçen y el Aeropuerto de Estambul, distribuidas en dos continentes. Además de sus actividades de ingeniería y mantenimiento, Turkish Technic brinda apoyo a operadores y propietarios de aeronaves de todo el mundo mediante servicios integrales de </w:t>
      </w:r>
      <w:r w:rsidRPr="35DDACE9" w:rsidR="57F98539">
        <w:rPr>
          <w:rFonts w:ascii="Book Antiqua" w:hAnsi="Book Antiqua" w:eastAsia="Book Antiqua" w:cs="Book Antiqua"/>
          <w:i w:val="1"/>
          <w:iCs w:val="1"/>
          <w:noProof w:val="0"/>
          <w:sz w:val="18"/>
          <w:szCs w:val="18"/>
          <w:lang w:val="en-US"/>
        </w:rPr>
        <w:t>component pooling</w:t>
      </w:r>
      <w:r w:rsidRPr="35DDACE9" w:rsidR="57F98539">
        <w:rPr>
          <w:rFonts w:ascii="Book Antiqua" w:hAnsi="Book Antiqua" w:eastAsia="Book Antiqua" w:cs="Book Antiqua"/>
          <w:noProof w:val="0"/>
          <w:sz w:val="18"/>
          <w:szCs w:val="18"/>
          <w:lang w:val="en-US"/>
        </w:rPr>
        <w:t>, diseño, certificación y producción. Para obtener más información, visite su sitio web o consulte sus cuentas en Facebook, X, YouTube, LinkedIn e Instagram.</w:t>
      </w:r>
    </w:p>
    <w:p w:rsidR="03E84878" w:rsidP="35DDACE9" w:rsidRDefault="03E84878" w14:paraId="0C8E3E03" w14:textId="2F11AF7B">
      <w:pPr>
        <w:spacing w:before="240" w:beforeAutospacing="off" w:after="240" w:afterAutospacing="off"/>
        <w:jc w:val="both"/>
      </w:pPr>
      <w:r w:rsidRPr="35DDACE9" w:rsidR="57F98539">
        <w:rPr>
          <w:rFonts w:ascii="Book Antiqua" w:hAnsi="Book Antiqua" w:eastAsia="Book Antiqua" w:cs="Book Antiqua"/>
          <w:b w:val="1"/>
          <w:bCs w:val="1"/>
          <w:noProof w:val="0"/>
          <w:sz w:val="18"/>
          <w:szCs w:val="18"/>
          <w:lang w:val="en-US"/>
        </w:rPr>
        <w:t>Acerca de CFM International:</w:t>
      </w:r>
      <w:r w:rsidRPr="35DDACE9" w:rsidR="57F98539">
        <w:rPr>
          <w:rFonts w:ascii="Book Antiqua" w:hAnsi="Book Antiqua" w:eastAsia="Book Antiqua" w:cs="Book Antiqua"/>
          <w:noProof w:val="0"/>
          <w:sz w:val="18"/>
          <w:szCs w:val="18"/>
          <w:lang w:val="en-US"/>
        </w:rPr>
        <w:t xml:space="preserve"> CFM International, una empresa conjunta 50/50 entre GE Aerospace y Safran Aircraft Engines, ha redefinido la cooperación internacional y contribuido a transformar el rumbo de la aviación comercial desde su fundación en 1974. Actualmente, CFM es el proveedor líder mundial de motores para aeronaves comerciales, con una gama de productos que establece los estándares de la industria en materia de eficiencia, confiabilidad, durabilidad y optimización del costo de propiedad. CFM International fabrica la familia de motores LEAP y brinda soporte a las flotas LEAP y CFM56 de operadores de todo el mundo. De cara al futuro del transporte aéreo, el programa RISE de CFM está acelerando el desarrollo de nuevas tecnologías de propulsión que allanarán el camino para la próxima generación de aeronaves. Más información en </w:t>
      </w:r>
      <w:hyperlink r:id="R20eb30aea12449e0">
        <w:r w:rsidRPr="35DDACE9" w:rsidR="57F98539">
          <w:rPr>
            <w:rStyle w:val="Hyperlink"/>
            <w:rFonts w:ascii="Book Antiqua" w:hAnsi="Book Antiqua" w:eastAsia="Book Antiqua" w:cs="Book Antiqua"/>
            <w:noProof w:val="0"/>
            <w:sz w:val="18"/>
            <w:szCs w:val="18"/>
            <w:lang w:val="en-US"/>
          </w:rPr>
          <w:t>www.cfmaeroengines.com</w:t>
        </w:r>
      </w:hyperlink>
      <w:r w:rsidRPr="35DDACE9" w:rsidR="57F98539">
        <w:rPr>
          <w:rFonts w:ascii="Book Antiqua" w:hAnsi="Book Antiqua" w:eastAsia="Book Antiqua" w:cs="Book Antiqua"/>
          <w:noProof w:val="0"/>
          <w:sz w:val="18"/>
          <w:szCs w:val="18"/>
          <w:lang w:val="en-US"/>
        </w:rPr>
        <w:t>.</w:t>
      </w:r>
    </w:p>
    <w:p w:rsidR="03E84878" w:rsidP="35DDACE9" w:rsidRDefault="03E84878" w14:paraId="27CFC05A" w14:textId="7DDFCEC5">
      <w:pPr>
        <w:spacing w:before="240" w:beforeAutospacing="off" w:after="240" w:afterAutospacing="off"/>
        <w:jc w:val="both"/>
      </w:pPr>
      <w:r w:rsidRPr="35DDACE9" w:rsidR="57F98539">
        <w:rPr>
          <w:rFonts w:ascii="Book Antiqua" w:hAnsi="Book Antiqua" w:eastAsia="Book Antiqua" w:cs="Book Antiqua"/>
          <w:b w:val="1"/>
          <w:bCs w:val="1"/>
          <w:noProof w:val="0"/>
          <w:sz w:val="18"/>
          <w:szCs w:val="18"/>
          <w:lang w:val="en-US"/>
        </w:rPr>
        <w:t>Acerca de Star Alliance:</w:t>
      </w:r>
      <w:r w:rsidRPr="35DDACE9" w:rsidR="57F98539">
        <w:rPr>
          <w:rFonts w:ascii="Book Antiqua" w:hAnsi="Book Antiqua" w:eastAsia="Book Antiqua" w:cs="Book Antiqua"/>
          <w:noProof w:val="0"/>
          <w:sz w:val="18"/>
          <w:szCs w:val="18"/>
          <w:lang w:val="en-US"/>
        </w:rPr>
        <w:t xml:space="preserve"> Establecida en 1997 como la primera alianza de aerolíneas verdaderamente global, la red Star Alliance fue fundada bajo una propuesta de valor para el cliente basada en alcance global, reconocimiento mundial y un servicio sin interrupciones. Desde sus inicios, ha ofrecido la red de aerolíneas más amplia e integral, con un fuerte enfoque en mejorar la experiencia del cliente durante todo su viaje dentro de la Alianza. Las aerolíneas miembro son: Aegean Airlines, Air Canada, Air China, Air India, Air New Zealand, ANA, Asiana Airlines, Austrian, Avianca, Brussels Airlines, Copa Airlines, Croatia Airlines, EGYPTAIR, Ethiopian Airlines, EVA Air, LOT Polish Airlines, Lufthansa, Shenzhen Airlines, Singapore Airlines, South African Airways, SWISS, TAP Air Portugal, THAI, Turkish Airlines y United. En conjunto, la red Star Alliance ofrece actualmente 17,837 vuelos diarios a más de 1,160 aeropuertos en 192 países. Star Alliance Connecting Partner Juneyao Airlines ofrece conexiones adicionales.</w:t>
      </w:r>
    </w:p>
    <w:p w:rsidR="03E84878" w:rsidP="35DDACE9" w:rsidRDefault="03E84878" w14:paraId="32D974B8" w14:textId="3B617BA8">
      <w:pPr>
        <w:spacing w:before="240" w:beforeAutospacing="off" w:after="240" w:afterAutospacing="off"/>
        <w:jc w:val="both"/>
      </w:pPr>
      <w:r w:rsidRPr="35DDACE9" w:rsidR="57F98539">
        <w:rPr>
          <w:rFonts w:ascii="Book Antiqua" w:hAnsi="Book Antiqua" w:eastAsia="Book Antiqua" w:cs="Book Antiqua"/>
          <w:b w:val="1"/>
          <w:bCs w:val="1"/>
          <w:noProof w:val="0"/>
          <w:sz w:val="18"/>
          <w:szCs w:val="18"/>
          <w:lang w:val="en-US"/>
        </w:rPr>
        <w:t>Oficina de Prensa de Star Alliance:</w:t>
      </w:r>
      <w:r w:rsidRPr="35DDACE9" w:rsidR="57F98539">
        <w:rPr>
          <w:rFonts w:ascii="Book Antiqua" w:hAnsi="Book Antiqua" w:eastAsia="Book Antiqua" w:cs="Book Antiqua"/>
          <w:noProof w:val="0"/>
          <w:sz w:val="18"/>
          <w:szCs w:val="18"/>
          <w:lang w:val="en-US"/>
        </w:rPr>
        <w:t xml:space="preserve"> Tel.: +65 8729 6691 | Correo electrónico: </w:t>
      </w:r>
      <w:hyperlink r:id="R9fcb82286b3c4ea1">
        <w:r w:rsidRPr="35DDACE9" w:rsidR="57F98539">
          <w:rPr>
            <w:rStyle w:val="Hyperlink"/>
            <w:rFonts w:ascii="Book Antiqua" w:hAnsi="Book Antiqua" w:eastAsia="Book Antiqua" w:cs="Book Antiqua"/>
            <w:noProof w:val="0"/>
            <w:sz w:val="18"/>
            <w:szCs w:val="18"/>
            <w:lang w:val="en-US"/>
          </w:rPr>
          <w:t>mediarelations@staralliance.com</w:t>
        </w:r>
      </w:hyperlink>
      <w:r w:rsidRPr="35DDACE9" w:rsidR="57F98539">
        <w:rPr>
          <w:rFonts w:ascii="Book Antiqua" w:hAnsi="Book Antiqua" w:eastAsia="Book Antiqua" w:cs="Book Antiqua"/>
          <w:noProof w:val="0"/>
          <w:sz w:val="18"/>
          <w:szCs w:val="18"/>
          <w:lang w:val="en-US"/>
        </w:rPr>
        <w:t xml:space="preserve"> | Visite su sitio web o consulte sus redes sociales.</w:t>
      </w:r>
    </w:p>
    <w:p w:rsidR="52398460" w:rsidP="52398460" w:rsidRDefault="52398460" w14:paraId="303C4680" w14:textId="7785E266">
      <w:pPr>
        <w:rPr>
          <w:rFonts w:ascii="Book Antiqua" w:hAnsi="Book Antiqua"/>
          <w:color w:val="000000" w:themeColor="text1" w:themeTint="FF" w:themeShade="FF"/>
          <w:lang w:eastAsia="en-GB"/>
        </w:rPr>
      </w:pPr>
    </w:p>
    <w:sectPr w:rsidRPr="00F65C33" w:rsidR="00CC59A2">
      <w:headerReference w:type="default" r:id="rId32"/>
      <w:footerReference w:type="default" r:id="rId3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49A2" w:rsidP="0073744B" w:rsidRDefault="001049A2" w14:paraId="31D2C9F2" w14:textId="77777777">
      <w:r>
        <w:separator/>
      </w:r>
    </w:p>
  </w:endnote>
  <w:endnote w:type="continuationSeparator" w:id="0">
    <w:p w:rsidR="001049A2" w:rsidP="0073744B" w:rsidRDefault="001049A2" w14:paraId="75D8C9F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exSansBookT">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156AC" w:rsidR="008D14F6" w:rsidP="008D14F6" w:rsidRDefault="008D14F6" w14:paraId="7C521C5C" w14:textId="77777777">
    <w:pPr>
      <w:tabs>
        <w:tab w:val="center" w:pos="4513"/>
        <w:tab w:val="right" w:pos="9026"/>
      </w:tabs>
      <w:jc w:val="both"/>
      <w:rPr>
        <w:rFonts w:ascii="Arial" w:hAnsi="Arial" w:cs="Arial"/>
        <w:sz w:val="16"/>
        <w:szCs w:val="16"/>
      </w:rPr>
    </w:pPr>
    <w:r w:rsidRPr="00E156AC">
      <w:rPr>
        <w:rFonts w:ascii="Arial" w:hAnsi="Arial" w:cs="Arial"/>
        <w:sz w:val="16"/>
        <w:szCs w:val="16"/>
      </w:rPr>
      <w:t>Turkish Airlines Inc.</w:t>
    </w:r>
  </w:p>
  <w:p w:rsidRPr="00E156AC" w:rsidR="008D14F6" w:rsidP="008D14F6" w:rsidRDefault="008D14F6" w14:paraId="7516E43D" w14:textId="77777777">
    <w:pPr>
      <w:tabs>
        <w:tab w:val="center" w:pos="4513"/>
        <w:tab w:val="right" w:pos="9026"/>
      </w:tabs>
      <w:jc w:val="both"/>
      <w:rPr>
        <w:rFonts w:ascii="Arial" w:hAnsi="Arial" w:cs="Arial"/>
        <w:sz w:val="16"/>
        <w:szCs w:val="16"/>
      </w:rPr>
    </w:pPr>
    <w:r w:rsidRPr="00E156AC">
      <w:rPr>
        <w:rFonts w:ascii="Arial" w:hAnsi="Arial" w:cs="Arial"/>
        <w:sz w:val="16"/>
        <w:szCs w:val="16"/>
      </w:rPr>
      <w:t>Directorate of Communications</w:t>
    </w:r>
  </w:p>
  <w:p w:rsidRPr="00E156AC" w:rsidR="008D14F6" w:rsidP="008D14F6" w:rsidRDefault="008D14F6" w14:paraId="0A3EEAE1" w14:textId="77777777">
    <w:pPr>
      <w:tabs>
        <w:tab w:val="center" w:pos="4513"/>
        <w:tab w:val="right" w:pos="9026"/>
      </w:tabs>
      <w:jc w:val="both"/>
      <w:rPr>
        <w:rFonts w:ascii="Arial" w:hAnsi="Arial" w:cs="Arial"/>
        <w:sz w:val="16"/>
        <w:szCs w:val="16"/>
      </w:rPr>
    </w:pPr>
    <w:r w:rsidRPr="00E156AC">
      <w:rPr>
        <w:noProof/>
      </w:rPr>
      <w:drawing>
        <wp:anchor distT="0" distB="0" distL="114300" distR="114300" simplePos="0" relativeHeight="251659264" behindDoc="1" locked="0" layoutInCell="1" allowOverlap="1" wp14:anchorId="262B6A53" wp14:editId="6A9ABA3B">
          <wp:simplePos x="0" y="0"/>
          <wp:positionH relativeFrom="margin">
            <wp:align>right</wp:align>
          </wp:positionH>
          <wp:positionV relativeFrom="paragraph">
            <wp:posOffset>13390</wp:posOffset>
          </wp:positionV>
          <wp:extent cx="1378585" cy="363855"/>
          <wp:effectExtent l="0" t="0" r="0" b="0"/>
          <wp:wrapSquare wrapText="bothSides"/>
          <wp:docPr id="78296763" name="Picture 7829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8585" cy="363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56AC">
      <w:rPr>
        <w:rFonts w:ascii="Arial" w:hAnsi="Arial" w:cs="Arial"/>
        <w:sz w:val="16"/>
        <w:szCs w:val="16"/>
      </w:rPr>
      <w:t>General Management Building</w:t>
    </w:r>
  </w:p>
  <w:p w:rsidRPr="00E156AC" w:rsidR="008D14F6" w:rsidP="008D14F6" w:rsidRDefault="008D14F6" w14:paraId="2AC570D0" w14:textId="77777777">
    <w:pPr>
      <w:tabs>
        <w:tab w:val="center" w:pos="4513"/>
        <w:tab w:val="right" w:pos="9026"/>
      </w:tabs>
      <w:jc w:val="both"/>
      <w:rPr>
        <w:rFonts w:ascii="Arial" w:hAnsi="Arial" w:cs="Arial"/>
        <w:sz w:val="16"/>
        <w:szCs w:val="16"/>
      </w:rPr>
    </w:pPr>
    <w:r w:rsidRPr="00E156AC">
      <w:rPr>
        <w:rFonts w:ascii="Arial" w:hAnsi="Arial" w:cs="Arial"/>
        <w:sz w:val="16"/>
        <w:szCs w:val="16"/>
      </w:rPr>
      <w:t xml:space="preserve">34149, </w:t>
    </w:r>
    <w:proofErr w:type="spellStart"/>
    <w:r w:rsidRPr="00E156AC">
      <w:rPr>
        <w:rFonts w:ascii="Arial" w:hAnsi="Arial" w:cs="Arial"/>
        <w:sz w:val="16"/>
        <w:szCs w:val="16"/>
      </w:rPr>
      <w:t>Yesilköy</w:t>
    </w:r>
    <w:proofErr w:type="spellEnd"/>
    <w:r w:rsidRPr="00E156AC">
      <w:rPr>
        <w:rFonts w:ascii="Arial" w:hAnsi="Arial" w:cs="Arial"/>
        <w:sz w:val="16"/>
        <w:szCs w:val="16"/>
      </w:rPr>
      <w:t>-Istanbul</w:t>
    </w:r>
  </w:p>
  <w:p w:rsidRPr="00E156AC" w:rsidR="008D14F6" w:rsidP="008D14F6" w:rsidRDefault="008D14F6" w14:paraId="7385A271" w14:textId="77777777">
    <w:pPr>
      <w:tabs>
        <w:tab w:val="right" w:pos="9360"/>
      </w:tabs>
      <w:jc w:val="both"/>
      <w:rPr>
        <w:rFonts w:ascii="Arial" w:hAnsi="Arial" w:cs="Arial"/>
        <w:sz w:val="16"/>
        <w:szCs w:val="16"/>
      </w:rPr>
    </w:pPr>
    <w:r w:rsidRPr="00E156AC">
      <w:rPr>
        <w:rFonts w:ascii="Arial" w:hAnsi="Arial" w:cs="Arial"/>
        <w:sz w:val="16"/>
        <w:szCs w:val="16"/>
      </w:rPr>
      <w:t>Tel:  +90 (212) 463 63 63 – 11153 / 11173</w:t>
    </w:r>
    <w:r>
      <w:rPr>
        <w:rFonts w:ascii="Arial" w:hAnsi="Arial" w:cs="Arial"/>
        <w:sz w:val="16"/>
        <w:szCs w:val="16"/>
      </w:rPr>
      <w:tab/>
    </w:r>
  </w:p>
  <w:p w:rsidRPr="00E156AC" w:rsidR="008D14F6" w:rsidP="008D14F6" w:rsidRDefault="008D14F6" w14:paraId="68B5C2CF" w14:textId="77777777">
    <w:pPr>
      <w:tabs>
        <w:tab w:val="center" w:pos="4513"/>
        <w:tab w:val="right" w:pos="9026"/>
      </w:tabs>
      <w:jc w:val="both"/>
      <w:rPr>
        <w:rFonts w:ascii="Arial" w:hAnsi="Arial" w:cs="Arial"/>
        <w:sz w:val="16"/>
        <w:szCs w:val="16"/>
      </w:rPr>
    </w:pPr>
    <w:r w:rsidRPr="00E156AC">
      <w:rPr>
        <w:rFonts w:ascii="Arial" w:hAnsi="Arial" w:cs="Arial"/>
        <w:sz w:val="16"/>
        <w:szCs w:val="16"/>
      </w:rPr>
      <w:t>Fax: +90 (212) 465 20 78</w:t>
    </w:r>
  </w:p>
  <w:p w:rsidRPr="00E156AC" w:rsidR="008D14F6" w:rsidP="008D14F6" w:rsidRDefault="008D14F6" w14:paraId="1FFF5F7C" w14:textId="77777777">
    <w:hyperlink w:history="1" r:id="rId2">
      <w:r w:rsidRPr="00E156AC">
        <w:rPr>
          <w:rFonts w:ascii="Arial" w:hAnsi="Arial" w:cs="Arial"/>
          <w:color w:val="0000FF"/>
          <w:sz w:val="16"/>
          <w:szCs w:val="16"/>
          <w:u w:val="single"/>
        </w:rPr>
        <w:t>press@thy.com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49A2" w:rsidP="0073744B" w:rsidRDefault="001049A2" w14:paraId="188A33B6" w14:textId="77777777">
      <w:r>
        <w:separator/>
      </w:r>
    </w:p>
  </w:footnote>
  <w:footnote w:type="continuationSeparator" w:id="0">
    <w:p w:rsidR="001049A2" w:rsidP="0073744B" w:rsidRDefault="001049A2" w14:paraId="424C27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3744B" w:rsidRDefault="0073744B" w14:paraId="6372AA12" w14:textId="1E7768E5">
    <w:pPr>
      <w:pStyle w:val="Header"/>
    </w:pPr>
    <w:r w:rsidRPr="001D0AE5">
      <w:rPr>
        <w:noProof/>
      </w:rPr>
      <w:drawing>
        <wp:inline distT="0" distB="0" distL="0" distR="0" wp14:anchorId="65FFE8C3" wp14:editId="1579F93C">
          <wp:extent cx="5731510" cy="466518"/>
          <wp:effectExtent l="0" t="0" r="2540" b="0"/>
          <wp:docPr id="8" name="Picture 8" descr="Q:\Users\a_okuyan\Desktop\Press Release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sers\a_okuyan\Desktop\Press Release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4665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61246"/>
    <w:multiLevelType w:val="hybridMultilevel"/>
    <w:tmpl w:val="7DAC8E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706A73E5"/>
    <w:multiLevelType w:val="multilevel"/>
    <w:tmpl w:val="DF1CCB6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391998675">
    <w:abstractNumId w:val="1"/>
  </w:num>
  <w:num w:numId="2" w16cid:durableId="1064446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44B"/>
    <w:rsid w:val="00003C1D"/>
    <w:rsid w:val="00010692"/>
    <w:rsid w:val="00027B60"/>
    <w:rsid w:val="00030634"/>
    <w:rsid w:val="00035944"/>
    <w:rsid w:val="0003720C"/>
    <w:rsid w:val="000417A0"/>
    <w:rsid w:val="000463F5"/>
    <w:rsid w:val="00047DAA"/>
    <w:rsid w:val="00053809"/>
    <w:rsid w:val="00055BD9"/>
    <w:rsid w:val="000567BF"/>
    <w:rsid w:val="00057F29"/>
    <w:rsid w:val="00071990"/>
    <w:rsid w:val="000759B4"/>
    <w:rsid w:val="0007681D"/>
    <w:rsid w:val="0009399C"/>
    <w:rsid w:val="000A1B52"/>
    <w:rsid w:val="000A6A93"/>
    <w:rsid w:val="000B0A34"/>
    <w:rsid w:val="000D7F7C"/>
    <w:rsid w:val="000E5465"/>
    <w:rsid w:val="000E5691"/>
    <w:rsid w:val="001049A2"/>
    <w:rsid w:val="00106AE3"/>
    <w:rsid w:val="00114E03"/>
    <w:rsid w:val="00117182"/>
    <w:rsid w:val="001264F6"/>
    <w:rsid w:val="00143C60"/>
    <w:rsid w:val="0015128C"/>
    <w:rsid w:val="00167737"/>
    <w:rsid w:val="001753A7"/>
    <w:rsid w:val="0018516C"/>
    <w:rsid w:val="00195383"/>
    <w:rsid w:val="001A401D"/>
    <w:rsid w:val="001B2E07"/>
    <w:rsid w:val="001B6095"/>
    <w:rsid w:val="001C129C"/>
    <w:rsid w:val="001C46D2"/>
    <w:rsid w:val="001C6E6F"/>
    <w:rsid w:val="001D5AAF"/>
    <w:rsid w:val="001D5EA5"/>
    <w:rsid w:val="001E1C6E"/>
    <w:rsid w:val="001E71E2"/>
    <w:rsid w:val="00224260"/>
    <w:rsid w:val="00224A45"/>
    <w:rsid w:val="00263D86"/>
    <w:rsid w:val="002836B9"/>
    <w:rsid w:val="00291165"/>
    <w:rsid w:val="0029252E"/>
    <w:rsid w:val="0029496F"/>
    <w:rsid w:val="002A65F1"/>
    <w:rsid w:val="002B7579"/>
    <w:rsid w:val="002D430C"/>
    <w:rsid w:val="002D4960"/>
    <w:rsid w:val="002F2B7D"/>
    <w:rsid w:val="003068DE"/>
    <w:rsid w:val="0030741B"/>
    <w:rsid w:val="00313447"/>
    <w:rsid w:val="00335ABD"/>
    <w:rsid w:val="0036023D"/>
    <w:rsid w:val="003634C0"/>
    <w:rsid w:val="003670A8"/>
    <w:rsid w:val="0038417A"/>
    <w:rsid w:val="00384718"/>
    <w:rsid w:val="00395106"/>
    <w:rsid w:val="00395E9B"/>
    <w:rsid w:val="003A11C1"/>
    <w:rsid w:val="003A1393"/>
    <w:rsid w:val="003B254E"/>
    <w:rsid w:val="003C7C39"/>
    <w:rsid w:val="003D41D7"/>
    <w:rsid w:val="003E46F1"/>
    <w:rsid w:val="003E6E74"/>
    <w:rsid w:val="0041570B"/>
    <w:rsid w:val="004224CC"/>
    <w:rsid w:val="0043191C"/>
    <w:rsid w:val="0044264D"/>
    <w:rsid w:val="0044399F"/>
    <w:rsid w:val="00443DF9"/>
    <w:rsid w:val="00445B26"/>
    <w:rsid w:val="0045178E"/>
    <w:rsid w:val="00476047"/>
    <w:rsid w:val="00483767"/>
    <w:rsid w:val="00483F29"/>
    <w:rsid w:val="00490196"/>
    <w:rsid w:val="00495C9E"/>
    <w:rsid w:val="0049772F"/>
    <w:rsid w:val="004B31EC"/>
    <w:rsid w:val="004C389D"/>
    <w:rsid w:val="004D7341"/>
    <w:rsid w:val="004F764D"/>
    <w:rsid w:val="00507E58"/>
    <w:rsid w:val="005106CC"/>
    <w:rsid w:val="00522DB1"/>
    <w:rsid w:val="00541652"/>
    <w:rsid w:val="00543785"/>
    <w:rsid w:val="0054422C"/>
    <w:rsid w:val="00564946"/>
    <w:rsid w:val="0057052F"/>
    <w:rsid w:val="00574832"/>
    <w:rsid w:val="00582065"/>
    <w:rsid w:val="0059440D"/>
    <w:rsid w:val="00594C9B"/>
    <w:rsid w:val="0059574A"/>
    <w:rsid w:val="005967E4"/>
    <w:rsid w:val="005D73E3"/>
    <w:rsid w:val="005E2403"/>
    <w:rsid w:val="0060227D"/>
    <w:rsid w:val="00624525"/>
    <w:rsid w:val="00624767"/>
    <w:rsid w:val="006275A6"/>
    <w:rsid w:val="00634602"/>
    <w:rsid w:val="00634C1F"/>
    <w:rsid w:val="00644067"/>
    <w:rsid w:val="00651443"/>
    <w:rsid w:val="00654157"/>
    <w:rsid w:val="00673341"/>
    <w:rsid w:val="006911CF"/>
    <w:rsid w:val="006C4CFD"/>
    <w:rsid w:val="006C5623"/>
    <w:rsid w:val="006E1ABD"/>
    <w:rsid w:val="0070181D"/>
    <w:rsid w:val="007050D6"/>
    <w:rsid w:val="00711650"/>
    <w:rsid w:val="00712AFF"/>
    <w:rsid w:val="00715EF9"/>
    <w:rsid w:val="007206A5"/>
    <w:rsid w:val="0073744B"/>
    <w:rsid w:val="007827FF"/>
    <w:rsid w:val="00796110"/>
    <w:rsid w:val="007B25C0"/>
    <w:rsid w:val="007B2D96"/>
    <w:rsid w:val="007B52B6"/>
    <w:rsid w:val="007C4C2C"/>
    <w:rsid w:val="007D0319"/>
    <w:rsid w:val="007D1A1D"/>
    <w:rsid w:val="007E6A2B"/>
    <w:rsid w:val="007F6B33"/>
    <w:rsid w:val="00807A0B"/>
    <w:rsid w:val="00810123"/>
    <w:rsid w:val="00813E14"/>
    <w:rsid w:val="00862308"/>
    <w:rsid w:val="00865901"/>
    <w:rsid w:val="0088316F"/>
    <w:rsid w:val="00885C1F"/>
    <w:rsid w:val="00885FAC"/>
    <w:rsid w:val="00893707"/>
    <w:rsid w:val="008B079F"/>
    <w:rsid w:val="008B5A5C"/>
    <w:rsid w:val="008D04D8"/>
    <w:rsid w:val="008D14F6"/>
    <w:rsid w:val="008D567E"/>
    <w:rsid w:val="008E00B4"/>
    <w:rsid w:val="008E0B27"/>
    <w:rsid w:val="0091294D"/>
    <w:rsid w:val="00935A7D"/>
    <w:rsid w:val="009709F4"/>
    <w:rsid w:val="00970E07"/>
    <w:rsid w:val="009A077F"/>
    <w:rsid w:val="009D1355"/>
    <w:rsid w:val="009D6434"/>
    <w:rsid w:val="009E11A1"/>
    <w:rsid w:val="009E2BF3"/>
    <w:rsid w:val="009E58DC"/>
    <w:rsid w:val="009F1DCD"/>
    <w:rsid w:val="00A1670A"/>
    <w:rsid w:val="00A33703"/>
    <w:rsid w:val="00A64CDF"/>
    <w:rsid w:val="00A749CE"/>
    <w:rsid w:val="00A82764"/>
    <w:rsid w:val="00A84039"/>
    <w:rsid w:val="00A90F51"/>
    <w:rsid w:val="00A93699"/>
    <w:rsid w:val="00A95A29"/>
    <w:rsid w:val="00AA06E8"/>
    <w:rsid w:val="00AA1B34"/>
    <w:rsid w:val="00AB2AC9"/>
    <w:rsid w:val="00AC1D47"/>
    <w:rsid w:val="00AC4D7E"/>
    <w:rsid w:val="00AE44DD"/>
    <w:rsid w:val="00AE7102"/>
    <w:rsid w:val="00AE7C87"/>
    <w:rsid w:val="00B03F68"/>
    <w:rsid w:val="00B15DBB"/>
    <w:rsid w:val="00B17FDA"/>
    <w:rsid w:val="00B31914"/>
    <w:rsid w:val="00B356EC"/>
    <w:rsid w:val="00B374DD"/>
    <w:rsid w:val="00B61BFC"/>
    <w:rsid w:val="00B64294"/>
    <w:rsid w:val="00B73E1F"/>
    <w:rsid w:val="00B7476D"/>
    <w:rsid w:val="00B83BB8"/>
    <w:rsid w:val="00B91838"/>
    <w:rsid w:val="00BA3F6B"/>
    <w:rsid w:val="00BC147A"/>
    <w:rsid w:val="00BC6CB8"/>
    <w:rsid w:val="00BF25DA"/>
    <w:rsid w:val="00BF3B86"/>
    <w:rsid w:val="00BF70E9"/>
    <w:rsid w:val="00C12E16"/>
    <w:rsid w:val="00C24A3C"/>
    <w:rsid w:val="00C44D3C"/>
    <w:rsid w:val="00C772A1"/>
    <w:rsid w:val="00C93E9B"/>
    <w:rsid w:val="00CA0483"/>
    <w:rsid w:val="00CB3A07"/>
    <w:rsid w:val="00CB706A"/>
    <w:rsid w:val="00CC59A2"/>
    <w:rsid w:val="00CC6DBE"/>
    <w:rsid w:val="00CE69AA"/>
    <w:rsid w:val="00CE7896"/>
    <w:rsid w:val="00CF1212"/>
    <w:rsid w:val="00D05218"/>
    <w:rsid w:val="00D16D0A"/>
    <w:rsid w:val="00D22BF6"/>
    <w:rsid w:val="00D264BB"/>
    <w:rsid w:val="00D37C4A"/>
    <w:rsid w:val="00D43602"/>
    <w:rsid w:val="00D52929"/>
    <w:rsid w:val="00D6144E"/>
    <w:rsid w:val="00D70FD4"/>
    <w:rsid w:val="00D75452"/>
    <w:rsid w:val="00D77B5B"/>
    <w:rsid w:val="00D84AF5"/>
    <w:rsid w:val="00D92F5F"/>
    <w:rsid w:val="00D948EC"/>
    <w:rsid w:val="00D94D40"/>
    <w:rsid w:val="00DA02AE"/>
    <w:rsid w:val="00DA44B9"/>
    <w:rsid w:val="00DA7E9C"/>
    <w:rsid w:val="00DC3C4D"/>
    <w:rsid w:val="00DC5A00"/>
    <w:rsid w:val="00DE61EB"/>
    <w:rsid w:val="00DF223E"/>
    <w:rsid w:val="00DF262C"/>
    <w:rsid w:val="00E0715A"/>
    <w:rsid w:val="00E441A0"/>
    <w:rsid w:val="00E65E7D"/>
    <w:rsid w:val="00E666D3"/>
    <w:rsid w:val="00E71E42"/>
    <w:rsid w:val="00E75609"/>
    <w:rsid w:val="00E832EA"/>
    <w:rsid w:val="00E90361"/>
    <w:rsid w:val="00E94494"/>
    <w:rsid w:val="00EA2317"/>
    <w:rsid w:val="00EB25AB"/>
    <w:rsid w:val="00EC6152"/>
    <w:rsid w:val="00ED0FA2"/>
    <w:rsid w:val="00ED3EC4"/>
    <w:rsid w:val="00ED51B6"/>
    <w:rsid w:val="00EE0830"/>
    <w:rsid w:val="00EE7C83"/>
    <w:rsid w:val="00EF2023"/>
    <w:rsid w:val="00F000EB"/>
    <w:rsid w:val="00F005E6"/>
    <w:rsid w:val="00F16EEC"/>
    <w:rsid w:val="00F25611"/>
    <w:rsid w:val="00F313C0"/>
    <w:rsid w:val="00F52534"/>
    <w:rsid w:val="00F65C33"/>
    <w:rsid w:val="00F711F5"/>
    <w:rsid w:val="00F77620"/>
    <w:rsid w:val="00F837EF"/>
    <w:rsid w:val="00F85D99"/>
    <w:rsid w:val="00F94761"/>
    <w:rsid w:val="00FA2C80"/>
    <w:rsid w:val="00FB1C71"/>
    <w:rsid w:val="00FB2693"/>
    <w:rsid w:val="00FC4108"/>
    <w:rsid w:val="00FD4D82"/>
    <w:rsid w:val="00FE049F"/>
    <w:rsid w:val="00FE2F50"/>
    <w:rsid w:val="00FE4896"/>
    <w:rsid w:val="00FF221C"/>
    <w:rsid w:val="00FF4AF4"/>
    <w:rsid w:val="03E84878"/>
    <w:rsid w:val="19AF5598"/>
    <w:rsid w:val="1B374201"/>
    <w:rsid w:val="2497137E"/>
    <w:rsid w:val="2EC32FC4"/>
    <w:rsid w:val="35DDACE9"/>
    <w:rsid w:val="52398460"/>
    <w:rsid w:val="54411D0D"/>
    <w:rsid w:val="57F98539"/>
    <w:rsid w:val="61D33C51"/>
    <w:rsid w:val="7BE5AFCD"/>
    <w:rsid w:val="7C1FB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46C36"/>
  <w15:chartTrackingRefBased/>
  <w15:docId w15:val="{FF5DE9B8-05B1-4989-8CB6-F23ADE53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3744B"/>
    <w:pPr>
      <w:spacing w:after="0" w:line="240" w:lineRule="auto"/>
    </w:pPr>
    <w:rPr>
      <w:rFonts w:ascii="Times New Roman" w:hAnsi="Times New Roman" w:eastAsia="Times New Roman" w:cs="Times New Roman"/>
      <w:kern w:val="0"/>
      <w:sz w:val="18"/>
      <w:szCs w:val="18"/>
      <w:lang w:val="en-US" w:eastAsia="tr-TR"/>
      <w14:ligatures w14:val="none"/>
    </w:rPr>
  </w:style>
  <w:style w:type="paragraph" w:styleId="Heading1">
    <w:name w:val="heading 1"/>
    <w:basedOn w:val="Normal"/>
    <w:next w:val="Normal"/>
    <w:link w:val="Heading1Char"/>
    <w:uiPriority w:val="9"/>
    <w:qFormat/>
    <w:rsid w:val="0073744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744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74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4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4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4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4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4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44B"/>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3744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3744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3744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3744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3744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3744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3744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3744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3744B"/>
    <w:rPr>
      <w:rFonts w:eastAsiaTheme="majorEastAsia" w:cstheme="majorBidi"/>
      <w:color w:val="272727" w:themeColor="text1" w:themeTint="D8"/>
    </w:rPr>
  </w:style>
  <w:style w:type="paragraph" w:styleId="Title">
    <w:name w:val="Title"/>
    <w:basedOn w:val="Normal"/>
    <w:next w:val="Normal"/>
    <w:link w:val="TitleChar"/>
    <w:uiPriority w:val="10"/>
    <w:qFormat/>
    <w:rsid w:val="0073744B"/>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3744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3744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37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44B"/>
    <w:pPr>
      <w:spacing w:before="160"/>
      <w:jc w:val="center"/>
    </w:pPr>
    <w:rPr>
      <w:i/>
      <w:iCs/>
      <w:color w:val="404040" w:themeColor="text1" w:themeTint="BF"/>
    </w:rPr>
  </w:style>
  <w:style w:type="character" w:styleId="QuoteChar" w:customStyle="1">
    <w:name w:val="Quote Char"/>
    <w:basedOn w:val="DefaultParagraphFont"/>
    <w:link w:val="Quote"/>
    <w:uiPriority w:val="29"/>
    <w:rsid w:val="0073744B"/>
    <w:rPr>
      <w:i/>
      <w:iCs/>
      <w:color w:val="404040" w:themeColor="text1" w:themeTint="BF"/>
    </w:rPr>
  </w:style>
  <w:style w:type="paragraph" w:styleId="ListParagraph">
    <w:name w:val="List Paragraph"/>
    <w:basedOn w:val="Normal"/>
    <w:uiPriority w:val="34"/>
    <w:qFormat/>
    <w:rsid w:val="0073744B"/>
    <w:pPr>
      <w:ind w:left="720"/>
      <w:contextualSpacing/>
    </w:pPr>
  </w:style>
  <w:style w:type="character" w:styleId="IntenseEmphasis">
    <w:name w:val="Intense Emphasis"/>
    <w:basedOn w:val="DefaultParagraphFont"/>
    <w:uiPriority w:val="21"/>
    <w:qFormat/>
    <w:rsid w:val="0073744B"/>
    <w:rPr>
      <w:i/>
      <w:iCs/>
      <w:color w:val="0F4761" w:themeColor="accent1" w:themeShade="BF"/>
    </w:rPr>
  </w:style>
  <w:style w:type="paragraph" w:styleId="IntenseQuote">
    <w:name w:val="Intense Quote"/>
    <w:basedOn w:val="Normal"/>
    <w:next w:val="Normal"/>
    <w:link w:val="IntenseQuoteChar"/>
    <w:uiPriority w:val="30"/>
    <w:qFormat/>
    <w:rsid w:val="0073744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3744B"/>
    <w:rPr>
      <w:i/>
      <w:iCs/>
      <w:color w:val="0F4761" w:themeColor="accent1" w:themeShade="BF"/>
    </w:rPr>
  </w:style>
  <w:style w:type="character" w:styleId="IntenseReference">
    <w:name w:val="Intense Reference"/>
    <w:basedOn w:val="DefaultParagraphFont"/>
    <w:uiPriority w:val="32"/>
    <w:qFormat/>
    <w:rsid w:val="0073744B"/>
    <w:rPr>
      <w:b/>
      <w:bCs/>
      <w:smallCaps/>
      <w:color w:val="0F4761" w:themeColor="accent1" w:themeShade="BF"/>
      <w:spacing w:val="5"/>
    </w:rPr>
  </w:style>
  <w:style w:type="paragraph" w:styleId="Header">
    <w:name w:val="header"/>
    <w:basedOn w:val="Normal"/>
    <w:link w:val="HeaderChar"/>
    <w:uiPriority w:val="99"/>
    <w:unhideWhenUsed/>
    <w:rsid w:val="0073744B"/>
    <w:pPr>
      <w:tabs>
        <w:tab w:val="center" w:pos="4513"/>
        <w:tab w:val="right" w:pos="9026"/>
      </w:tabs>
    </w:pPr>
  </w:style>
  <w:style w:type="character" w:styleId="HeaderChar" w:customStyle="1">
    <w:name w:val="Header Char"/>
    <w:basedOn w:val="DefaultParagraphFont"/>
    <w:link w:val="Header"/>
    <w:uiPriority w:val="99"/>
    <w:rsid w:val="0073744B"/>
  </w:style>
  <w:style w:type="paragraph" w:styleId="Footer">
    <w:name w:val="footer"/>
    <w:basedOn w:val="Normal"/>
    <w:link w:val="FooterChar"/>
    <w:uiPriority w:val="99"/>
    <w:unhideWhenUsed/>
    <w:rsid w:val="0073744B"/>
    <w:pPr>
      <w:tabs>
        <w:tab w:val="center" w:pos="4513"/>
        <w:tab w:val="right" w:pos="9026"/>
      </w:tabs>
    </w:pPr>
  </w:style>
  <w:style w:type="character" w:styleId="FooterChar" w:customStyle="1">
    <w:name w:val="Footer Char"/>
    <w:basedOn w:val="DefaultParagraphFont"/>
    <w:link w:val="Footer"/>
    <w:uiPriority w:val="99"/>
    <w:rsid w:val="0073744B"/>
  </w:style>
  <w:style w:type="character" w:styleId="Hyperlink">
    <w:name w:val="Hyperlink"/>
    <w:uiPriority w:val="99"/>
    <w:rsid w:val="0073744B"/>
    <w:rPr>
      <w:rFonts w:cs="Times New Roman"/>
      <w:color w:val="0000FF"/>
      <w:u w:val="single"/>
    </w:rPr>
  </w:style>
  <w:style w:type="paragraph" w:styleId="Revision">
    <w:name w:val="Revision"/>
    <w:hidden/>
    <w:uiPriority w:val="99"/>
    <w:semiHidden/>
    <w:rsid w:val="00B15DBB"/>
    <w:pPr>
      <w:spacing w:after="0" w:line="240" w:lineRule="auto"/>
    </w:pPr>
    <w:rPr>
      <w:rFonts w:ascii="Times New Roman" w:hAnsi="Times New Roman" w:eastAsia="Times New Roman" w:cs="Times New Roman"/>
      <w:kern w:val="0"/>
      <w:sz w:val="18"/>
      <w:szCs w:val="18"/>
      <w:lang w:val="tr-TR" w:eastAsia="tr-TR"/>
      <w14:ligatures w14:val="none"/>
    </w:rPr>
  </w:style>
  <w:style w:type="character" w:styleId="CommentReference">
    <w:name w:val="annotation reference"/>
    <w:basedOn w:val="DefaultParagraphFont"/>
    <w:uiPriority w:val="99"/>
    <w:rsid w:val="00C44D3C"/>
    <w:rPr>
      <w:sz w:val="16"/>
      <w:szCs w:val="16"/>
    </w:rPr>
  </w:style>
  <w:style w:type="paragraph" w:styleId="CommentText">
    <w:name w:val="annotation text"/>
    <w:basedOn w:val="Normal"/>
    <w:link w:val="CommentTextChar"/>
    <w:rsid w:val="00C44D3C"/>
    <w:pPr>
      <w:suppressAutoHyphens/>
      <w:autoSpaceDN w:val="0"/>
      <w:textAlignment w:val="baseline"/>
    </w:pPr>
    <w:rPr>
      <w:rFonts w:ascii="ApexSansBookT" w:hAnsi="ApexSansBookT" w:eastAsia="Calibri" w:cs="Arial"/>
      <w:sz w:val="20"/>
      <w:szCs w:val="20"/>
      <w:lang w:eastAsia="en-US"/>
    </w:rPr>
  </w:style>
  <w:style w:type="character" w:styleId="CommentTextChar" w:customStyle="1">
    <w:name w:val="Comment Text Char"/>
    <w:basedOn w:val="DefaultParagraphFont"/>
    <w:link w:val="CommentText"/>
    <w:rsid w:val="00C44D3C"/>
    <w:rPr>
      <w:rFonts w:ascii="ApexSansBookT" w:hAnsi="ApexSansBookT" w:eastAsia="Calibri" w:cs="Arial"/>
      <w:kern w:val="0"/>
      <w:sz w:val="20"/>
      <w:szCs w:val="20"/>
      <w:lang w:val="en-US"/>
      <w14:ligatures w14:val="none"/>
    </w:rPr>
  </w:style>
  <w:style w:type="character" w:styleId="UnresolvedMention">
    <w:name w:val="Unresolved Mention"/>
    <w:basedOn w:val="DefaultParagraphFont"/>
    <w:uiPriority w:val="99"/>
    <w:semiHidden/>
    <w:unhideWhenUsed/>
    <w:rsid w:val="00C44D3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35944"/>
    <w:pPr>
      <w:suppressAutoHyphens w:val="0"/>
      <w:autoSpaceDN/>
      <w:textAlignment w:val="auto"/>
    </w:pPr>
    <w:rPr>
      <w:rFonts w:ascii="Times New Roman" w:hAnsi="Times New Roman" w:eastAsia="Times New Roman" w:cs="Times New Roman"/>
      <w:b/>
      <w:bCs/>
      <w:lang w:val="tr-TR" w:eastAsia="tr-TR"/>
    </w:rPr>
  </w:style>
  <w:style w:type="character" w:styleId="CommentSubjectChar" w:customStyle="1">
    <w:name w:val="Comment Subject Char"/>
    <w:basedOn w:val="CommentTextChar"/>
    <w:link w:val="CommentSubject"/>
    <w:uiPriority w:val="99"/>
    <w:semiHidden/>
    <w:rsid w:val="00035944"/>
    <w:rPr>
      <w:rFonts w:ascii="Times New Roman" w:hAnsi="Times New Roman" w:eastAsia="Times New Roman" w:cs="Times New Roman"/>
      <w:b/>
      <w:bCs/>
      <w:kern w:val="0"/>
      <w:sz w:val="20"/>
      <w:szCs w:val="20"/>
      <w:lang w:val="tr-TR" w:eastAsia="tr-TR"/>
      <w14:ligatures w14:val="none"/>
    </w:rPr>
  </w:style>
  <w:style w:type="character" w:styleId="CommentTextChar1" w:customStyle="1">
    <w:name w:val="Comment Text Char1"/>
    <w:basedOn w:val="DefaultParagraphFont"/>
    <w:uiPriority w:val="99"/>
    <w:rsid w:val="006911CF"/>
    <w:rPr>
      <w:rFonts w:ascii="ApexSansBookT" w:hAnsi="ApexSansBook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34" /><Relationship Type="http://schemas.openxmlformats.org/officeDocument/2006/relationships/footer" Target="footer1.xml" Id="rId33" /><Relationship Type="http://schemas.openxmlformats.org/officeDocument/2006/relationships/customXml" Target="../customXml/item3.xml" Id="rId38"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32" /><Relationship Type="http://schemas.openxmlformats.org/officeDocument/2006/relationships/customXml" Target="../customXml/item2.xml" Id="rId37" /><Relationship Type="http://schemas.openxmlformats.org/officeDocument/2006/relationships/footnotes" Target="footnotes.xml" Id="rId5" /><Relationship Type="http://schemas.openxmlformats.org/officeDocument/2006/relationships/customXml" Target="../customXml/item1.xml" Id="rId36" /><Relationship Type="http://schemas.openxmlformats.org/officeDocument/2006/relationships/webSettings" Target="webSettings.xml" Id="rId4" /><Relationship Type="http://schemas.openxmlformats.org/officeDocument/2006/relationships/theme" Target="theme/theme1.xml" Id="rId35" /><Relationship Type="http://schemas.openxmlformats.org/officeDocument/2006/relationships/settings" Target="settings.xml" Id="rId3" /><Relationship Type="http://schemas.openxmlformats.org/officeDocument/2006/relationships/hyperlink" Target="http://www.turkishairlines.com/" TargetMode="External" Id="R8074af4484224ccc" /><Relationship Type="http://schemas.openxmlformats.org/officeDocument/2006/relationships/hyperlink" Target="http://www.cfmaeroengines.com/" TargetMode="External" Id="R20eb30aea12449e0" /><Relationship Type="http://schemas.openxmlformats.org/officeDocument/2006/relationships/hyperlink" Target="mailto:mediarelations@staralliance.com" TargetMode="External" Id="R9fcb82286b3c4ea1" /></Relationships>
</file>

<file path=word/_rels/footer1.xml.rels><?xml version="1.0" encoding="UTF-8" standalone="yes"?>
<Relationships xmlns="http://schemas.openxmlformats.org/package/2006/relationships"><Relationship Id="rId2" Type="http://schemas.openxmlformats.org/officeDocument/2006/relationships/hyperlink" Target="mailto:press@thy.com" TargetMode="External"/><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C38229-7AB8-4F9B-A2B3-72EE663A82E7}"/>
</file>

<file path=customXml/itemProps2.xml><?xml version="1.0" encoding="utf-8"?>
<ds:datastoreItem xmlns:ds="http://schemas.openxmlformats.org/officeDocument/2006/customXml" ds:itemID="{2F388747-B922-4438-8A8B-90A66BC8D7B8}"/>
</file>

<file path=customXml/itemProps3.xml><?xml version="1.0" encoding="utf-8"?>
<ds:datastoreItem xmlns:ds="http://schemas.openxmlformats.org/officeDocument/2006/customXml" ds:itemID="{95EA3423-7D1F-49EB-AEF0-9AAF86A37D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Ismail Selim Essiz</dc:creator>
  <keywords/>
  <dc:description/>
  <lastModifiedBy>Guest User</lastModifiedBy>
  <revision>5</revision>
  <dcterms:created xsi:type="dcterms:W3CDTF">2026-10-16T06:39:00.0000000Z</dcterms:created>
  <dcterms:modified xsi:type="dcterms:W3CDTF">2026-10-16T18:08:54.4631462Z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