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308B7" w14:textId="323C56BC" w:rsidR="0004649C" w:rsidRPr="0004649C" w:rsidRDefault="00A328D7" w:rsidP="0004649C">
      <w:pPr>
        <w:pStyle w:val="TBWA"/>
        <w:rPr>
          <w:b/>
          <w:color w:val="717171"/>
          <w:sz w:val="40"/>
          <w:szCs w:val="40"/>
        </w:rPr>
      </w:pPr>
      <w:r>
        <w:rPr>
          <w:b/>
          <w:color w:val="717171"/>
          <w:sz w:val="40"/>
          <w:szCs w:val="40"/>
        </w:rPr>
        <w:t xml:space="preserve">KBC </w:t>
      </w:r>
      <w:proofErr w:type="gramStart"/>
      <w:r>
        <w:rPr>
          <w:b/>
          <w:color w:val="717171"/>
          <w:sz w:val="40"/>
          <w:szCs w:val="40"/>
        </w:rPr>
        <w:t>et</w:t>
      </w:r>
      <w:proofErr w:type="gramEnd"/>
      <w:r w:rsidR="0004649C" w:rsidRPr="0004649C">
        <w:rPr>
          <w:b/>
          <w:color w:val="717171"/>
          <w:sz w:val="40"/>
          <w:szCs w:val="40"/>
        </w:rPr>
        <w:t xml:space="preserve"> TBWA </w:t>
      </w:r>
      <w:r>
        <w:rPr>
          <w:b/>
          <w:color w:val="717171"/>
          <w:sz w:val="40"/>
          <w:szCs w:val="40"/>
        </w:rPr>
        <w:t>apportent leur pierre à l’édifice.</w:t>
      </w:r>
    </w:p>
    <w:p w14:paraId="77699982" w14:textId="77777777" w:rsidR="0004649C" w:rsidRDefault="0004649C" w:rsidP="002F1AB1">
      <w:pPr>
        <w:pStyle w:val="TBWA"/>
        <w:rPr>
          <w:b/>
          <w:color w:val="auto"/>
          <w:lang w:val="nl-NL"/>
        </w:rPr>
      </w:pPr>
    </w:p>
    <w:p w14:paraId="28768939" w14:textId="77777777" w:rsidR="00721D23" w:rsidRPr="00721D23" w:rsidRDefault="00721D23" w:rsidP="00721D23">
      <w:pPr>
        <w:pStyle w:val="TBWA"/>
        <w:rPr>
          <w:color w:val="auto"/>
          <w:sz w:val="20"/>
          <w:szCs w:val="20"/>
          <w:lang w:val="nl-NL"/>
        </w:rPr>
      </w:pPr>
    </w:p>
    <w:p w14:paraId="1862100E" w14:textId="77777777" w:rsidR="00A328D7" w:rsidRPr="00A328D7" w:rsidRDefault="00A328D7" w:rsidP="00A328D7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2"/>
          <w:szCs w:val="22"/>
          <w:lang w:eastAsia="en-US"/>
        </w:rPr>
      </w:pPr>
      <w:r w:rsidRPr="00A328D7">
        <w:rPr>
          <w:rFonts w:ascii="Helvetica" w:hAnsi="Helvetica" w:cs="Helvetica"/>
          <w:sz w:val="22"/>
          <w:szCs w:val="22"/>
          <w:lang w:eastAsia="en-US"/>
        </w:rPr>
        <w:t xml:space="preserve">Chez KBC, votre épargne ne </w:t>
      </w:r>
      <w:proofErr w:type="gramStart"/>
      <w:r w:rsidRPr="00A328D7">
        <w:rPr>
          <w:rFonts w:ascii="Helvetica" w:hAnsi="Helvetica" w:cs="Helvetica"/>
          <w:sz w:val="22"/>
          <w:szCs w:val="22"/>
          <w:lang w:eastAsia="en-US"/>
        </w:rPr>
        <w:t>dort</w:t>
      </w:r>
      <w:proofErr w:type="gramEnd"/>
      <w:r w:rsidRPr="00A328D7">
        <w:rPr>
          <w:rFonts w:ascii="Helvetica" w:hAnsi="Helvetica" w:cs="Helvetica"/>
          <w:sz w:val="22"/>
          <w:szCs w:val="22"/>
          <w:lang w:eastAsia="en-US"/>
        </w:rPr>
        <w:t xml:space="preserve"> pas. </w:t>
      </w:r>
      <w:proofErr w:type="gramStart"/>
      <w:r w:rsidRPr="00A328D7">
        <w:rPr>
          <w:rFonts w:ascii="Helvetica" w:hAnsi="Helvetica" w:cs="Helvetica"/>
          <w:sz w:val="22"/>
          <w:szCs w:val="22"/>
          <w:lang w:eastAsia="en-US"/>
        </w:rPr>
        <w:t>Elle participe directement aux projets de votre région.</w:t>
      </w:r>
      <w:proofErr w:type="gramEnd"/>
      <w:r w:rsidRPr="00A328D7">
        <w:rPr>
          <w:rFonts w:ascii="Helvetica" w:hAnsi="Helvetica" w:cs="Helvetica"/>
          <w:sz w:val="22"/>
          <w:szCs w:val="22"/>
          <w:lang w:eastAsia="en-US"/>
        </w:rPr>
        <w:t xml:space="preserve"> </w:t>
      </w:r>
      <w:proofErr w:type="gramStart"/>
      <w:r w:rsidRPr="00A328D7">
        <w:rPr>
          <w:rFonts w:ascii="Helvetica" w:hAnsi="Helvetica" w:cs="Helvetica"/>
          <w:sz w:val="22"/>
          <w:szCs w:val="22"/>
          <w:lang w:eastAsia="en-US"/>
        </w:rPr>
        <w:t>Des projets qui profitent à tous comme la rénovation d’une école, la construction d’un nouvel hôpital ou d’une entreprise qui créera de l’emploi.</w:t>
      </w:r>
      <w:proofErr w:type="gramEnd"/>
    </w:p>
    <w:p w14:paraId="050EAC3A" w14:textId="43E6A69F" w:rsidR="00A328D7" w:rsidRPr="00A328D7" w:rsidRDefault="00A328D7" w:rsidP="00A328D7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2"/>
          <w:szCs w:val="22"/>
          <w:lang w:eastAsia="en-US"/>
        </w:rPr>
      </w:pPr>
      <w:r w:rsidRPr="00A328D7">
        <w:rPr>
          <w:rFonts w:ascii="Helvetica" w:hAnsi="Helvetica" w:cs="Helvetica"/>
          <w:sz w:val="22"/>
          <w:szCs w:val="22"/>
          <w:lang w:eastAsia="en-US"/>
        </w:rPr>
        <w:t xml:space="preserve">Et pour le prouver, KBC présente: une Pierre à l’Edifice. Sur le site web </w:t>
      </w:r>
      <w:hyperlink r:id="rId9" w:history="1">
        <w:r w:rsidRPr="00A328D7">
          <w:rPr>
            <w:rFonts w:ascii="Helvetica" w:hAnsi="Helvetica" w:cs="Helvetica"/>
            <w:color w:val="0000FF"/>
            <w:sz w:val="22"/>
            <w:szCs w:val="22"/>
            <w:u w:val="single" w:color="0000FF"/>
            <w:lang w:eastAsia="en-US"/>
          </w:rPr>
          <w:t>kbc.be/apportezunepierre</w:t>
        </w:r>
      </w:hyperlink>
      <w:r w:rsidRPr="00A328D7">
        <w:rPr>
          <w:rFonts w:ascii="Helvetica" w:hAnsi="Helvetica"/>
          <w:sz w:val="22"/>
          <w:szCs w:val="22"/>
          <w:lang w:eastAsia="en-US"/>
        </w:rPr>
        <w:t xml:space="preserve"> </w:t>
      </w:r>
      <w:r w:rsidRPr="00A328D7">
        <w:rPr>
          <w:rFonts w:ascii="Helvetica" w:hAnsi="Helvetica" w:cs="Helvetica"/>
          <w:sz w:val="22"/>
          <w:szCs w:val="22"/>
          <w:lang w:eastAsia="en-US"/>
        </w:rPr>
        <w:t xml:space="preserve">une ingénieuse machine-robot permet aux épargnants de créer </w:t>
      </w:r>
      <w:proofErr w:type="gramStart"/>
      <w:r w:rsidRPr="00A328D7">
        <w:rPr>
          <w:rFonts w:ascii="Helvetica" w:hAnsi="Helvetica" w:cs="Helvetica"/>
          <w:sz w:val="22"/>
          <w:szCs w:val="22"/>
          <w:lang w:eastAsia="en-US"/>
        </w:rPr>
        <w:t>et</w:t>
      </w:r>
      <w:proofErr w:type="gramEnd"/>
      <w:r w:rsidRPr="00A328D7">
        <w:rPr>
          <w:rFonts w:ascii="Helvetica" w:hAnsi="Helvetica" w:cs="Helvetica"/>
          <w:sz w:val="22"/>
          <w:szCs w:val="22"/>
          <w:lang w:eastAsia="en-US"/>
        </w:rPr>
        <w:t xml:space="preserve"> graver un message sur leur propre brique, en live! La brique </w:t>
      </w:r>
      <w:proofErr w:type="gramStart"/>
      <w:r w:rsidRPr="00A328D7">
        <w:rPr>
          <w:rFonts w:ascii="Helvetica" w:hAnsi="Helvetica" w:cs="Helvetica"/>
          <w:sz w:val="22"/>
          <w:szCs w:val="22"/>
          <w:lang w:eastAsia="en-US"/>
        </w:rPr>
        <w:t>est</w:t>
      </w:r>
      <w:proofErr w:type="gramEnd"/>
      <w:r w:rsidRPr="00A328D7">
        <w:rPr>
          <w:rFonts w:ascii="Helvetica" w:hAnsi="Helvetica" w:cs="Helvetica"/>
          <w:sz w:val="22"/>
          <w:szCs w:val="22"/>
          <w:lang w:eastAsia="en-US"/>
        </w:rPr>
        <w:t xml:space="preserve"> alors envoyée sur le chantier de leur choix. </w:t>
      </w:r>
      <w:proofErr w:type="gramStart"/>
      <w:r w:rsidRPr="00A328D7">
        <w:rPr>
          <w:rFonts w:ascii="Helvetica" w:hAnsi="Helvetica" w:cs="Helvetica"/>
          <w:sz w:val="22"/>
          <w:szCs w:val="22"/>
          <w:lang w:eastAsia="en-US"/>
        </w:rPr>
        <w:t>Preuve de leur contribution directe à la croissance locale.</w:t>
      </w:r>
      <w:proofErr w:type="gramEnd"/>
    </w:p>
    <w:p w14:paraId="1EF1D6F5" w14:textId="77777777" w:rsidR="00A328D7" w:rsidRDefault="00A328D7" w:rsidP="00A328D7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2"/>
          <w:szCs w:val="22"/>
          <w:lang w:eastAsia="en-US"/>
        </w:rPr>
      </w:pPr>
      <w:r w:rsidRPr="00A328D7">
        <w:rPr>
          <w:rFonts w:ascii="Helvetica" w:hAnsi="Helvetica" w:cs="Helvetica"/>
          <w:sz w:val="22"/>
          <w:szCs w:val="22"/>
          <w:lang w:eastAsia="en-US"/>
        </w:rPr>
        <w:t xml:space="preserve">Cette action a été développée par TBWA, leur partenaire de toujours. La campagne qui l’accompagne se retrouve en affichage, radio </w:t>
      </w:r>
      <w:proofErr w:type="gramStart"/>
      <w:r w:rsidRPr="00A328D7">
        <w:rPr>
          <w:rFonts w:ascii="Helvetica" w:hAnsi="Helvetica" w:cs="Helvetica"/>
          <w:sz w:val="22"/>
          <w:szCs w:val="22"/>
          <w:lang w:eastAsia="en-US"/>
        </w:rPr>
        <w:t>et</w:t>
      </w:r>
      <w:proofErr w:type="gramEnd"/>
      <w:r w:rsidRPr="00A328D7">
        <w:rPr>
          <w:rFonts w:ascii="Helvetica" w:hAnsi="Helvetica" w:cs="Helvetica"/>
          <w:sz w:val="22"/>
          <w:szCs w:val="22"/>
          <w:lang w:eastAsia="en-US"/>
        </w:rPr>
        <w:t xml:space="preserve"> en ligne… mais aussi sur le terrain via des bétonnières et les murs des chantiers participants.</w:t>
      </w:r>
    </w:p>
    <w:p w14:paraId="602E1266" w14:textId="77777777" w:rsidR="007479DE" w:rsidRDefault="007479DE" w:rsidP="00A328D7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2"/>
          <w:szCs w:val="22"/>
          <w:lang w:eastAsia="en-US"/>
        </w:rPr>
      </w:pPr>
    </w:p>
    <w:p w14:paraId="1AB53327" w14:textId="77777777" w:rsidR="007479DE" w:rsidRDefault="007479DE" w:rsidP="007479DE">
      <w:pPr>
        <w:pStyle w:val="TBWA"/>
        <w:rPr>
          <w:rFonts w:cs="Helvetica"/>
          <w:color w:val="auto"/>
          <w:sz w:val="22"/>
          <w:szCs w:val="22"/>
          <w:lang w:eastAsia="en-US"/>
        </w:rPr>
      </w:pPr>
      <w:r>
        <w:rPr>
          <w:rFonts w:cs="Helvetica"/>
          <w:color w:val="auto"/>
          <w:sz w:val="22"/>
          <w:szCs w:val="22"/>
          <w:lang w:eastAsia="en-US"/>
        </w:rPr>
        <w:t>Credits:</w:t>
      </w:r>
    </w:p>
    <w:p w14:paraId="34782CB8" w14:textId="77777777" w:rsidR="007479DE" w:rsidRDefault="007479DE" w:rsidP="007479DE">
      <w:pPr>
        <w:pStyle w:val="TBWA"/>
        <w:rPr>
          <w:rFonts w:cs="Helvetica"/>
          <w:color w:val="auto"/>
          <w:sz w:val="22"/>
          <w:szCs w:val="22"/>
          <w:lang w:eastAsia="en-US"/>
        </w:rPr>
      </w:pPr>
    </w:p>
    <w:p w14:paraId="0158689D" w14:textId="77777777" w:rsidR="007479DE" w:rsidRPr="00831446" w:rsidRDefault="007479DE" w:rsidP="007479DE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Brand:</w:t>
      </w:r>
      <w:r>
        <w:rPr>
          <w:rFonts w:ascii="Helvetica" w:hAnsi="Helvetica"/>
          <w:b/>
          <w:sz w:val="20"/>
        </w:rPr>
        <w:t xml:space="preserve"> </w:t>
      </w:r>
      <w:r>
        <w:rPr>
          <w:rFonts w:ascii="Helvetica" w:hAnsi="Helvetica"/>
          <w:b/>
          <w:sz w:val="20"/>
        </w:rPr>
        <w:tab/>
      </w:r>
      <w:r w:rsidRPr="00993F3F">
        <w:rPr>
          <w:rFonts w:ascii="Helvetica" w:hAnsi="Helvetica"/>
          <w:sz w:val="20"/>
        </w:rPr>
        <w:t>KBC</w:t>
      </w:r>
    </w:p>
    <w:p w14:paraId="37B1F360" w14:textId="77777777" w:rsidR="007479DE" w:rsidRDefault="007479DE" w:rsidP="007479DE">
      <w:pPr>
        <w:pStyle w:val="TBWANormal"/>
        <w:tabs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 xml:space="preserve">Campaign Title: </w:t>
      </w:r>
      <w:r>
        <w:rPr>
          <w:rFonts w:ascii="Helvetica" w:hAnsi="Helvetica"/>
          <w:b/>
          <w:sz w:val="20"/>
        </w:rPr>
        <w:tab/>
      </w:r>
      <w:r>
        <w:rPr>
          <w:rFonts w:ascii="Helvetica" w:hAnsi="Helvetica"/>
          <w:sz w:val="20"/>
        </w:rPr>
        <w:t>KBC en TBWA presenteren ‘Een steentje bijdragen’</w:t>
      </w:r>
    </w:p>
    <w:p w14:paraId="40D28763" w14:textId="77777777" w:rsidR="007479DE" w:rsidRPr="00A95D6F" w:rsidRDefault="007479DE" w:rsidP="007479DE">
      <w:pPr>
        <w:pStyle w:val="TBWANormal"/>
        <w:tabs>
          <w:tab w:val="left" w:pos="1276"/>
          <w:tab w:val="left" w:pos="2835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>Client:</w:t>
      </w:r>
      <w:r>
        <w:rPr>
          <w:rFonts w:ascii="Helvetica" w:hAnsi="Helvetica"/>
          <w:b/>
          <w:sz w:val="20"/>
        </w:rPr>
        <w:t xml:space="preserve"> </w:t>
      </w:r>
      <w:r>
        <w:rPr>
          <w:rFonts w:ascii="Helvetica" w:hAnsi="Helvetica"/>
          <w:b/>
          <w:sz w:val="20"/>
        </w:rPr>
        <w:tab/>
      </w:r>
      <w:r>
        <w:rPr>
          <w:rFonts w:ascii="Helvetica" w:hAnsi="Helvetica"/>
          <w:b/>
          <w:sz w:val="20"/>
        </w:rPr>
        <w:tab/>
      </w:r>
      <w:r>
        <w:rPr>
          <w:rFonts w:ascii="Helvetica" w:hAnsi="Helvetica"/>
          <w:sz w:val="20"/>
        </w:rPr>
        <w:t>Jurgen Noel, Ingrid Letellier, Erik Vandenbossche</w:t>
      </w:r>
    </w:p>
    <w:p w14:paraId="67A0BA47" w14:textId="77777777" w:rsidR="007479DE" w:rsidRPr="00831446" w:rsidRDefault="007479DE" w:rsidP="007479DE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Agency: </w:t>
      </w:r>
      <w:r>
        <w:rPr>
          <w:rFonts w:ascii="Helvetica" w:hAnsi="Helvetica"/>
          <w:b/>
          <w:sz w:val="20"/>
        </w:rPr>
        <w:tab/>
      </w:r>
      <w:r>
        <w:rPr>
          <w:rFonts w:ascii="Helvetica" w:hAnsi="Helvetica"/>
          <w:sz w:val="20"/>
        </w:rPr>
        <w:t>TBWA</w:t>
      </w:r>
    </w:p>
    <w:p w14:paraId="1C17236A" w14:textId="77777777" w:rsidR="007479DE" w:rsidRPr="00831446" w:rsidRDefault="007479DE" w:rsidP="007479DE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Creative Director:</w:t>
      </w:r>
      <w:r w:rsidRPr="00831446">
        <w:rPr>
          <w:rFonts w:ascii="Helvetica" w:hAnsi="Helvetica"/>
          <w:b/>
          <w:sz w:val="20"/>
        </w:rPr>
        <w:tab/>
      </w:r>
      <w:r w:rsidRPr="00993F3F">
        <w:rPr>
          <w:rFonts w:ascii="Helvetica" w:hAnsi="Helvetica"/>
          <w:sz w:val="20"/>
        </w:rPr>
        <w:t>Jan Macken</w:t>
      </w:r>
      <w:r>
        <w:rPr>
          <w:rFonts w:ascii="Helvetica" w:hAnsi="Helvetica"/>
          <w:sz w:val="20"/>
        </w:rPr>
        <w:t>, Gert Pauwels</w:t>
      </w:r>
    </w:p>
    <w:p w14:paraId="3EB66962" w14:textId="77777777" w:rsidR="007479DE" w:rsidRDefault="007479DE" w:rsidP="007479DE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>Creative Team:</w:t>
      </w:r>
      <w:r w:rsidRPr="00831446">
        <w:rPr>
          <w:rFonts w:ascii="Helvetica" w:hAnsi="Helvetica"/>
          <w:b/>
          <w:sz w:val="20"/>
        </w:rPr>
        <w:tab/>
      </w:r>
      <w:r>
        <w:rPr>
          <w:rFonts w:ascii="Helvetica" w:hAnsi="Helvetica"/>
          <w:sz w:val="20"/>
        </w:rPr>
        <w:t>Geert Verdonck, Menno Buyl, Thomas De Vreese, Koen van de Wouw, Lander Janssens, Chiara De Decker, Veerle Blykers</w:t>
      </w:r>
    </w:p>
    <w:p w14:paraId="76F5A034" w14:textId="77777777" w:rsidR="007479DE" w:rsidRPr="0024716C" w:rsidRDefault="007479DE" w:rsidP="007479DE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04649C">
        <w:rPr>
          <w:rFonts w:ascii="Helvetica" w:hAnsi="Helvetica"/>
          <w:b/>
          <w:sz w:val="20"/>
        </w:rPr>
        <w:t xml:space="preserve">Design: </w:t>
      </w:r>
      <w:r w:rsidRPr="0024716C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Yannick Van der Goten</w:t>
      </w:r>
    </w:p>
    <w:p w14:paraId="480FCF4B" w14:textId="77777777" w:rsidR="007479DE" w:rsidRPr="00831446" w:rsidRDefault="007479DE" w:rsidP="007479DE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>Account team:</w:t>
      </w:r>
      <w:r w:rsidRPr="00831446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Catherine Hamers, Katrien Crabbe, Geert Potargent</w:t>
      </w:r>
    </w:p>
    <w:p w14:paraId="2190595F" w14:textId="77777777" w:rsidR="007479DE" w:rsidRPr="00831446" w:rsidRDefault="007479DE" w:rsidP="007479DE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 xml:space="preserve">Strategy: </w:t>
      </w:r>
      <w:r>
        <w:rPr>
          <w:rFonts w:ascii="Helvetica" w:hAnsi="Helvetica"/>
          <w:b/>
          <w:sz w:val="20"/>
        </w:rPr>
        <w:tab/>
      </w:r>
      <w:r w:rsidRPr="00744435">
        <w:rPr>
          <w:rFonts w:ascii="Helvetica" w:hAnsi="Helvetica"/>
          <w:sz w:val="20"/>
        </w:rPr>
        <w:t>Bert Denis, Vicky</w:t>
      </w:r>
      <w:r w:rsidRPr="00993F3F">
        <w:rPr>
          <w:rFonts w:ascii="Helvetica" w:hAnsi="Helvetica"/>
          <w:sz w:val="20"/>
        </w:rPr>
        <w:t xml:space="preserve"> Willems</w:t>
      </w:r>
    </w:p>
    <w:p w14:paraId="39C16548" w14:textId="77777777" w:rsidR="007479DE" w:rsidRDefault="007479DE" w:rsidP="007479DE">
      <w:pPr>
        <w:pStyle w:val="TBWANormal"/>
        <w:tabs>
          <w:tab w:val="left" w:pos="1276"/>
          <w:tab w:val="left" w:pos="2835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 xml:space="preserve">Media Arts: </w:t>
      </w:r>
      <w:r>
        <w:rPr>
          <w:rFonts w:ascii="Helvetica" w:hAnsi="Helvetica"/>
          <w:b/>
          <w:sz w:val="20"/>
        </w:rPr>
        <w:tab/>
      </w:r>
      <w:r>
        <w:rPr>
          <w:rFonts w:ascii="Helvetica" w:hAnsi="Helvetica"/>
          <w:b/>
          <w:sz w:val="20"/>
        </w:rPr>
        <w:tab/>
      </w:r>
      <w:r w:rsidRPr="00993F3F">
        <w:rPr>
          <w:rFonts w:ascii="Helvetica" w:hAnsi="Helvetica"/>
          <w:sz w:val="20"/>
        </w:rPr>
        <w:t>Sylvie Dewaele</w:t>
      </w:r>
    </w:p>
    <w:p w14:paraId="4B5757D8" w14:textId="77777777" w:rsidR="007479DE" w:rsidRDefault="007479DE" w:rsidP="007479DE">
      <w:pPr>
        <w:pStyle w:val="TBWANormal"/>
        <w:tabs>
          <w:tab w:val="left" w:pos="1276"/>
          <w:tab w:val="left" w:pos="2835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04649C">
        <w:rPr>
          <w:rFonts w:ascii="Helvetica" w:hAnsi="Helvetica"/>
          <w:b/>
          <w:sz w:val="20"/>
        </w:rPr>
        <w:t>Media Agency: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>Mindshare</w:t>
      </w:r>
    </w:p>
    <w:p w14:paraId="70D1C764" w14:textId="77777777" w:rsidR="007479DE" w:rsidRDefault="007479DE" w:rsidP="007479DE">
      <w:pPr>
        <w:pStyle w:val="TBWANormal"/>
        <w:tabs>
          <w:tab w:val="left" w:pos="1276"/>
          <w:tab w:val="left" w:pos="2835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>Production agency:</w:t>
      </w:r>
      <w:r>
        <w:rPr>
          <w:rFonts w:ascii="Helvetica" w:hAnsi="Helvetica"/>
          <w:b/>
          <w:sz w:val="20"/>
        </w:rPr>
        <w:tab/>
      </w:r>
      <w:r>
        <w:rPr>
          <w:rFonts w:ascii="Helvetica" w:hAnsi="Helvetica"/>
          <w:sz w:val="20"/>
        </w:rPr>
        <w:t>Radio Production</w:t>
      </w:r>
      <w:r w:rsidRPr="005533FE">
        <w:rPr>
          <w:rFonts w:ascii="Helvetica" w:hAnsi="Helvetica"/>
          <w:sz w:val="20"/>
        </w:rPr>
        <w:t>: Saké</w:t>
      </w:r>
    </w:p>
    <w:p w14:paraId="3ADB43EF" w14:textId="77777777" w:rsidR="007479DE" w:rsidRDefault="007479DE" w:rsidP="007479DE">
      <w:pPr>
        <w:pStyle w:val="TBWANormal"/>
        <w:tabs>
          <w:tab w:val="left" w:pos="1276"/>
          <w:tab w:val="left" w:pos="2835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TV Production &amp; post-production: Saké</w:t>
      </w:r>
    </w:p>
    <w:p w14:paraId="08CA045D" w14:textId="77777777" w:rsidR="007479DE" w:rsidRDefault="007479DE" w:rsidP="007479DE">
      <w:pPr>
        <w:pStyle w:val="TBWANormal"/>
        <w:tabs>
          <w:tab w:val="left" w:pos="1276"/>
          <w:tab w:val="left" w:pos="2835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Animation: Volstok</w:t>
      </w:r>
    </w:p>
    <w:p w14:paraId="491623C6" w14:textId="77777777" w:rsidR="007479DE" w:rsidRDefault="007479DE" w:rsidP="007479DE">
      <w:pPr>
        <w:pStyle w:val="TBWANormal"/>
        <w:tabs>
          <w:tab w:val="left" w:pos="1276"/>
          <w:tab w:val="left" w:pos="2835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Digital Team: Digital Arts Network Brussels</w:t>
      </w:r>
    </w:p>
    <w:p w14:paraId="71674169" w14:textId="77777777" w:rsidR="007479DE" w:rsidRDefault="007479DE" w:rsidP="007479DE">
      <w:pPr>
        <w:pStyle w:val="TBWANormal"/>
        <w:tabs>
          <w:tab w:val="left" w:pos="1276"/>
          <w:tab w:val="left" w:pos="2835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Print Production: Elly Laureys</w:t>
      </w:r>
    </w:p>
    <w:p w14:paraId="21455B39" w14:textId="77777777" w:rsidR="007479DE" w:rsidRDefault="007479DE" w:rsidP="007479DE">
      <w:pPr>
        <w:pStyle w:val="TBWANormal"/>
        <w:tabs>
          <w:tab w:val="left" w:pos="1276"/>
          <w:tab w:val="left" w:pos="2835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</w:p>
    <w:p w14:paraId="7CC959C4" w14:textId="77777777" w:rsidR="007479DE" w:rsidRPr="00822223" w:rsidRDefault="007479DE" w:rsidP="007479DE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Date of first publication/airing (dd/mm/yy):</w:t>
      </w:r>
      <w:r>
        <w:rPr>
          <w:rFonts w:ascii="Helvetica" w:hAnsi="Helvetica"/>
          <w:b/>
          <w:sz w:val="20"/>
        </w:rPr>
        <w:t xml:space="preserve"> </w:t>
      </w:r>
      <w:r>
        <w:rPr>
          <w:rFonts w:ascii="Helvetica" w:hAnsi="Helvetica"/>
          <w:sz w:val="20"/>
        </w:rPr>
        <w:t>30/09</w:t>
      </w:r>
      <w:r w:rsidRPr="00780B7B">
        <w:rPr>
          <w:rFonts w:ascii="Helvetica" w:hAnsi="Helvetica"/>
          <w:sz w:val="20"/>
        </w:rPr>
        <w:t>/20</w:t>
      </w:r>
      <w:r>
        <w:rPr>
          <w:rFonts w:ascii="Helvetica" w:hAnsi="Helvetica"/>
          <w:sz w:val="20"/>
        </w:rPr>
        <w:t>13</w:t>
      </w:r>
    </w:p>
    <w:p w14:paraId="6284C638" w14:textId="77777777" w:rsidR="007479DE" w:rsidRPr="00A328D7" w:rsidRDefault="007479DE" w:rsidP="00A328D7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2"/>
          <w:szCs w:val="22"/>
          <w:lang w:eastAsia="en-US"/>
        </w:rPr>
      </w:pPr>
      <w:bookmarkStart w:id="0" w:name="_GoBack"/>
      <w:bookmarkEnd w:id="0"/>
    </w:p>
    <w:p w14:paraId="264C153F" w14:textId="33B98C5B" w:rsidR="00540C0C" w:rsidRPr="00FD6E60" w:rsidRDefault="00540C0C" w:rsidP="00540C0C">
      <w:pPr>
        <w:pStyle w:val="TBWA"/>
        <w:rPr>
          <w:color w:val="auto"/>
          <w:sz w:val="22"/>
          <w:szCs w:val="22"/>
          <w:lang w:val="nl-NL"/>
        </w:rPr>
      </w:pPr>
    </w:p>
    <w:p w14:paraId="020C8D3A" w14:textId="77777777" w:rsidR="0004649C" w:rsidRDefault="0004649C" w:rsidP="00540C0C">
      <w:pPr>
        <w:pStyle w:val="TBWA"/>
        <w:rPr>
          <w:color w:val="auto"/>
          <w:sz w:val="22"/>
          <w:lang w:val="nl-NL"/>
        </w:rPr>
      </w:pPr>
    </w:p>
    <w:p w14:paraId="33AC8E2E" w14:textId="77777777" w:rsidR="00FD6E60" w:rsidRDefault="00FD6E60" w:rsidP="00FD6E60">
      <w:pPr>
        <w:pStyle w:val="TBWA"/>
        <w:rPr>
          <w:color w:val="auto"/>
          <w:sz w:val="22"/>
          <w:lang w:val="nl-NL"/>
        </w:rPr>
      </w:pPr>
    </w:p>
    <w:p w14:paraId="1F709C6B" w14:textId="77777777" w:rsidR="00FD6E60" w:rsidRPr="00540C0C" w:rsidRDefault="00FD6E60" w:rsidP="00FD6E60">
      <w:pPr>
        <w:pStyle w:val="TBWA"/>
        <w:rPr>
          <w:color w:val="auto"/>
          <w:sz w:val="22"/>
          <w:lang w:val="nl-NL"/>
        </w:rPr>
      </w:pPr>
    </w:p>
    <w:sectPr w:rsidR="00FD6E60" w:rsidRPr="00540C0C" w:rsidSect="004C5B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40"/>
      <w:pgMar w:top="1701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A88DE" w14:textId="77777777" w:rsidR="002F1AB1" w:rsidRDefault="002F1AB1" w:rsidP="0061795A">
      <w:r>
        <w:separator/>
      </w:r>
    </w:p>
  </w:endnote>
  <w:endnote w:type="continuationSeparator" w:id="0">
    <w:p w14:paraId="2663B988" w14:textId="77777777" w:rsidR="002F1AB1" w:rsidRDefault="002F1AB1" w:rsidP="006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LightTBW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3CD7D" w14:textId="77777777" w:rsidR="002F1AB1" w:rsidRDefault="002F1AB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9F444" w14:textId="77777777" w:rsidR="002F1AB1" w:rsidRPr="004C5BFD" w:rsidRDefault="002F1AB1" w:rsidP="00496AA6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06ECA6AE" w14:textId="77777777" w:rsidR="002F1AB1" w:rsidRPr="004C5BFD" w:rsidRDefault="002F1AB1" w:rsidP="00666192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0656E" w14:textId="77777777" w:rsidR="002F1AB1" w:rsidRPr="004C5BFD" w:rsidRDefault="002F1AB1" w:rsidP="004C5BFD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52302E83" w14:textId="77777777" w:rsidR="002F1AB1" w:rsidRPr="004C5BFD" w:rsidRDefault="002F1AB1" w:rsidP="004C5BFD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D83F8" w14:textId="77777777" w:rsidR="002F1AB1" w:rsidRDefault="002F1AB1" w:rsidP="0061795A">
      <w:r>
        <w:separator/>
      </w:r>
    </w:p>
  </w:footnote>
  <w:footnote w:type="continuationSeparator" w:id="0">
    <w:p w14:paraId="42CF8B2F" w14:textId="77777777" w:rsidR="002F1AB1" w:rsidRDefault="002F1AB1" w:rsidP="006179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1467A" w14:textId="77777777" w:rsidR="002F1AB1" w:rsidRDefault="002F1AB1" w:rsidP="002958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C97E2D" w14:textId="77777777" w:rsidR="002F1AB1" w:rsidRDefault="002F1AB1" w:rsidP="002A77A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8BC4F" w14:textId="77777777" w:rsidR="002F1AB1" w:rsidRPr="001C6E34" w:rsidRDefault="002F1AB1" w:rsidP="00295847">
    <w:pPr>
      <w:pStyle w:val="Header"/>
      <w:framePr w:wrap="around" w:vAnchor="text" w:hAnchor="margin" w:xAlign="right" w:y="1"/>
      <w:rPr>
        <w:rStyle w:val="PageNumber"/>
        <w:rFonts w:ascii="Helvetica" w:hAnsi="Helvetica"/>
        <w:color w:val="717171"/>
        <w:sz w:val="20"/>
        <w:szCs w:val="20"/>
      </w:rPr>
    </w:pP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begin"/>
    </w:r>
    <w:r w:rsidRPr="001C6E34">
      <w:rPr>
        <w:rStyle w:val="PageNumber"/>
        <w:rFonts w:ascii="Helvetica" w:hAnsi="Helvetica"/>
        <w:color w:val="717171"/>
        <w:sz w:val="20"/>
        <w:szCs w:val="20"/>
      </w:rPr>
      <w:instrText xml:space="preserve">PAGE  </w:instrTex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separate"/>
    </w:r>
    <w:r w:rsidR="007479DE">
      <w:rPr>
        <w:rStyle w:val="PageNumber"/>
        <w:rFonts w:ascii="Helvetica" w:hAnsi="Helvetica"/>
        <w:noProof/>
        <w:color w:val="717171"/>
        <w:sz w:val="20"/>
        <w:szCs w:val="20"/>
      </w:rPr>
      <w:t>2</w: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end"/>
    </w:r>
  </w:p>
  <w:p w14:paraId="7BFCE3BC" w14:textId="77777777" w:rsidR="002F1AB1" w:rsidRPr="001C6E34" w:rsidRDefault="002F1AB1" w:rsidP="002A77AA">
    <w:pPr>
      <w:pStyle w:val="Header"/>
      <w:ind w:right="360" w:hanging="1260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59264" behindDoc="0" locked="1" layoutInCell="1" allowOverlap="1" wp14:anchorId="01629113" wp14:editId="3D6438A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9C87E" w14:textId="77777777" w:rsidR="002F1AB1" w:rsidRPr="004C5BFD" w:rsidRDefault="002F1AB1" w:rsidP="004C5BFD">
    <w:pPr>
      <w:pStyle w:val="Header"/>
      <w:ind w:right="-6" w:hanging="1134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1312" behindDoc="0" locked="1" layoutInCell="1" allowOverlap="1" wp14:anchorId="48DD5134" wp14:editId="6D811F9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167A"/>
    <w:multiLevelType w:val="hybridMultilevel"/>
    <w:tmpl w:val="061C9EBC"/>
    <w:lvl w:ilvl="0" w:tplc="A7BEC604">
      <w:numFmt w:val="bullet"/>
      <w:lvlText w:val=""/>
      <w:lvlJc w:val="left"/>
      <w:pPr>
        <w:ind w:left="720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163A3"/>
    <w:multiLevelType w:val="hybridMultilevel"/>
    <w:tmpl w:val="86B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51AFD"/>
    <w:multiLevelType w:val="hybridMultilevel"/>
    <w:tmpl w:val="2CF2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B0"/>
    <w:rsid w:val="0004649C"/>
    <w:rsid w:val="00061A67"/>
    <w:rsid w:val="000750B0"/>
    <w:rsid w:val="00115D3E"/>
    <w:rsid w:val="00121240"/>
    <w:rsid w:val="001C6E34"/>
    <w:rsid w:val="00204365"/>
    <w:rsid w:val="00215BCE"/>
    <w:rsid w:val="00264F56"/>
    <w:rsid w:val="00295847"/>
    <w:rsid w:val="002A77AA"/>
    <w:rsid w:val="002F1AB1"/>
    <w:rsid w:val="00332519"/>
    <w:rsid w:val="003F54D5"/>
    <w:rsid w:val="00427CB3"/>
    <w:rsid w:val="004774D4"/>
    <w:rsid w:val="0048020D"/>
    <w:rsid w:val="00496AA6"/>
    <w:rsid w:val="00496D01"/>
    <w:rsid w:val="004C5BFD"/>
    <w:rsid w:val="00540C0C"/>
    <w:rsid w:val="0057625F"/>
    <w:rsid w:val="005D12D3"/>
    <w:rsid w:val="00615045"/>
    <w:rsid w:val="0061795A"/>
    <w:rsid w:val="00666192"/>
    <w:rsid w:val="006E2266"/>
    <w:rsid w:val="00721D23"/>
    <w:rsid w:val="00740375"/>
    <w:rsid w:val="00744435"/>
    <w:rsid w:val="007479DE"/>
    <w:rsid w:val="007C632C"/>
    <w:rsid w:val="00890B9D"/>
    <w:rsid w:val="008A15AF"/>
    <w:rsid w:val="0098721E"/>
    <w:rsid w:val="009E67B5"/>
    <w:rsid w:val="009F000D"/>
    <w:rsid w:val="00A328D7"/>
    <w:rsid w:val="00A73A16"/>
    <w:rsid w:val="00A858C9"/>
    <w:rsid w:val="00B41AB1"/>
    <w:rsid w:val="00BB7BB0"/>
    <w:rsid w:val="00BD4684"/>
    <w:rsid w:val="00C66B16"/>
    <w:rsid w:val="00C677DB"/>
    <w:rsid w:val="00DA4928"/>
    <w:rsid w:val="00E35CD8"/>
    <w:rsid w:val="00F13790"/>
    <w:rsid w:val="00FC6443"/>
    <w:rsid w:val="00FD6E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CAA0D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character" w:styleId="Hyperlink">
    <w:name w:val="Hyperlink"/>
    <w:basedOn w:val="DefaultParagraphFont"/>
    <w:uiPriority w:val="99"/>
    <w:unhideWhenUsed/>
    <w:rsid w:val="000750B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750B0"/>
  </w:style>
  <w:style w:type="character" w:customStyle="1" w:styleId="textexposedshow">
    <w:name w:val="text_exposed_show"/>
    <w:basedOn w:val="DefaultParagraphFont"/>
    <w:rsid w:val="000750B0"/>
  </w:style>
  <w:style w:type="paragraph" w:customStyle="1" w:styleId="TBWANormal">
    <w:name w:val="TBWA Normal"/>
    <w:rsid w:val="0004649C"/>
    <w:rPr>
      <w:rFonts w:ascii="FuturaLightTBWA" w:eastAsia="Times New Roman" w:hAnsi="FuturaLightTBWA"/>
      <w:noProof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character" w:styleId="Hyperlink">
    <w:name w:val="Hyperlink"/>
    <w:basedOn w:val="DefaultParagraphFont"/>
    <w:uiPriority w:val="99"/>
    <w:unhideWhenUsed/>
    <w:rsid w:val="000750B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750B0"/>
  </w:style>
  <w:style w:type="character" w:customStyle="1" w:styleId="textexposedshow">
    <w:name w:val="text_exposed_show"/>
    <w:basedOn w:val="DefaultParagraphFont"/>
    <w:rsid w:val="000750B0"/>
  </w:style>
  <w:style w:type="paragraph" w:customStyle="1" w:styleId="TBWANormal">
    <w:name w:val="TBWA Normal"/>
    <w:rsid w:val="0004649C"/>
    <w:rPr>
      <w:rFonts w:ascii="FuturaLightTBWA" w:eastAsia="Times New Roman" w:hAnsi="FuturaLightTBWA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kbc.be/apporterunepierre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ystem%20HD:Applications:Microsoft%20Office%202011:Office:Media:Templates:TBWA:TBWA%20Blanc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30640E-57CE-2A4D-A144-A3DBA90B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TBWA Blanco.dotx</Template>
  <TotalTime>9</TotalTime>
  <Pages>2</Pages>
  <Words>248</Words>
  <Characters>1419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Links>
    <vt:vector size="6" baseType="variant">
      <vt:variant>
        <vt:i4>1900575</vt:i4>
      </vt:variant>
      <vt:variant>
        <vt:i4>5</vt:i4>
      </vt:variant>
      <vt:variant>
        <vt:i4>0</vt:i4>
      </vt:variant>
      <vt:variant>
        <vt:i4>5</vt:i4>
      </vt:variant>
      <vt:variant>
        <vt:lpwstr>http://www.tbwagroup.be/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Verdonck</dc:creator>
  <cp:keywords/>
  <dc:description/>
  <cp:lastModifiedBy>Valerie Vleminckx</cp:lastModifiedBy>
  <cp:revision>5</cp:revision>
  <cp:lastPrinted>2011-08-10T13:45:00Z</cp:lastPrinted>
  <dcterms:created xsi:type="dcterms:W3CDTF">2013-09-26T15:17:00Z</dcterms:created>
  <dcterms:modified xsi:type="dcterms:W3CDTF">2013-09-30T10:27:00Z</dcterms:modified>
</cp:coreProperties>
</file>