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2DE7" w:rsidRDefault="00000000">
      <w:pPr>
        <w:pStyle w:val="Heading2"/>
        <w:jc w:val="both"/>
      </w:pPr>
      <w:bookmarkStart w:id="0" w:name="_xwer3haergeo" w:colFirst="0" w:colLast="0"/>
      <w:bookmarkEnd w:id="0"/>
      <w:r>
        <w:rPr>
          <w:rFonts w:ascii="Arial" w:eastAsia="Arial" w:hAnsi="Arial" w:cs="Arial"/>
          <w:sz w:val="28"/>
          <w:szCs w:val="28"/>
        </w:rPr>
        <w:t>Yasmine Riechers menjadi CEO baru Georg Neumann GmbH</w:t>
      </w:r>
    </w:p>
    <w:p w:rsidR="00B02DE7" w:rsidRDefault="00B02DE7">
      <w:pPr>
        <w:rPr>
          <w:rFonts w:ascii="Arial" w:eastAsia="Arial" w:hAnsi="Arial" w:cs="Arial"/>
          <w:b/>
          <w:highlight w:val="yellow"/>
        </w:rPr>
      </w:pPr>
    </w:p>
    <w:p w:rsidR="00B02DE7" w:rsidRDefault="00000000">
      <w:pPr>
        <w:rPr>
          <w:rFonts w:ascii="Arial" w:eastAsia="Arial" w:hAnsi="Arial" w:cs="Arial"/>
          <w:b/>
        </w:rPr>
      </w:pPr>
      <w:r w:rsidRPr="00BD289B">
        <w:rPr>
          <w:rFonts w:ascii="Arial" w:eastAsia="Arial" w:hAnsi="Arial" w:cs="Arial"/>
          <w:b/>
        </w:rPr>
        <w:t xml:space="preserve">Jakarta, </w:t>
      </w:r>
      <w:r w:rsidR="00BD289B" w:rsidRPr="00BD289B">
        <w:rPr>
          <w:rFonts w:ascii="Arial" w:eastAsia="Arial" w:hAnsi="Arial" w:cs="Arial"/>
          <w:b/>
        </w:rPr>
        <w:t>1 April</w:t>
      </w:r>
      <w:r w:rsidRPr="00BD289B">
        <w:rPr>
          <w:rFonts w:ascii="Arial" w:eastAsia="Arial" w:hAnsi="Arial" w:cs="Arial"/>
          <w:b/>
        </w:rPr>
        <w:t xml:space="preserve"> </w:t>
      </w:r>
      <w:r w:rsidR="00CC4BA2">
        <w:rPr>
          <w:rFonts w:ascii="Arial" w:eastAsia="Arial" w:hAnsi="Arial" w:cs="Arial"/>
          <w:b/>
        </w:rPr>
        <w:t>2024</w:t>
      </w:r>
      <w:r>
        <w:rPr>
          <w:rFonts w:ascii="Arial" w:eastAsia="Arial" w:hAnsi="Arial" w:cs="Arial"/>
          <w:b/>
        </w:rPr>
        <w:t xml:space="preserve"> – Yasmine Riechers akan menjadi CEO baru Georg Neumann GmbH yang merupakan anak perusahaan Sennheiser Group. Yasmine dengan posisi barunya akan menggantikan Ralf Oehl, dengan tanggung jawab untuk memperluas bisnis global Georg Neumann serta mengembangkan arah strategi perusahaan. Sebelumnya, Yasmine Riechers adalah Head of Corporate Development Office di Sennheiser Group.  </w:t>
      </w:r>
    </w:p>
    <w:p w:rsidR="00B02DE7" w:rsidRDefault="00B02DE7">
      <w:pPr>
        <w:rPr>
          <w:rFonts w:ascii="Arial" w:eastAsia="Arial" w:hAnsi="Arial" w:cs="Arial"/>
          <w:highlight w:val="yellow"/>
        </w:rPr>
      </w:pPr>
    </w:p>
    <w:p w:rsidR="00B02DE7" w:rsidRDefault="00000000">
      <w:pPr>
        <w:rPr>
          <w:rFonts w:ascii="Arial" w:eastAsia="Arial" w:hAnsi="Arial" w:cs="Arial"/>
        </w:rPr>
      </w:pPr>
      <w:r>
        <w:rPr>
          <w:rFonts w:ascii="Arial" w:eastAsia="Arial" w:hAnsi="Arial" w:cs="Arial"/>
        </w:rPr>
        <w:t>“Kami sangat bahagia karena Yasmine akan segera mengambil alih manajemen Georg Neumann GmbH. Bersama dengan tim manajemen Neumann, Yasmine akan bertanggung jawab atas fokus dan arah strategi Neumann,” kata Andreas Sennheiser, Co-CEO Sennheiser. “Yasmine membawa kombinasi yang kuat antara pemikiran yang strategis dan pengalaman internasional yang dapat mendukung Neumann untuk terus tumbuh dan memperkuat jejak globalnya sebagai merek terkenal di dunia</w:t>
      </w:r>
      <w:r w:rsidR="0083584C">
        <w:rPr>
          <w:rFonts w:ascii="Arial" w:eastAsia="Arial" w:hAnsi="Arial" w:cs="Arial"/>
        </w:rPr>
        <w:t>,” tambah Daniel Sennheiser, Co-CEO Sennheiser.</w:t>
      </w:r>
    </w:p>
    <w:p w:rsidR="00B02DE7" w:rsidRDefault="00000000" w:rsidP="0083584C">
      <w:pPr>
        <w:pBdr>
          <w:top w:val="nil"/>
          <w:left w:val="nil"/>
          <w:bottom w:val="nil"/>
          <w:right w:val="nil"/>
          <w:between w:val="nil"/>
        </w:pBdr>
        <w:spacing w:before="280" w:after="280"/>
        <w:rPr>
          <w:rFonts w:ascii="Arial" w:eastAsia="Arial" w:hAnsi="Arial" w:cs="Arial"/>
        </w:rPr>
      </w:pPr>
      <w:r>
        <w:rPr>
          <w:rFonts w:ascii="Arial" w:eastAsia="Arial" w:hAnsi="Arial" w:cs="Arial"/>
        </w:rPr>
        <w:t xml:space="preserve">Yasmine Riechers akan segera menjalankan peran barunya dan belum lama ini, sebagai bagian dari Extended Executive Management Board di Sennheiser Group, ia memimpin Corporate Development Office. Sebelumnya, ia bekerja di Sennheiser Greater China sebagai Director of Operations dan kemudian menjadi Country Manager. Yasmine memulai karirnya </w:t>
      </w:r>
      <w:r w:rsidR="0083584C">
        <w:rPr>
          <w:rFonts w:ascii="Arial" w:eastAsia="Arial" w:hAnsi="Arial" w:cs="Arial"/>
        </w:rPr>
        <w:t>di</w:t>
      </w:r>
      <w:r>
        <w:rPr>
          <w:rFonts w:ascii="Arial" w:eastAsia="Arial" w:hAnsi="Arial" w:cs="Arial"/>
        </w:rPr>
        <w:t xml:space="preserve"> Human Resources di Sennheiser pada tahun 2008 sebelum bergabung dengan Vier S Beteiligungsgesellschaft sebagai Project Manager, kemudian pindah ke BR Science and Technology sebagai General Manager dan Siemens Transformer sebagai General Manager Traction Transformer Division di China. Yasmine Riechers kembali ke Sennheiser Group pada tahun 2015. Ia menjalani studi ekonomi di University of Paderborn dan menghabiskan satu semester di luar negeri, yakni di Nottingham Trent University selama masa studinya. Yasmine kemudian melanjutkan studinya di University of Birmingham dan berhasil menyelesaikannya pada tahun 2011 dengan gelar master di bidang bisnis internasional. </w:t>
      </w:r>
    </w:p>
    <w:p w:rsidR="00B02DE7" w:rsidRDefault="00000000">
      <w:pPr>
        <w:rPr>
          <w:rFonts w:ascii="Arial" w:eastAsia="Arial" w:hAnsi="Arial" w:cs="Arial"/>
        </w:rPr>
      </w:pPr>
      <w:r>
        <w:rPr>
          <w:rFonts w:ascii="Arial" w:eastAsia="Arial" w:hAnsi="Arial" w:cs="Arial"/>
        </w:rPr>
        <w:t xml:space="preserve">"Neumann memiliki reputasi yang sangat baik di industri audio profesional. Saya bangga </w:t>
      </w:r>
      <w:r w:rsidR="0083584C">
        <w:rPr>
          <w:rFonts w:ascii="Arial" w:eastAsia="Arial" w:hAnsi="Arial" w:cs="Arial"/>
        </w:rPr>
        <w:t xml:space="preserve">dapat </w:t>
      </w:r>
      <w:r>
        <w:rPr>
          <w:rFonts w:ascii="Arial" w:eastAsia="Arial" w:hAnsi="Arial" w:cs="Arial"/>
        </w:rPr>
        <w:t xml:space="preserve">memimpin sebuah perusahaan dengan sejarah yang begitu mengesankan menuju masa depan," tegas Yasmine Riechers. "Saya sangat menantikan peran baru saya - terutama untuk bekerja dengan seluruh tim Neumann dan pelanggan kami di seluruh dunia." </w:t>
      </w:r>
      <w:r w:rsidR="0083584C">
        <w:rPr>
          <w:rFonts w:ascii="Arial" w:eastAsia="Arial" w:hAnsi="Arial" w:cs="Arial"/>
        </w:rPr>
        <w:t>Ia</w:t>
      </w:r>
      <w:r>
        <w:rPr>
          <w:rFonts w:ascii="Arial" w:eastAsia="Arial" w:hAnsi="Arial" w:cs="Arial"/>
        </w:rPr>
        <w:t xml:space="preserve"> telah berpartisipasi dalam mengembangkan arah strategis Neumann lebih lanjut bersama pendahulunya Ralf Oehl; secara khusus, keduanya bersama-sama mendorong integrasi Merging Technologies. "Mengembangkan Neumann menjadi penyedia terkemuka di seluruh rantai nilai audio adalah tugas yang menarik bagi saya," kata Ralf Oehl. "Dukungan dari keluarga Sennheiser, dedikasi karyawan kami, dan komunitas legendaris Neumann, telah membawa kesuksesan besar pada perusahaan dan banyak momen spesial bagi saya selama </w:t>
      </w:r>
      <w:r>
        <w:rPr>
          <w:rFonts w:ascii="Arial" w:eastAsia="Arial" w:hAnsi="Arial" w:cs="Arial"/>
        </w:rPr>
        <w:lastRenderedPageBreak/>
        <w:t>empat tahun terakhir. Saya sangat berterima kasih kepada semua pihak yang terlibat dan Neumann akan selalu dekat di hati saya. Saat ini, saya menantikan Yasmine untuk mengambil alih dan melanjutkan ini."</w:t>
      </w:r>
    </w:p>
    <w:p w:rsidR="0083584C" w:rsidRDefault="0083584C">
      <w:pPr>
        <w:rPr>
          <w:rFonts w:ascii="Arial" w:eastAsia="Arial" w:hAnsi="Arial" w:cs="Arial"/>
        </w:rPr>
      </w:pPr>
    </w:p>
    <w:p w:rsidR="00B02DE7" w:rsidRDefault="00000000">
      <w:pPr>
        <w:rPr>
          <w:rFonts w:ascii="Arial" w:eastAsia="Arial" w:hAnsi="Arial" w:cs="Arial"/>
        </w:rPr>
      </w:pPr>
      <w:r>
        <w:rPr>
          <w:rFonts w:ascii="Arial" w:eastAsia="Arial" w:hAnsi="Arial" w:cs="Arial"/>
        </w:rPr>
        <w:t xml:space="preserve">Nama Neumann diasosiasikan dengan lebih dari 90 tahun kesuksesan: perusahaan yang berbasis di Berlin dan merupakan bagian dari Sennheiser Group ini dianggap sebagai produsen mikrofon studio terkemuka. Selain banyak </w:t>
      </w:r>
      <w:r>
        <w:rPr>
          <w:rFonts w:ascii="Arial" w:eastAsia="Arial" w:hAnsi="Arial" w:cs="Arial"/>
          <w:i/>
        </w:rPr>
        <w:t xml:space="preserve">sound engineer </w:t>
      </w:r>
      <w:r>
        <w:rPr>
          <w:rFonts w:ascii="Arial" w:eastAsia="Arial" w:hAnsi="Arial" w:cs="Arial"/>
        </w:rPr>
        <w:t xml:space="preserve">yang telah menggunakan mikrofon Neumann dalam produksi studio mereka, produk-produknya juga digunakan oleh musisi terkenal di seluruh dunia. Pada tahun 2010, Neumann meluncurkan monitor studio pertamanya dan pada tahun 2019 perusahaan memperluas jangkauannya untuk mencakup </w:t>
      </w:r>
      <w:r>
        <w:rPr>
          <w:rFonts w:ascii="Arial" w:eastAsia="Arial" w:hAnsi="Arial" w:cs="Arial"/>
          <w:i/>
        </w:rPr>
        <w:t>headphone</w:t>
      </w:r>
      <w:r>
        <w:rPr>
          <w:rFonts w:ascii="Arial" w:eastAsia="Arial" w:hAnsi="Arial" w:cs="Arial"/>
        </w:rPr>
        <w:t xml:space="preserve"> studio. Sejak tahun 2023, Neumann juga telah mengembangkan </w:t>
      </w:r>
      <w:r>
        <w:rPr>
          <w:rFonts w:ascii="Arial" w:eastAsia="Arial" w:hAnsi="Arial" w:cs="Arial"/>
          <w:i/>
        </w:rPr>
        <w:t>audio interface</w:t>
      </w:r>
      <w:r>
        <w:rPr>
          <w:rFonts w:ascii="Arial" w:eastAsia="Arial" w:hAnsi="Arial" w:cs="Arial"/>
        </w:rPr>
        <w:t xml:space="preserve"> bersama anak perusahaan Sennheiser, Merging Technologies untuk mendukung kualitas referensi </w:t>
      </w:r>
      <w:r>
        <w:rPr>
          <w:rFonts w:ascii="Arial" w:eastAsia="Arial" w:hAnsi="Arial" w:cs="Arial"/>
          <w:i/>
        </w:rPr>
        <w:t xml:space="preserve">workflow </w:t>
      </w:r>
      <w:r>
        <w:rPr>
          <w:rFonts w:ascii="Arial" w:eastAsia="Arial" w:hAnsi="Arial" w:cs="Arial"/>
        </w:rPr>
        <w:t>perekaman. Kantor pusat perusahaan dengan departemen pengembangan, pemasaran, penjualan, dan layanan masih berlokasi di Berlin.</w:t>
      </w:r>
    </w:p>
    <w:p w:rsidR="00B02DE7" w:rsidRDefault="00B02DE7">
      <w:pPr>
        <w:tabs>
          <w:tab w:val="left" w:pos="4111"/>
        </w:tabs>
        <w:rPr>
          <w:rFonts w:ascii="Arial" w:eastAsia="Arial" w:hAnsi="Arial" w:cs="Arial"/>
          <w:sz w:val="15"/>
          <w:szCs w:val="15"/>
        </w:rPr>
      </w:pPr>
    </w:p>
    <w:p w:rsidR="00B02DE7" w:rsidRDefault="00000000">
      <w:pPr>
        <w:tabs>
          <w:tab w:val="left" w:pos="4111"/>
        </w:tabs>
        <w:spacing w:after="120" w:line="226" w:lineRule="auto"/>
        <w:rPr>
          <w:rFonts w:ascii="Arial" w:eastAsia="Arial" w:hAnsi="Arial" w:cs="Arial"/>
          <w:b/>
          <w:sz w:val="16"/>
          <w:szCs w:val="16"/>
          <w:highlight w:val="white"/>
        </w:rPr>
      </w:pPr>
      <w:r>
        <w:rPr>
          <w:rFonts w:ascii="Arial" w:eastAsia="Arial" w:hAnsi="Arial" w:cs="Arial"/>
          <w:b/>
          <w:sz w:val="16"/>
          <w:szCs w:val="16"/>
          <w:highlight w:val="white"/>
        </w:rPr>
        <w:t>Tentang Neumann</w:t>
      </w:r>
    </w:p>
    <w:p w:rsidR="00B02DE7" w:rsidRDefault="00000000">
      <w:pPr>
        <w:tabs>
          <w:tab w:val="left" w:pos="4111"/>
        </w:tabs>
        <w:spacing w:after="120" w:line="226" w:lineRule="auto"/>
        <w:rPr>
          <w:rFonts w:ascii="Arial" w:eastAsia="Arial" w:hAnsi="Arial" w:cs="Arial"/>
          <w:color w:val="1155CC"/>
          <w:sz w:val="16"/>
          <w:szCs w:val="16"/>
          <w:highlight w:val="white"/>
          <w:u w:val="single"/>
        </w:rPr>
      </w:pPr>
      <w:r>
        <w:rPr>
          <w:rFonts w:ascii="Arial" w:eastAsia="Arial" w:hAnsi="Arial" w:cs="Arial"/>
          <w:sz w:val="16"/>
          <w:szCs w:val="16"/>
          <w:highlight w:val="white"/>
        </w:rPr>
        <w:t>Georg Neumann GmbH, yang dikenal sebagai "Neumann.Berlin", adalah salah satu produsen peralatan audio kelas studio terkemuka di dunia dan pencipta mikrofon perekaman legendaris seperti U 47, M 49, U 67, dan U 87. Didirikan pada tahun 1928, perusahaan ini telah diakui dengan berbagai penghargaan internasional atas inovasi teknologinya. Sejak tahun 2010, Neumann.Berlin telah memperluas keahliannya dalam desain transduser elektro-akustik untuk juga mencakup pasar monitor studio, terutama mengincar penyiaran TV dan radio, perekaman, dan produksi audio. Headphone studio Neumann pertama kali diperkenalkan pada tahun 2019, dan sejak tahun 2022, perusahaan telah meningkatkan fokusnya pada solusi referensi untuk audio live. Dengan pengenalan antarmuka audio pertama MT 48, dan teknologi konverter revolusionernya, Neumann kini menawarkan semua teknologi yang diperlukan untuk menangkap dan mengirim suara pada tingkat tertinggi. Georg Neumann GmbH telah menjadi bagian dari Grup Sennheiser sejak tahun 1991 dan diwakili di seluruh dunia oleh jaringan anak perusahaan dan mitra dagang jangka panjang Sennheiser.</w:t>
      </w:r>
      <w:hyperlink r:id="rId6">
        <w:r>
          <w:rPr>
            <w:rFonts w:ascii="Arial" w:eastAsia="Arial" w:hAnsi="Arial" w:cs="Arial"/>
            <w:sz w:val="16"/>
            <w:szCs w:val="16"/>
            <w:highlight w:val="white"/>
          </w:rPr>
          <w:t xml:space="preserve"> </w:t>
        </w:r>
      </w:hyperlink>
      <w:hyperlink r:id="rId7">
        <w:r>
          <w:rPr>
            <w:rFonts w:ascii="Arial" w:eastAsia="Arial" w:hAnsi="Arial" w:cs="Arial"/>
            <w:color w:val="1155CC"/>
            <w:sz w:val="16"/>
            <w:szCs w:val="16"/>
            <w:highlight w:val="white"/>
            <w:u w:val="single"/>
          </w:rPr>
          <w:t>www.neumann.com</w:t>
        </w:r>
      </w:hyperlink>
    </w:p>
    <w:p w:rsidR="00B02DE7" w:rsidRDefault="00000000">
      <w:pPr>
        <w:tabs>
          <w:tab w:val="left" w:pos="4111"/>
        </w:tabs>
        <w:spacing w:after="120" w:line="226" w:lineRule="auto"/>
        <w:rPr>
          <w:rFonts w:ascii="Arial" w:eastAsia="Arial" w:hAnsi="Arial" w:cs="Arial"/>
          <w:sz w:val="16"/>
          <w:szCs w:val="16"/>
          <w:highlight w:val="white"/>
        </w:rPr>
      </w:pPr>
      <w:r>
        <w:rPr>
          <w:rFonts w:ascii="Arial" w:eastAsia="Arial" w:hAnsi="Arial" w:cs="Arial"/>
          <w:sz w:val="16"/>
          <w:szCs w:val="16"/>
          <w:highlight w:val="white"/>
        </w:rPr>
        <w:t xml:space="preserve"> </w:t>
      </w:r>
    </w:p>
    <w:p w:rsidR="00B02DE7" w:rsidRDefault="00000000">
      <w:pPr>
        <w:tabs>
          <w:tab w:val="left" w:pos="4111"/>
        </w:tabs>
        <w:spacing w:line="296" w:lineRule="auto"/>
        <w:ind w:right="-280"/>
        <w:rPr>
          <w:rFonts w:ascii="Arial" w:eastAsia="Arial" w:hAnsi="Arial" w:cs="Arial"/>
          <w:b/>
          <w:sz w:val="15"/>
          <w:szCs w:val="15"/>
          <w:highlight w:val="white"/>
        </w:rPr>
      </w:pPr>
      <w:r>
        <w:rPr>
          <w:rFonts w:ascii="Arial" w:eastAsia="Arial" w:hAnsi="Arial" w:cs="Arial"/>
          <w:b/>
          <w:sz w:val="15"/>
          <w:szCs w:val="15"/>
          <w:highlight w:val="white"/>
        </w:rPr>
        <w:t>Kontak Media untuk Communications Manager | Sennheiser APAC</w:t>
      </w:r>
    </w:p>
    <w:p w:rsidR="00B02DE7" w:rsidRDefault="00000000">
      <w:pPr>
        <w:tabs>
          <w:tab w:val="left" w:pos="4111"/>
        </w:tabs>
        <w:spacing w:line="296" w:lineRule="auto"/>
        <w:ind w:right="-280"/>
        <w:rPr>
          <w:rFonts w:ascii="Arial" w:eastAsia="Arial" w:hAnsi="Arial" w:cs="Arial"/>
          <w:sz w:val="15"/>
          <w:szCs w:val="15"/>
          <w:highlight w:val="white"/>
        </w:rPr>
      </w:pPr>
      <w:r>
        <w:rPr>
          <w:rFonts w:ascii="Arial" w:eastAsia="Arial" w:hAnsi="Arial" w:cs="Arial"/>
          <w:sz w:val="15"/>
          <w:szCs w:val="15"/>
          <w:highlight w:val="white"/>
        </w:rPr>
        <w:t>Phang Su Hui</w:t>
      </w:r>
    </w:p>
    <w:p w:rsidR="00B02DE7" w:rsidRDefault="00000000">
      <w:pPr>
        <w:tabs>
          <w:tab w:val="left" w:pos="4111"/>
        </w:tabs>
        <w:spacing w:line="296" w:lineRule="auto"/>
        <w:ind w:right="-280"/>
        <w:rPr>
          <w:rFonts w:ascii="Arial" w:eastAsia="Arial" w:hAnsi="Arial" w:cs="Arial"/>
          <w:sz w:val="15"/>
          <w:szCs w:val="15"/>
          <w:highlight w:val="white"/>
        </w:rPr>
      </w:pPr>
      <w:r>
        <w:rPr>
          <w:rFonts w:ascii="Arial" w:eastAsia="Arial" w:hAnsi="Arial" w:cs="Arial"/>
          <w:sz w:val="15"/>
          <w:szCs w:val="15"/>
          <w:highlight w:val="white"/>
        </w:rPr>
        <w:t>Suhui.phang@sennheiser.com</w:t>
      </w:r>
    </w:p>
    <w:p w:rsidR="00B02DE7" w:rsidRDefault="00000000">
      <w:pPr>
        <w:tabs>
          <w:tab w:val="left" w:pos="4111"/>
        </w:tabs>
        <w:spacing w:line="296" w:lineRule="auto"/>
        <w:ind w:right="-280"/>
        <w:rPr>
          <w:rFonts w:ascii="Arial" w:eastAsia="Arial" w:hAnsi="Arial" w:cs="Arial"/>
          <w:sz w:val="15"/>
          <w:szCs w:val="15"/>
          <w:highlight w:val="white"/>
        </w:rPr>
      </w:pPr>
      <w:r>
        <w:rPr>
          <w:rFonts w:ascii="Arial" w:eastAsia="Arial" w:hAnsi="Arial" w:cs="Arial"/>
          <w:sz w:val="15"/>
          <w:szCs w:val="15"/>
          <w:highlight w:val="white"/>
        </w:rPr>
        <w:t>T +65 91595024</w:t>
      </w:r>
    </w:p>
    <w:p w:rsidR="00B02DE7" w:rsidRDefault="00000000">
      <w:pPr>
        <w:tabs>
          <w:tab w:val="left" w:pos="4111"/>
        </w:tabs>
        <w:spacing w:line="296" w:lineRule="auto"/>
        <w:ind w:right="-280"/>
        <w:rPr>
          <w:rFonts w:ascii="Arial" w:eastAsia="Arial" w:hAnsi="Arial" w:cs="Arial"/>
          <w:sz w:val="15"/>
          <w:szCs w:val="15"/>
          <w:highlight w:val="white"/>
        </w:rPr>
      </w:pPr>
      <w:r>
        <w:rPr>
          <w:rFonts w:ascii="Arial" w:eastAsia="Arial" w:hAnsi="Arial" w:cs="Arial"/>
          <w:sz w:val="15"/>
          <w:szCs w:val="15"/>
          <w:highlight w:val="white"/>
        </w:rPr>
        <w:t xml:space="preserve"> </w:t>
      </w:r>
    </w:p>
    <w:p w:rsidR="00B02DE7" w:rsidRDefault="00000000">
      <w:pPr>
        <w:tabs>
          <w:tab w:val="left" w:pos="4111"/>
        </w:tabs>
        <w:spacing w:line="296" w:lineRule="auto"/>
        <w:ind w:right="-280"/>
        <w:rPr>
          <w:rFonts w:ascii="Arial" w:eastAsia="Arial" w:hAnsi="Arial" w:cs="Arial"/>
          <w:b/>
          <w:sz w:val="15"/>
          <w:szCs w:val="15"/>
          <w:highlight w:val="white"/>
        </w:rPr>
      </w:pPr>
      <w:r>
        <w:rPr>
          <w:rFonts w:ascii="Arial" w:eastAsia="Arial" w:hAnsi="Arial" w:cs="Arial"/>
          <w:b/>
          <w:sz w:val="15"/>
          <w:szCs w:val="15"/>
          <w:highlight w:val="white"/>
        </w:rPr>
        <w:t>Kontak Media untuk IND PR Agency | Occam</w:t>
      </w:r>
    </w:p>
    <w:p w:rsidR="00B02DE7" w:rsidRDefault="00000000">
      <w:pPr>
        <w:tabs>
          <w:tab w:val="left" w:pos="4111"/>
        </w:tabs>
        <w:spacing w:line="296" w:lineRule="auto"/>
        <w:ind w:right="-280"/>
        <w:rPr>
          <w:rFonts w:ascii="Arial" w:eastAsia="Arial" w:hAnsi="Arial" w:cs="Arial"/>
          <w:sz w:val="15"/>
          <w:szCs w:val="15"/>
          <w:highlight w:val="white"/>
        </w:rPr>
      </w:pPr>
      <w:r>
        <w:rPr>
          <w:rFonts w:ascii="Arial" w:eastAsia="Arial" w:hAnsi="Arial" w:cs="Arial"/>
          <w:sz w:val="15"/>
          <w:szCs w:val="15"/>
          <w:highlight w:val="white"/>
        </w:rPr>
        <w:t>Septa Perdana</w:t>
      </w:r>
    </w:p>
    <w:p w:rsidR="00B02DE7" w:rsidRDefault="00000000">
      <w:pPr>
        <w:tabs>
          <w:tab w:val="left" w:pos="4111"/>
        </w:tabs>
        <w:spacing w:line="296" w:lineRule="auto"/>
        <w:ind w:right="-280"/>
        <w:rPr>
          <w:rFonts w:ascii="Arial" w:eastAsia="Arial" w:hAnsi="Arial" w:cs="Arial"/>
          <w:sz w:val="15"/>
          <w:szCs w:val="15"/>
          <w:highlight w:val="white"/>
        </w:rPr>
      </w:pPr>
      <w:r>
        <w:rPr>
          <w:rFonts w:ascii="Arial" w:eastAsia="Arial" w:hAnsi="Arial" w:cs="Arial"/>
          <w:sz w:val="15"/>
          <w:szCs w:val="15"/>
          <w:highlight w:val="white"/>
        </w:rPr>
        <w:t>Septa@occam.co.id</w:t>
      </w:r>
    </w:p>
    <w:p w:rsidR="00B02DE7" w:rsidRDefault="00000000">
      <w:pPr>
        <w:tabs>
          <w:tab w:val="left" w:pos="4111"/>
        </w:tabs>
        <w:spacing w:line="296" w:lineRule="auto"/>
        <w:ind w:right="-280"/>
        <w:rPr>
          <w:rFonts w:ascii="Arial" w:eastAsia="Arial" w:hAnsi="Arial" w:cs="Arial"/>
          <w:sz w:val="15"/>
          <w:szCs w:val="15"/>
          <w:highlight w:val="white"/>
        </w:rPr>
      </w:pPr>
      <w:r>
        <w:rPr>
          <w:rFonts w:ascii="Arial" w:eastAsia="Arial" w:hAnsi="Arial" w:cs="Arial"/>
          <w:sz w:val="15"/>
          <w:szCs w:val="15"/>
          <w:highlight w:val="white"/>
        </w:rPr>
        <w:t>T +62 82111509853</w:t>
      </w:r>
    </w:p>
    <w:p w:rsidR="00B02DE7" w:rsidRDefault="00B02DE7">
      <w:pPr>
        <w:pBdr>
          <w:top w:val="nil"/>
          <w:left w:val="nil"/>
          <w:bottom w:val="nil"/>
          <w:right w:val="nil"/>
          <w:between w:val="nil"/>
        </w:pBdr>
        <w:tabs>
          <w:tab w:val="left" w:pos="4111"/>
        </w:tabs>
        <w:rPr>
          <w:rFonts w:ascii="Arial" w:eastAsia="Arial" w:hAnsi="Arial" w:cs="Arial"/>
          <w:sz w:val="15"/>
          <w:szCs w:val="15"/>
        </w:rPr>
      </w:pPr>
    </w:p>
    <w:sectPr w:rsidR="00B02DE7">
      <w:headerReference w:type="even" r:id="rId8"/>
      <w:headerReference w:type="default" r:id="rId9"/>
      <w:footerReference w:type="even" r:id="rId10"/>
      <w:footerReference w:type="default" r:id="rId11"/>
      <w:headerReference w:type="first" r:id="rId12"/>
      <w:footerReference w:type="first" r:id="rId13"/>
      <w:pgSz w:w="11906" w:h="16838"/>
      <w:pgMar w:top="2754" w:right="1983" w:bottom="793" w:left="1418" w:header="629" w:footer="48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62A0" w:rsidRDefault="004A62A0">
      <w:pPr>
        <w:spacing w:line="240" w:lineRule="auto"/>
      </w:pPr>
      <w:r>
        <w:separator/>
      </w:r>
    </w:p>
  </w:endnote>
  <w:endnote w:type="continuationSeparator" w:id="0">
    <w:p w:rsidR="004A62A0" w:rsidRDefault="004A62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n">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UnitPro">
    <w:altName w:val="Times New Roman"/>
    <w:panose1 w:val="020B0604020202020204"/>
    <w:charset w:val="00"/>
    <w:family w:val="swiss"/>
    <w:notTrueType/>
    <w:pitch w:val="variable"/>
    <w:sig w:usb0="A00002FF" w:usb1="5000207B" w:usb2="00000008"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2DE7" w:rsidRDefault="00B02DE7">
    <w:pPr>
      <w:pBdr>
        <w:top w:val="nil"/>
        <w:left w:val="nil"/>
        <w:bottom w:val="nil"/>
        <w:right w:val="nil"/>
        <w:between w:val="nil"/>
      </w:pBdr>
      <w:rPr>
        <w:color w:val="000000"/>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2DE7" w:rsidRDefault="00B02DE7">
    <w:pPr>
      <w:pBdr>
        <w:top w:val="nil"/>
        <w:left w:val="nil"/>
        <w:bottom w:val="nil"/>
        <w:right w:val="nil"/>
        <w:between w:val="nil"/>
      </w:pBdr>
      <w:rPr>
        <w:color w:val="000000"/>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2DE7" w:rsidRDefault="00B02DE7">
    <w:pPr>
      <w:pBdr>
        <w:top w:val="nil"/>
        <w:left w:val="nil"/>
        <w:bottom w:val="nil"/>
        <w:right w:val="nil"/>
        <w:between w:val="nil"/>
      </w:pBdr>
      <w:rPr>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62A0" w:rsidRDefault="004A62A0">
      <w:pPr>
        <w:spacing w:line="240" w:lineRule="auto"/>
      </w:pPr>
      <w:r>
        <w:separator/>
      </w:r>
    </w:p>
  </w:footnote>
  <w:footnote w:type="continuationSeparator" w:id="0">
    <w:p w:rsidR="004A62A0" w:rsidRDefault="004A62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2DE7" w:rsidRDefault="00B02DE7">
    <w:pPr>
      <w:pBdr>
        <w:top w:val="nil"/>
        <w:left w:val="nil"/>
        <w:bottom w:val="nil"/>
        <w:right w:val="nil"/>
        <w:between w:val="nil"/>
      </w:pBdr>
      <w:ind w:right="-1737"/>
      <w:jc w:val="right"/>
      <w:rPr>
        <w:smallCaps/>
        <w:color w:val="000000"/>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2DE7" w:rsidRDefault="00000000">
    <w:pPr>
      <w:pBdr>
        <w:top w:val="nil"/>
        <w:left w:val="nil"/>
        <w:bottom w:val="nil"/>
        <w:right w:val="nil"/>
        <w:between w:val="nil"/>
      </w:pBdr>
      <w:ind w:right="-1737"/>
      <w:jc w:val="right"/>
      <w:rPr>
        <w:rFonts w:ascii="Arial" w:eastAsia="Arial" w:hAnsi="Arial" w:cs="Arial"/>
        <w:smallCaps/>
        <w:color w:val="000000"/>
        <w:sz w:val="15"/>
        <w:szCs w:val="15"/>
      </w:rPr>
    </w:pPr>
    <w:r>
      <w:rPr>
        <w:rFonts w:ascii="Arial" w:eastAsia="Arial" w:hAnsi="Arial" w:cs="Arial"/>
        <w:noProof/>
        <w:color w:val="414141"/>
        <w:sz w:val="15"/>
        <w:szCs w:val="15"/>
      </w:rPr>
      <w:drawing>
        <wp:anchor distT="0" distB="0" distL="114300" distR="114300" simplePos="0" relativeHeight="251658240" behindDoc="0" locked="0" layoutInCell="1" hidden="0" allowOverlap="1">
          <wp:simplePos x="0" y="0"/>
          <wp:positionH relativeFrom="page">
            <wp:posOffset>900430</wp:posOffset>
          </wp:positionH>
          <wp:positionV relativeFrom="page">
            <wp:posOffset>398780</wp:posOffset>
          </wp:positionV>
          <wp:extent cx="3153600" cy="6948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53600" cy="694800"/>
                  </a:xfrm>
                  <a:prstGeom prst="rect">
                    <a:avLst/>
                  </a:prstGeom>
                  <a:ln/>
                </pic:spPr>
              </pic:pic>
            </a:graphicData>
          </a:graphic>
        </wp:anchor>
      </w:drawing>
    </w:r>
    <w:r>
      <w:rPr>
        <w:rFonts w:ascii="Arial" w:eastAsia="Arial" w:hAnsi="Arial" w:cs="Arial"/>
        <w:smallCaps/>
        <w:color w:val="000000"/>
        <w:sz w:val="15"/>
        <w:szCs w:val="15"/>
      </w:rPr>
      <w:fldChar w:fldCharType="begin"/>
    </w:r>
    <w:r>
      <w:rPr>
        <w:rFonts w:ascii="Arial" w:eastAsia="Arial" w:hAnsi="Arial" w:cs="Arial"/>
        <w:smallCaps/>
        <w:color w:val="000000"/>
        <w:sz w:val="15"/>
        <w:szCs w:val="15"/>
      </w:rPr>
      <w:instrText>PAGE</w:instrText>
    </w:r>
    <w:r>
      <w:rPr>
        <w:rFonts w:ascii="Arial" w:eastAsia="Arial" w:hAnsi="Arial" w:cs="Arial"/>
        <w:smallCaps/>
        <w:color w:val="000000"/>
        <w:sz w:val="15"/>
        <w:szCs w:val="15"/>
      </w:rPr>
      <w:fldChar w:fldCharType="separate"/>
    </w:r>
    <w:r w:rsidR="0083584C">
      <w:rPr>
        <w:rFonts w:ascii="Arial" w:eastAsia="Arial" w:hAnsi="Arial" w:cs="Arial"/>
        <w:smallCaps/>
        <w:noProof/>
        <w:color w:val="000000"/>
        <w:sz w:val="15"/>
        <w:szCs w:val="15"/>
      </w:rPr>
      <w:t>2</w:t>
    </w:r>
    <w:r>
      <w:rPr>
        <w:rFonts w:ascii="Arial" w:eastAsia="Arial" w:hAnsi="Arial" w:cs="Arial"/>
        <w:smallCaps/>
        <w:color w:val="000000"/>
        <w:sz w:val="15"/>
        <w:szCs w:val="15"/>
      </w:rPr>
      <w:fldChar w:fldCharType="end"/>
    </w:r>
    <w:r>
      <w:rPr>
        <w:rFonts w:ascii="Arial" w:eastAsia="Arial" w:hAnsi="Arial" w:cs="Arial"/>
        <w:smallCaps/>
        <w:color w:val="000000"/>
        <w:sz w:val="15"/>
        <w:szCs w:val="15"/>
      </w:rPr>
      <w:t>/</w:t>
    </w:r>
    <w:r>
      <w:rPr>
        <w:rFonts w:ascii="Arial" w:eastAsia="Arial" w:hAnsi="Arial" w:cs="Arial"/>
        <w:smallCaps/>
        <w:color w:val="000000"/>
        <w:sz w:val="15"/>
        <w:szCs w:val="15"/>
      </w:rPr>
      <w:fldChar w:fldCharType="begin"/>
    </w:r>
    <w:r>
      <w:rPr>
        <w:rFonts w:ascii="Arial" w:eastAsia="Arial" w:hAnsi="Arial" w:cs="Arial"/>
        <w:smallCaps/>
        <w:color w:val="000000"/>
        <w:sz w:val="15"/>
        <w:szCs w:val="15"/>
      </w:rPr>
      <w:instrText>NUMPAGES</w:instrText>
    </w:r>
    <w:r>
      <w:rPr>
        <w:rFonts w:ascii="Arial" w:eastAsia="Arial" w:hAnsi="Arial" w:cs="Arial"/>
        <w:smallCaps/>
        <w:color w:val="000000"/>
        <w:sz w:val="15"/>
        <w:szCs w:val="15"/>
      </w:rPr>
      <w:fldChar w:fldCharType="separate"/>
    </w:r>
    <w:r w:rsidR="0083584C">
      <w:rPr>
        <w:rFonts w:ascii="Arial" w:eastAsia="Arial" w:hAnsi="Arial" w:cs="Arial"/>
        <w:smallCaps/>
        <w:noProof/>
        <w:color w:val="000000"/>
        <w:sz w:val="15"/>
        <w:szCs w:val="15"/>
      </w:rPr>
      <w:t>3</w:t>
    </w:r>
    <w:r>
      <w:rPr>
        <w:rFonts w:ascii="Arial" w:eastAsia="Arial" w:hAnsi="Arial" w:cs="Arial"/>
        <w:smallCaps/>
        <w:color w:val="000000"/>
        <w:sz w:val="15"/>
        <w:szCs w:val="15"/>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2DE7" w:rsidRDefault="00000000">
    <w:pPr>
      <w:pBdr>
        <w:top w:val="nil"/>
        <w:left w:val="nil"/>
        <w:bottom w:val="nil"/>
        <w:right w:val="nil"/>
        <w:between w:val="nil"/>
      </w:pBdr>
      <w:ind w:right="-1737"/>
      <w:jc w:val="right"/>
      <w:rPr>
        <w:rFonts w:ascii="Arial" w:eastAsia="Arial" w:hAnsi="Arial" w:cs="Arial"/>
        <w:smallCaps/>
        <w:color w:val="414141"/>
        <w:sz w:val="15"/>
        <w:szCs w:val="15"/>
      </w:rPr>
    </w:pPr>
    <w:r>
      <w:rPr>
        <w:rFonts w:ascii="Arial" w:eastAsia="Arial" w:hAnsi="Arial" w:cs="Arial"/>
        <w:smallCaps/>
        <w:color w:val="414141"/>
        <w:sz w:val="15"/>
        <w:szCs w:val="15"/>
      </w:rPr>
      <w:t>PR</w:t>
    </w:r>
    <w:r>
      <w:rPr>
        <w:rFonts w:ascii="Arial" w:eastAsia="Arial" w:hAnsi="Arial" w:cs="Arial"/>
        <w:noProof/>
        <w:color w:val="414141"/>
        <w:sz w:val="15"/>
        <w:szCs w:val="15"/>
      </w:rPr>
      <w:drawing>
        <wp:anchor distT="0" distB="0" distL="114300" distR="114300" simplePos="0" relativeHeight="251659264" behindDoc="0" locked="0" layoutInCell="1" hidden="0" allowOverlap="1">
          <wp:simplePos x="0" y="0"/>
          <wp:positionH relativeFrom="page">
            <wp:posOffset>900430</wp:posOffset>
          </wp:positionH>
          <wp:positionV relativeFrom="page">
            <wp:posOffset>398780</wp:posOffset>
          </wp:positionV>
          <wp:extent cx="3153600" cy="6948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53600" cy="694800"/>
                  </a:xfrm>
                  <a:prstGeom prst="rect">
                    <a:avLst/>
                  </a:prstGeom>
                  <a:ln/>
                </pic:spPr>
              </pic:pic>
            </a:graphicData>
          </a:graphic>
        </wp:anchor>
      </w:drawing>
    </w:r>
    <w:r>
      <w:rPr>
        <w:rFonts w:ascii="Arial" w:eastAsia="Arial" w:hAnsi="Arial" w:cs="Arial"/>
        <w:smallCaps/>
        <w:color w:val="414141"/>
        <w:sz w:val="15"/>
        <w:szCs w:val="15"/>
      </w:rPr>
      <w:t>ESS RELEASE</w:t>
    </w:r>
  </w:p>
  <w:p w:rsidR="00B02DE7" w:rsidRDefault="00000000">
    <w:pPr>
      <w:pBdr>
        <w:top w:val="nil"/>
        <w:left w:val="nil"/>
        <w:bottom w:val="nil"/>
        <w:right w:val="nil"/>
        <w:between w:val="nil"/>
      </w:pBdr>
      <w:ind w:right="-1737"/>
      <w:jc w:val="right"/>
      <w:rPr>
        <w:rFonts w:ascii="UnitPro" w:eastAsia="UnitPro" w:hAnsi="UnitPro" w:cs="UnitPro"/>
        <w:smallCaps/>
        <w:color w:val="414141"/>
        <w:sz w:val="15"/>
        <w:szCs w:val="15"/>
      </w:rPr>
    </w:pPr>
    <w:r>
      <w:rPr>
        <w:rFonts w:ascii="Arial" w:eastAsia="Arial" w:hAnsi="Arial" w:cs="Arial"/>
        <w:smallCaps/>
        <w:color w:val="414141"/>
        <w:sz w:val="15"/>
        <w:szCs w:val="15"/>
      </w:rPr>
      <w:fldChar w:fldCharType="begin"/>
    </w:r>
    <w:r>
      <w:rPr>
        <w:rFonts w:ascii="Arial" w:eastAsia="Arial" w:hAnsi="Arial" w:cs="Arial"/>
        <w:smallCaps/>
        <w:color w:val="414141"/>
        <w:sz w:val="15"/>
        <w:szCs w:val="15"/>
      </w:rPr>
      <w:instrText>PAGE</w:instrText>
    </w:r>
    <w:r>
      <w:rPr>
        <w:rFonts w:ascii="Arial" w:eastAsia="Arial" w:hAnsi="Arial" w:cs="Arial"/>
        <w:smallCaps/>
        <w:color w:val="414141"/>
        <w:sz w:val="15"/>
        <w:szCs w:val="15"/>
      </w:rPr>
      <w:fldChar w:fldCharType="separate"/>
    </w:r>
    <w:r w:rsidR="0083584C">
      <w:rPr>
        <w:rFonts w:ascii="Arial" w:eastAsia="Arial" w:hAnsi="Arial" w:cs="Arial"/>
        <w:smallCaps/>
        <w:noProof/>
        <w:color w:val="414141"/>
        <w:sz w:val="15"/>
        <w:szCs w:val="15"/>
      </w:rPr>
      <w:t>1</w:t>
    </w:r>
    <w:r>
      <w:rPr>
        <w:rFonts w:ascii="Arial" w:eastAsia="Arial" w:hAnsi="Arial" w:cs="Arial"/>
        <w:smallCaps/>
        <w:color w:val="414141"/>
        <w:sz w:val="15"/>
        <w:szCs w:val="15"/>
      </w:rPr>
      <w:fldChar w:fldCharType="end"/>
    </w:r>
    <w:r>
      <w:rPr>
        <w:rFonts w:ascii="Arial" w:eastAsia="Arial" w:hAnsi="Arial" w:cs="Arial"/>
        <w:smallCaps/>
        <w:color w:val="414141"/>
        <w:sz w:val="15"/>
        <w:szCs w:val="15"/>
      </w:rPr>
      <w:t>/</w:t>
    </w:r>
    <w:r>
      <w:rPr>
        <w:rFonts w:ascii="Arial" w:eastAsia="Arial" w:hAnsi="Arial" w:cs="Arial"/>
        <w:smallCaps/>
        <w:color w:val="414141"/>
        <w:sz w:val="15"/>
        <w:szCs w:val="15"/>
      </w:rPr>
      <w:fldChar w:fldCharType="begin"/>
    </w:r>
    <w:r>
      <w:rPr>
        <w:rFonts w:ascii="Arial" w:eastAsia="Arial" w:hAnsi="Arial" w:cs="Arial"/>
        <w:smallCaps/>
        <w:color w:val="414141"/>
        <w:sz w:val="15"/>
        <w:szCs w:val="15"/>
      </w:rPr>
      <w:instrText>NUMPAGES</w:instrText>
    </w:r>
    <w:r>
      <w:rPr>
        <w:rFonts w:ascii="Arial" w:eastAsia="Arial" w:hAnsi="Arial" w:cs="Arial"/>
        <w:smallCaps/>
        <w:color w:val="414141"/>
        <w:sz w:val="15"/>
        <w:szCs w:val="15"/>
      </w:rPr>
      <w:fldChar w:fldCharType="separate"/>
    </w:r>
    <w:r w:rsidR="0083584C">
      <w:rPr>
        <w:rFonts w:ascii="Arial" w:eastAsia="Arial" w:hAnsi="Arial" w:cs="Arial"/>
        <w:smallCaps/>
        <w:noProof/>
        <w:color w:val="414141"/>
        <w:sz w:val="15"/>
        <w:szCs w:val="15"/>
      </w:rPr>
      <w:t>2</w:t>
    </w:r>
    <w:r>
      <w:rPr>
        <w:rFonts w:ascii="Arial" w:eastAsia="Arial" w:hAnsi="Arial" w:cs="Arial"/>
        <w:smallCaps/>
        <w:color w:val="414141"/>
        <w:sz w:val="15"/>
        <w:szCs w:val="15"/>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DE7"/>
    <w:rsid w:val="003C5DBB"/>
    <w:rsid w:val="004A62A0"/>
    <w:rsid w:val="0083584C"/>
    <w:rsid w:val="008501ED"/>
    <w:rsid w:val="009904B9"/>
    <w:rsid w:val="00A84B5B"/>
    <w:rsid w:val="00AB16CE"/>
    <w:rsid w:val="00B02DE7"/>
    <w:rsid w:val="00B2434B"/>
    <w:rsid w:val="00B6052E"/>
    <w:rsid w:val="00BD289B"/>
    <w:rsid w:val="00CC4BA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5BBE98D3"/>
  <w15:docId w15:val="{C0ED5A41-7EFF-814C-A629-4FA5F55E1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n" w:eastAsia="Sen" w:hAnsi="Sen" w:cs="Sen"/>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b/>
      <w:smallCaps/>
      <w:color w:val="0095D5"/>
    </w:rPr>
  </w:style>
  <w:style w:type="paragraph" w:styleId="Heading2">
    <w:name w:val="heading 2"/>
    <w:basedOn w:val="Normal"/>
    <w:next w:val="Normal"/>
    <w:uiPriority w:val="9"/>
    <w:unhideWhenUsed/>
    <w:qFormat/>
    <w:pPr>
      <w:outlineLvl w:val="1"/>
    </w:pPr>
    <w:rPr>
      <w:b/>
    </w:rPr>
  </w:style>
  <w:style w:type="paragraph" w:styleId="Heading3">
    <w:name w:val="heading 3"/>
    <w:basedOn w:val="Normal"/>
    <w:next w:val="Normal"/>
    <w:uiPriority w:val="9"/>
    <w:semiHidden/>
    <w:unhideWhenUsed/>
    <w:qFormat/>
    <w:pPr>
      <w:keepNext/>
      <w:keepLines/>
      <w:spacing w:before="40" w:line="240" w:lineRule="auto"/>
      <w:outlineLvl w:val="2"/>
    </w:pPr>
    <w:rPr>
      <w:rFonts w:ascii="Arial" w:eastAsia="Arial" w:hAnsi="Arial" w:cs="Arial"/>
      <w:color w:val="813E0F"/>
      <w:sz w:val="24"/>
      <w:szCs w:val="24"/>
    </w:rPr>
  </w:style>
  <w:style w:type="paragraph" w:styleId="Heading4">
    <w:name w:val="heading 4"/>
    <w:basedOn w:val="Normal"/>
    <w:next w:val="Normal"/>
    <w:uiPriority w:val="9"/>
    <w:semiHidden/>
    <w:unhideWhenUsed/>
    <w:qFormat/>
    <w:pPr>
      <w:keepNext/>
      <w:keepLines/>
      <w:spacing w:before="40"/>
      <w:outlineLvl w:val="3"/>
    </w:pPr>
    <w:rPr>
      <w:rFonts w:ascii="Arial" w:eastAsia="Arial" w:hAnsi="Arial" w:cs="Arial"/>
      <w:i/>
      <w:color w:val="C35E16"/>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440" w:after="200"/>
    </w:pPr>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neumann.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umann.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786</Words>
  <Characters>4485</Characters>
  <Application>Microsoft Office Word</Application>
  <DocSecurity>0</DocSecurity>
  <Lines>37</Lines>
  <Paragraphs>10</Paragraphs>
  <ScaleCrop>false</ScaleCrop>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Benedicta Devy</cp:lastModifiedBy>
  <cp:revision>3</cp:revision>
  <cp:lastPrinted>2024-04-02T07:45:00Z</cp:lastPrinted>
  <dcterms:created xsi:type="dcterms:W3CDTF">2024-04-02T07:45:00Z</dcterms:created>
  <dcterms:modified xsi:type="dcterms:W3CDTF">2024-04-02T07:45:00Z</dcterms:modified>
</cp:coreProperties>
</file>