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b w:val="1"/>
          <w:sz w:val="28"/>
          <w:szCs w:val="28"/>
        </w:rPr>
      </w:pPr>
      <w:r w:rsidDel="00000000" w:rsidR="00000000" w:rsidRPr="00000000">
        <w:rPr>
          <w:rtl w:val="0"/>
        </w:rPr>
      </w:r>
    </w:p>
    <w:p w:rsidR="00000000" w:rsidDel="00000000" w:rsidP="00000000" w:rsidRDefault="00000000" w:rsidRPr="00000000" w14:paraId="00000002">
      <w:pPr>
        <w:jc w:val="center"/>
        <w:rPr>
          <w:b w:val="1"/>
          <w:sz w:val="28"/>
          <w:szCs w:val="28"/>
        </w:rPr>
      </w:pPr>
      <w:r w:rsidDel="00000000" w:rsidR="00000000" w:rsidRPr="00000000">
        <w:rPr>
          <w:b w:val="1"/>
          <w:sz w:val="28"/>
          <w:szCs w:val="28"/>
          <w:rtl w:val="0"/>
        </w:rPr>
        <w:t xml:space="preserve">TANE y Casa Dragones celebran la Independencia de México, con su tercer colaboración artesanal</w:t>
      </w:r>
    </w:p>
    <w:p w:rsidR="00000000" w:rsidDel="00000000" w:rsidP="00000000" w:rsidRDefault="00000000" w:rsidRPr="00000000" w14:paraId="00000003">
      <w:pPr>
        <w:jc w:val="both"/>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line="240" w:lineRule="auto"/>
        <w:jc w:val="both"/>
        <w:rPr/>
      </w:pPr>
      <w:r w:rsidDel="00000000" w:rsidR="00000000" w:rsidRPr="00000000">
        <w:rPr>
          <w:b w:val="1"/>
          <w:rtl w:val="0"/>
        </w:rPr>
        <w:t xml:space="preserve">Ciudad de México, a </w:t>
      </w:r>
      <w:r w:rsidDel="00000000" w:rsidR="00000000" w:rsidRPr="00000000">
        <w:rPr>
          <w:b w:val="1"/>
          <w:rtl w:val="0"/>
        </w:rPr>
        <w:t xml:space="preserve">11 de septiembre de 2020.- </w:t>
      </w:r>
      <w:r w:rsidDel="00000000" w:rsidR="00000000" w:rsidRPr="00000000">
        <w:rPr>
          <w:rtl w:val="0"/>
        </w:rPr>
        <w:t xml:space="preserve">Por tercera ocasión, dos casas profundamente mexicanas, Tequila Casa Dragones y TANE reafirman su compromiso con la artesanía mexicana con la colaboración creativa de las dos casas de lujo mexicano, recreando, mediante una exclusiva edición, su amor y compromiso por nuestro país. </w:t>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line="240" w:lineRule="auto"/>
        <w:jc w:val="both"/>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t xml:space="preserve">La plata y el tequila forman parte de la artesanía y cultura en México, remontando a las raíces históricas de nuestro país y ligando a los legendarios Dragones de San Miguel de Allende, junto con el comercio de la plata. Esta caballería de élite formó parte crucial del movimiento de independencia, en el corazón de México, San Miguel de Allende. Por ello, Tequila Casa Dragones y TANE rinden honor a esta historia, celebrando la Independencia de nuestro país, con este set de servicio de edición limitada, elaborado con la meticulosa atención al detalle que define a ambas casas.</w:t>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line="240" w:lineRule="auto"/>
        <w:jc w:val="both"/>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line="240" w:lineRule="auto"/>
        <w:jc w:val="both"/>
        <w:rPr/>
      </w:pPr>
      <w:r w:rsidDel="00000000" w:rsidR="00000000" w:rsidRPr="00000000">
        <w:rPr>
          <w:rtl w:val="0"/>
        </w:rPr>
        <w:t xml:space="preserve">Para conmemorar el Mes Patrio, las dos marcas –abocadas a la creación contemporánea y a la preservación de los procesos artesanales más preciados– han desarrollado una propuesta de edición limitada de 16 unidades numeradas que, sin duda, constituyen una antología de colección. </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line="240" w:lineRule="auto"/>
        <w:jc w:val="both"/>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line="240" w:lineRule="auto"/>
        <w:jc w:val="both"/>
        <w:rPr/>
      </w:pPr>
      <w:r w:rsidDel="00000000" w:rsidR="00000000" w:rsidRPr="00000000">
        <w:rPr>
          <w:rtl w:val="0"/>
        </w:rPr>
        <w:t xml:space="preserve">El baúl conmemorativo, confeccionado a mano y forrado en ante y piel, retoma los colores característicos de Casa Dragones para trasladarlos a un contenedor elegante y audaz. Las piezas de plata realizadas por TANE están inspiradas en el icónico Patrón Félix, un dinámico juego geométrico que distingue a algunos de los diseños más célebres de la marca. </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line="240" w:lineRule="auto"/>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t xml:space="preserve">El set de servicio, ideal para celebrar una fecha tan significativa como la Independencia de México, está compuesto por una botella de Tequila Casa Dragones Joven, Casa Dragones Joven es un Tequila 100% puro de agave azul elaborado en pequeños lotes y de edición limitada. Está hecho de un maridaje delicado de Tequila blanco con Tequila extra añejo, que ha sido añejado en barricas de roble americano durante cinco años para crear un sabor suave y perfecto para degustarse derecho o maridar con la comida.</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line="240" w:lineRule="auto"/>
        <w:jc w:val="both"/>
        <w:rPr>
          <w:color w:val="0070c0"/>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line="240" w:lineRule="auto"/>
        <w:jc w:val="both"/>
        <w:rPr/>
      </w:pPr>
      <w:r w:rsidDel="00000000" w:rsidR="00000000" w:rsidRPr="00000000">
        <w:rPr>
          <w:rtl w:val="0"/>
        </w:rPr>
        <w:t xml:space="preserve">También contiene una base para botella y tapón, elaborados en plata .925; una charola del mismo material con el distintivo grabado Félix; cuatro portavasos de obsidiana y plata; cuatro identificadores de copa con motivos alusivos a ambas casas de lujo y cuatro copas Riedel tequileras, grabadas a mano con el característico grabado de pepita de la casa tequilera independiente. </w:t>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line="240" w:lineRule="auto"/>
        <w:jc w:val="both"/>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line="240" w:lineRule="auto"/>
        <w:jc w:val="both"/>
        <w:rPr/>
      </w:pPr>
      <w:r w:rsidDel="00000000" w:rsidR="00000000" w:rsidRPr="00000000">
        <w:rPr>
          <w:rtl w:val="0"/>
        </w:rPr>
        <w:t xml:space="preserve">En los talleres de TANE, el trabajo manual e impoluto realizado por los creadores orfebres de la casa, adquiere una significación especial al ser susceptible de personalizarse mediante un proceso de grabado que incluya el nombre del cliente, o bien, un texto particular.</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line="240" w:lineRule="auto"/>
        <w:jc w:val="both"/>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line="240" w:lineRule="auto"/>
        <w:jc w:val="both"/>
        <w:rPr/>
      </w:pPr>
      <w:r w:rsidDel="00000000" w:rsidR="00000000" w:rsidRPr="00000000">
        <w:rPr>
          <w:rtl w:val="0"/>
        </w:rPr>
        <w:t xml:space="preserve">Esta sinergia creativa expresa la visión conjunta de un tándem que ha asumido la excelencia y la exclusividad como ejes rectores de un discurso capturado en esta obra de excepción, la cual manifiesta la atención al detalle, la maestría de las manos mexicanas y la labor de ambas casas por celebrar el trabajo y los procesos artesanales mexicanos.</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line="240" w:lineRule="auto"/>
        <w:jc w:val="both"/>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line="240" w:lineRule="auto"/>
        <w:jc w:val="both"/>
        <w:rPr/>
      </w:pPr>
      <w:r w:rsidDel="00000000" w:rsidR="00000000" w:rsidRPr="00000000">
        <w:rPr>
          <w:rtl w:val="0"/>
        </w:rPr>
        <w:t xml:space="preserve">El set se encuentra disponible en las boutiques TANE y a través del Servicio </w:t>
      </w:r>
      <w:hyperlink r:id="rId6">
        <w:r w:rsidDel="00000000" w:rsidR="00000000" w:rsidRPr="00000000">
          <w:rPr>
            <w:rtl w:val="0"/>
          </w:rPr>
          <w:t xml:space="preserve">Concierge</w:t>
        </w:r>
      </w:hyperlink>
      <w:r w:rsidDel="00000000" w:rsidR="00000000" w:rsidRPr="00000000">
        <w:rPr>
          <w:rtl w:val="0"/>
        </w:rPr>
        <w:t xml:space="preserve"> de Casa Dragones y TANE. </w:t>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rPr>
          <w:b w:val="1"/>
        </w:rPr>
      </w:pPr>
      <w:r w:rsidDel="00000000" w:rsidR="00000000" w:rsidRPr="00000000">
        <w:rPr>
          <w:rtl w:val="0"/>
        </w:rPr>
      </w:r>
    </w:p>
    <w:p w:rsidR="00000000" w:rsidDel="00000000" w:rsidP="00000000" w:rsidRDefault="00000000" w:rsidRPr="00000000" w14:paraId="00000019">
      <w:pPr>
        <w:jc w:val="center"/>
        <w:rPr/>
      </w:pPr>
      <w:r w:rsidDel="00000000" w:rsidR="00000000" w:rsidRPr="00000000">
        <w:rPr>
          <w:rtl w:val="0"/>
        </w:rPr>
        <w:t xml:space="preserve">###</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jc w:val="both"/>
        <w:rPr>
          <w:sz w:val="18"/>
          <w:szCs w:val="18"/>
        </w:rPr>
      </w:pPr>
      <w:r w:rsidDel="00000000" w:rsidR="00000000" w:rsidRPr="00000000">
        <w:rPr>
          <w:sz w:val="18"/>
          <w:szCs w:val="18"/>
          <w:rtl w:val="0"/>
        </w:rPr>
        <w:t xml:space="preserve">Realiza tu pedido a domicilio de Casa Dragones a través nuestro servicio de Concierge disponible en </w:t>
      </w:r>
      <w:hyperlink r:id="rId7">
        <w:r w:rsidDel="00000000" w:rsidR="00000000" w:rsidRPr="00000000">
          <w:rPr>
            <w:color w:val="1155cc"/>
            <w:sz w:val="18"/>
            <w:szCs w:val="18"/>
            <w:u w:val="single"/>
            <w:rtl w:val="0"/>
          </w:rPr>
          <w:t xml:space="preserve">www.casadragones.com</w:t>
        </w:r>
      </w:hyperlink>
      <w:r w:rsidDel="00000000" w:rsidR="00000000" w:rsidRPr="00000000">
        <w:rPr>
          <w:sz w:val="18"/>
          <w:szCs w:val="18"/>
          <w:rtl w:val="0"/>
        </w:rPr>
        <w:t xml:space="preserve"> o en los sitios web de La Europea, El Palacio de Hierro, Vinoteca, La Castellana Vinos América, City Market o Liverpool. </w:t>
      </w:r>
    </w:p>
    <w:p w:rsidR="00000000" w:rsidDel="00000000" w:rsidP="00000000" w:rsidRDefault="00000000" w:rsidRPr="00000000" w14:paraId="0000001C">
      <w:pPr>
        <w:jc w:val="both"/>
        <w:rPr>
          <w:b w:val="1"/>
          <w:sz w:val="18"/>
          <w:szCs w:val="18"/>
        </w:rPr>
      </w:pPr>
      <w:r w:rsidDel="00000000" w:rsidR="00000000" w:rsidRPr="00000000">
        <w:rPr>
          <w:rtl w:val="0"/>
        </w:rPr>
      </w:r>
    </w:p>
    <w:p w:rsidR="00000000" w:rsidDel="00000000" w:rsidP="00000000" w:rsidRDefault="00000000" w:rsidRPr="00000000" w14:paraId="0000001D">
      <w:pPr>
        <w:jc w:val="both"/>
        <w:rPr>
          <w:b w:val="1"/>
          <w:sz w:val="18"/>
          <w:szCs w:val="18"/>
        </w:rPr>
      </w:pPr>
      <w:r w:rsidDel="00000000" w:rsidR="00000000" w:rsidRPr="00000000">
        <w:rPr>
          <w:rtl w:val="0"/>
        </w:rPr>
      </w:r>
    </w:p>
    <w:p w:rsidR="00000000" w:rsidDel="00000000" w:rsidP="00000000" w:rsidRDefault="00000000" w:rsidRPr="00000000" w14:paraId="0000001E">
      <w:pPr>
        <w:jc w:val="both"/>
        <w:rPr>
          <w:b w:val="1"/>
          <w:sz w:val="18"/>
          <w:szCs w:val="18"/>
        </w:rPr>
      </w:pPr>
      <w:r w:rsidDel="00000000" w:rsidR="00000000" w:rsidRPr="00000000">
        <w:rPr>
          <w:b w:val="1"/>
          <w:sz w:val="18"/>
          <w:szCs w:val="18"/>
          <w:rtl w:val="0"/>
        </w:rPr>
        <w:t xml:space="preserve">Acerca de Tequila Casa Dragones</w:t>
      </w:r>
    </w:p>
    <w:p w:rsidR="00000000" w:rsidDel="00000000" w:rsidP="00000000" w:rsidRDefault="00000000" w:rsidRPr="00000000" w14:paraId="0000001F">
      <w:pPr>
        <w:pBdr>
          <w:top w:color="000000" w:space="0" w:sz="0" w:val="none"/>
          <w:left w:color="000000" w:space="0" w:sz="0" w:val="none"/>
          <w:bottom w:color="000000" w:space="0" w:sz="0" w:val="none"/>
          <w:right w:color="000000" w:space="0" w:sz="0" w:val="none"/>
          <w:between w:color="000000" w:space="0" w:sz="0" w:val="none"/>
        </w:pBdr>
        <w:spacing w:after="240" w:lineRule="auto"/>
        <w:jc w:val="both"/>
        <w:rPr/>
      </w:pPr>
      <w:r w:rsidDel="00000000" w:rsidR="00000000" w:rsidRPr="00000000">
        <w:rPr>
          <w:sz w:val="18"/>
          <w:szCs w:val="18"/>
          <w:rtl w:val="0"/>
        </w:rPr>
        <w:t xml:space="preserve">Casa Dragones es una casa tequilera independiente de edición limitada, conocido por Tequila Casa Dragones Joven y Tequila Casa Dragones Blanco, bebidas que reflejan el cuidado y precisión que caracteriza su producción. Desde su debut en 2009, Casa Dragones Joven ha ganado la admiración de los aficionados al tequila, catadores y reconocidos chefs por su distintivo sabor, aroma y cuerpo. Casa Dragones Joven es un suave maridaje tequila blanco con tequila extra añejo que resulta en un sabor sumamente suave creado para degustarse derecho y maridar con la comida. Reconocido por Wine Enthusiast con las más alta calificación obtenida por un tequila.  En 2014, la Casa Dragones presentó una segunda etiqueta, Tequila Casa Dragones Blanco, un tequila que tiene como objetivo preservar la pureza y calidad de su agave a través de un proceso ultra moderno entregando la elegancia y sutilezas matizadas que se han convertido en sinónimo del nombre Casa Dragones. Este tequila ha acumulado, de igual manera, fidelidad por parte de los mixólogos más importantes a nivel internacional, quienes han creado recetas originales que resaltan los atributos de esta bebida.  Para más información favor de visitar nuestra página de internet </w:t>
      </w:r>
      <w:hyperlink r:id="rId8">
        <w:r w:rsidDel="00000000" w:rsidR="00000000" w:rsidRPr="00000000">
          <w:rPr>
            <w:sz w:val="18"/>
            <w:szCs w:val="18"/>
            <w:rtl w:val="0"/>
          </w:rPr>
          <w:t xml:space="preserve">http://www.casadragones.com/</w:t>
        </w:r>
      </w:hyperlink>
      <w:r w:rsidDel="00000000" w:rsidR="00000000" w:rsidRPr="00000000">
        <w:rPr>
          <w:sz w:val="18"/>
          <w:szCs w:val="18"/>
          <w:rtl w:val="0"/>
        </w:rPr>
        <w:t xml:space="preserve">  o síguenos en @casadragones en Facebook, Instagram o Twitter.</w:t>
      </w:r>
      <w:r w:rsidDel="00000000" w:rsidR="00000000" w:rsidRPr="00000000">
        <w:rPr>
          <w:rtl w:val="0"/>
        </w:rPr>
      </w:r>
    </w:p>
    <w:p w:rsidR="00000000" w:rsidDel="00000000" w:rsidP="00000000" w:rsidRDefault="00000000" w:rsidRPr="00000000" w14:paraId="00000020">
      <w:pPr>
        <w:jc w:val="both"/>
        <w:rPr>
          <w:b w:val="1"/>
          <w:sz w:val="20"/>
          <w:szCs w:val="20"/>
        </w:rPr>
      </w:pPr>
      <w:r w:rsidDel="00000000" w:rsidR="00000000" w:rsidRPr="00000000">
        <w:rPr>
          <w:b w:val="1"/>
          <w:sz w:val="20"/>
          <w:szCs w:val="20"/>
          <w:rtl w:val="0"/>
        </w:rPr>
        <w:t xml:space="preserve">CONTACTO</w:t>
      </w:r>
    </w:p>
    <w:p w:rsidR="00000000" w:rsidDel="00000000" w:rsidP="00000000" w:rsidRDefault="00000000" w:rsidRPr="00000000" w14:paraId="00000021">
      <w:pPr>
        <w:jc w:val="both"/>
        <w:rPr>
          <w:sz w:val="20"/>
          <w:szCs w:val="20"/>
        </w:rPr>
      </w:pPr>
      <w:r w:rsidDel="00000000" w:rsidR="00000000" w:rsidRPr="00000000">
        <w:rPr>
          <w:sz w:val="20"/>
          <w:szCs w:val="20"/>
          <w:rtl w:val="0"/>
        </w:rPr>
        <w:t xml:space="preserve">Yahel Peláez  </w:t>
        <w:br w:type="textWrapping"/>
        <w:t xml:space="preserve">Puesto: Sr Account Executive</w:t>
      </w:r>
    </w:p>
    <w:p w:rsidR="00000000" w:rsidDel="00000000" w:rsidP="00000000" w:rsidRDefault="00000000" w:rsidRPr="00000000" w14:paraId="00000022">
      <w:pPr>
        <w:jc w:val="both"/>
        <w:rPr>
          <w:sz w:val="20"/>
          <w:szCs w:val="20"/>
        </w:rPr>
      </w:pPr>
      <w:r w:rsidDel="00000000" w:rsidR="00000000" w:rsidRPr="00000000">
        <w:rPr>
          <w:sz w:val="20"/>
          <w:szCs w:val="20"/>
          <w:rtl w:val="0"/>
        </w:rPr>
        <w:t xml:space="preserve">Compañía: Another Company</w:t>
      </w:r>
    </w:p>
    <w:p w:rsidR="00000000" w:rsidDel="00000000" w:rsidP="00000000" w:rsidRDefault="00000000" w:rsidRPr="00000000" w14:paraId="00000023">
      <w:pPr>
        <w:jc w:val="both"/>
        <w:rPr>
          <w:sz w:val="20"/>
          <w:szCs w:val="20"/>
        </w:rPr>
      </w:pPr>
      <w:r w:rsidDel="00000000" w:rsidR="00000000" w:rsidRPr="00000000">
        <w:rPr>
          <w:sz w:val="20"/>
          <w:szCs w:val="20"/>
          <w:rtl w:val="0"/>
        </w:rPr>
        <w:t xml:space="preserve">Móvil: (+52) 1 55 2732 4937</w:t>
      </w:r>
    </w:p>
    <w:p w:rsidR="00000000" w:rsidDel="00000000" w:rsidP="00000000" w:rsidRDefault="00000000" w:rsidRPr="00000000" w14:paraId="00000024">
      <w:pPr>
        <w:jc w:val="both"/>
        <w:rPr>
          <w:sz w:val="20"/>
          <w:szCs w:val="20"/>
        </w:rPr>
      </w:pPr>
      <w:r w:rsidDel="00000000" w:rsidR="00000000" w:rsidRPr="00000000">
        <w:rPr>
          <w:sz w:val="20"/>
          <w:szCs w:val="20"/>
          <w:rtl w:val="0"/>
        </w:rPr>
        <w:t xml:space="preserve">email: </w:t>
      </w:r>
      <w:hyperlink r:id="rId9">
        <w:r w:rsidDel="00000000" w:rsidR="00000000" w:rsidRPr="00000000">
          <w:rPr>
            <w:color w:val="1155cc"/>
            <w:sz w:val="20"/>
            <w:szCs w:val="20"/>
            <w:u w:val="single"/>
            <w:rtl w:val="0"/>
          </w:rPr>
          <w:t xml:space="preserve">yahel.perez@another.co</w:t>
        </w:r>
      </w:hyperlink>
      <w:r w:rsidDel="00000000" w:rsidR="00000000" w:rsidRPr="00000000">
        <w:rPr>
          <w:rtl w:val="0"/>
        </w:rPr>
      </w:r>
    </w:p>
    <w:p w:rsidR="00000000" w:rsidDel="00000000" w:rsidP="00000000" w:rsidRDefault="00000000" w:rsidRPr="00000000" w14:paraId="00000025">
      <w:pPr>
        <w:jc w:val="both"/>
        <w:rPr>
          <w:sz w:val="20"/>
          <w:szCs w:val="20"/>
        </w:rPr>
      </w:pPr>
      <w:r w:rsidDel="00000000" w:rsidR="00000000" w:rsidRPr="00000000">
        <w:rPr>
          <w:rtl w:val="0"/>
        </w:rPr>
      </w:r>
    </w:p>
    <w:p w:rsidR="00000000" w:rsidDel="00000000" w:rsidP="00000000" w:rsidRDefault="00000000" w:rsidRPr="00000000" w14:paraId="00000026">
      <w:pPr>
        <w:jc w:val="both"/>
        <w:rPr>
          <w:sz w:val="20"/>
          <w:szCs w:val="20"/>
        </w:rPr>
      </w:pPr>
      <w:r w:rsidDel="00000000" w:rsidR="00000000" w:rsidRPr="00000000">
        <w:rPr>
          <w:sz w:val="20"/>
          <w:szCs w:val="20"/>
          <w:rtl w:val="0"/>
        </w:rPr>
        <w:t xml:space="preserve">Armando Trucios  </w:t>
        <w:br w:type="textWrapping"/>
        <w:t xml:space="preserve">Fashion, Lifestyle and Luxury Supervisor</w:t>
      </w:r>
    </w:p>
    <w:p w:rsidR="00000000" w:rsidDel="00000000" w:rsidP="00000000" w:rsidRDefault="00000000" w:rsidRPr="00000000" w14:paraId="00000027">
      <w:pPr>
        <w:jc w:val="both"/>
        <w:rPr>
          <w:sz w:val="20"/>
          <w:szCs w:val="20"/>
        </w:rPr>
      </w:pPr>
      <w:r w:rsidDel="00000000" w:rsidR="00000000" w:rsidRPr="00000000">
        <w:rPr>
          <w:sz w:val="20"/>
          <w:szCs w:val="20"/>
          <w:rtl w:val="0"/>
        </w:rPr>
        <w:t xml:space="preserve">Another Company</w:t>
      </w:r>
    </w:p>
    <w:p w:rsidR="00000000" w:rsidDel="00000000" w:rsidP="00000000" w:rsidRDefault="00000000" w:rsidRPr="00000000" w14:paraId="00000028">
      <w:pPr>
        <w:jc w:val="both"/>
        <w:rPr>
          <w:sz w:val="20"/>
          <w:szCs w:val="20"/>
        </w:rPr>
      </w:pPr>
      <w:r w:rsidDel="00000000" w:rsidR="00000000" w:rsidRPr="00000000">
        <w:rPr>
          <w:sz w:val="20"/>
          <w:szCs w:val="20"/>
          <w:rtl w:val="0"/>
        </w:rPr>
        <w:t xml:space="preserve">Móvil: (+52) 1 55 2732 4937 </w:t>
      </w:r>
    </w:p>
    <w:p w:rsidR="00000000" w:rsidDel="00000000" w:rsidP="00000000" w:rsidRDefault="00000000" w:rsidRPr="00000000" w14:paraId="00000029">
      <w:pPr>
        <w:jc w:val="both"/>
        <w:rPr>
          <w:sz w:val="20"/>
          <w:szCs w:val="20"/>
        </w:rPr>
      </w:pPr>
      <w:r w:rsidDel="00000000" w:rsidR="00000000" w:rsidRPr="00000000">
        <w:rPr>
          <w:sz w:val="20"/>
          <w:szCs w:val="20"/>
          <w:rtl w:val="0"/>
        </w:rPr>
        <w:t xml:space="preserve">email: </w:t>
      </w:r>
      <w:hyperlink r:id="rId10">
        <w:r w:rsidDel="00000000" w:rsidR="00000000" w:rsidRPr="00000000">
          <w:rPr>
            <w:color w:val="1155cc"/>
            <w:sz w:val="20"/>
            <w:szCs w:val="20"/>
            <w:u w:val="single"/>
            <w:rtl w:val="0"/>
          </w:rPr>
          <w:t xml:space="preserve">armando.trucios@another.co</w:t>
        </w:r>
      </w:hyperlink>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jc w:val="both"/>
        <w:rPr>
          <w:sz w:val="20"/>
          <w:szCs w:val="20"/>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jc w:val="both"/>
        <w:rPr>
          <w:sz w:val="20"/>
          <w:szCs w:val="20"/>
        </w:rPr>
      </w:pPr>
      <w:r w:rsidDel="00000000" w:rsidR="00000000" w:rsidRPr="00000000">
        <w:rPr>
          <w:sz w:val="20"/>
          <w:szCs w:val="20"/>
          <w:rtl w:val="0"/>
        </w:rPr>
        <w:t xml:space="preserve">Luis Morales</w:t>
      </w:r>
    </w:p>
    <w:p w:rsidR="00000000" w:rsidDel="00000000" w:rsidP="00000000" w:rsidRDefault="00000000" w:rsidRPr="00000000" w14:paraId="0000002C">
      <w:pPr>
        <w:pBdr>
          <w:top w:space="0" w:sz="0" w:val="nil"/>
          <w:left w:space="0" w:sz="0" w:val="nil"/>
          <w:bottom w:space="0" w:sz="0" w:val="nil"/>
          <w:right w:space="0" w:sz="0" w:val="nil"/>
          <w:between w:space="0" w:sz="0" w:val="nil"/>
        </w:pBdr>
        <w:jc w:val="both"/>
        <w:rPr>
          <w:sz w:val="20"/>
          <w:szCs w:val="20"/>
        </w:rPr>
      </w:pPr>
      <w:r w:rsidDel="00000000" w:rsidR="00000000" w:rsidRPr="00000000">
        <w:rPr>
          <w:sz w:val="20"/>
          <w:szCs w:val="20"/>
          <w:rtl w:val="0"/>
        </w:rPr>
        <w:t xml:space="preserve">Fashion, Lifestyle and Luxury Director</w:t>
      </w:r>
    </w:p>
    <w:p w:rsidR="00000000" w:rsidDel="00000000" w:rsidP="00000000" w:rsidRDefault="00000000" w:rsidRPr="00000000" w14:paraId="0000002D">
      <w:pPr>
        <w:pBdr>
          <w:top w:space="0" w:sz="0" w:val="nil"/>
          <w:left w:space="0" w:sz="0" w:val="nil"/>
          <w:bottom w:space="0" w:sz="0" w:val="nil"/>
          <w:right w:space="0" w:sz="0" w:val="nil"/>
          <w:between w:space="0" w:sz="0" w:val="nil"/>
        </w:pBdr>
        <w:jc w:val="both"/>
        <w:rPr>
          <w:sz w:val="20"/>
          <w:szCs w:val="20"/>
        </w:rPr>
      </w:pPr>
      <w:r w:rsidDel="00000000" w:rsidR="00000000" w:rsidRPr="00000000">
        <w:rPr>
          <w:sz w:val="20"/>
          <w:szCs w:val="20"/>
          <w:rtl w:val="0"/>
        </w:rPr>
        <w:t xml:space="preserve">Another Company</w:t>
      </w:r>
    </w:p>
    <w:p w:rsidR="00000000" w:rsidDel="00000000" w:rsidP="00000000" w:rsidRDefault="00000000" w:rsidRPr="00000000" w14:paraId="0000002E">
      <w:pPr>
        <w:pBdr>
          <w:top w:space="0" w:sz="0" w:val="nil"/>
          <w:left w:space="0" w:sz="0" w:val="nil"/>
          <w:bottom w:space="0" w:sz="0" w:val="nil"/>
          <w:right w:space="0" w:sz="0" w:val="nil"/>
          <w:between w:space="0" w:sz="0" w:val="nil"/>
        </w:pBdr>
        <w:jc w:val="both"/>
        <w:rPr>
          <w:sz w:val="20"/>
          <w:szCs w:val="20"/>
        </w:rPr>
      </w:pPr>
      <w:r w:rsidDel="00000000" w:rsidR="00000000" w:rsidRPr="00000000">
        <w:rPr>
          <w:sz w:val="20"/>
          <w:szCs w:val="20"/>
          <w:rtl w:val="0"/>
        </w:rPr>
        <w:t xml:space="preserve">Móvil: (+52) 5591987567</w:t>
      </w:r>
    </w:p>
    <w:p w:rsidR="00000000" w:rsidDel="00000000" w:rsidP="00000000" w:rsidRDefault="00000000" w:rsidRPr="00000000" w14:paraId="0000002F">
      <w:pPr>
        <w:pBdr>
          <w:top w:space="0" w:sz="0" w:val="nil"/>
          <w:left w:space="0" w:sz="0" w:val="nil"/>
          <w:bottom w:space="0" w:sz="0" w:val="nil"/>
          <w:right w:space="0" w:sz="0" w:val="nil"/>
          <w:between w:space="0" w:sz="0" w:val="nil"/>
        </w:pBdr>
        <w:jc w:val="both"/>
        <w:rPr>
          <w:sz w:val="20"/>
          <w:szCs w:val="20"/>
        </w:rPr>
      </w:pPr>
      <w:r w:rsidDel="00000000" w:rsidR="00000000" w:rsidRPr="00000000">
        <w:rPr>
          <w:sz w:val="20"/>
          <w:szCs w:val="20"/>
          <w:rtl w:val="0"/>
        </w:rPr>
        <w:t xml:space="preserve">email: </w:t>
      </w:r>
      <w:hyperlink r:id="rId11">
        <w:r w:rsidDel="00000000" w:rsidR="00000000" w:rsidRPr="00000000">
          <w:rPr>
            <w:color w:val="1155cc"/>
            <w:sz w:val="20"/>
            <w:szCs w:val="20"/>
            <w:u w:val="single"/>
            <w:rtl w:val="0"/>
          </w:rPr>
          <w:t xml:space="preserve">luis.morales@another.co</w:t>
        </w:r>
      </w:hyperlink>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jc w:val="both"/>
        <w:rPr>
          <w:sz w:val="20"/>
          <w:szCs w:val="20"/>
        </w:rPr>
      </w:pPr>
      <w:r w:rsidDel="00000000" w:rsidR="00000000" w:rsidRPr="00000000">
        <w:rPr>
          <w:rtl w:val="0"/>
        </w:rPr>
      </w:r>
    </w:p>
    <w:p w:rsidR="00000000" w:rsidDel="00000000" w:rsidP="00000000" w:rsidRDefault="00000000" w:rsidRPr="00000000" w14:paraId="00000031">
      <w:pPr>
        <w:jc w:val="both"/>
        <w:rPr>
          <w:sz w:val="20"/>
          <w:szCs w:val="20"/>
        </w:rPr>
      </w:pPr>
      <w:r w:rsidDel="00000000" w:rsidR="00000000" w:rsidRPr="00000000">
        <w:rPr>
          <w:rtl w:val="0"/>
        </w:rPr>
      </w:r>
    </w:p>
    <w:p w:rsidR="00000000" w:rsidDel="00000000" w:rsidP="00000000" w:rsidRDefault="00000000" w:rsidRPr="00000000" w14:paraId="00000032">
      <w:pPr>
        <w:jc w:val="both"/>
        <w:rPr/>
      </w:pPr>
      <w:r w:rsidDel="00000000" w:rsidR="00000000" w:rsidRPr="00000000">
        <w:rPr>
          <w:rtl w:val="0"/>
        </w:rPr>
      </w:r>
    </w:p>
    <w:p w:rsidR="00000000" w:rsidDel="00000000" w:rsidP="00000000" w:rsidRDefault="00000000" w:rsidRPr="00000000" w14:paraId="00000033">
      <w:pPr>
        <w:jc w:val="both"/>
        <w:rPr>
          <w:sz w:val="20"/>
          <w:szCs w:val="20"/>
        </w:rPr>
      </w:pPr>
      <w:r w:rsidDel="00000000" w:rsidR="00000000" w:rsidRPr="00000000">
        <w:rPr>
          <w:rtl w:val="0"/>
        </w:rPr>
      </w:r>
    </w:p>
    <w:p w:rsidR="00000000" w:rsidDel="00000000" w:rsidP="00000000" w:rsidRDefault="00000000" w:rsidRPr="00000000" w14:paraId="00000034">
      <w:pPr>
        <w:jc w:val="both"/>
        <w:rPr/>
      </w:pPr>
      <w:r w:rsidDel="00000000" w:rsidR="00000000" w:rsidRPr="00000000">
        <w:rPr>
          <w:rtl w:val="0"/>
        </w:rPr>
      </w:r>
    </w:p>
    <w:p w:rsidR="00000000" w:rsidDel="00000000" w:rsidP="00000000" w:rsidRDefault="00000000" w:rsidRPr="00000000" w14:paraId="00000035">
      <w:pPr>
        <w:jc w:val="both"/>
        <w:rPr/>
      </w:pPr>
      <w:r w:rsidDel="00000000" w:rsidR="00000000" w:rsidRPr="00000000">
        <w:rPr>
          <w:rtl w:val="0"/>
        </w:rPr>
      </w:r>
    </w:p>
    <w:p w:rsidR="00000000" w:rsidDel="00000000" w:rsidP="00000000" w:rsidRDefault="00000000" w:rsidRPr="00000000" w14:paraId="00000036">
      <w:pPr>
        <w:jc w:val="both"/>
        <w:rPr/>
      </w:pPr>
      <w:r w:rsidDel="00000000" w:rsidR="00000000" w:rsidRPr="00000000">
        <w:rPr>
          <w:rtl w:val="0"/>
        </w:rPr>
      </w:r>
    </w:p>
    <w:sectPr>
      <w:headerReference r:id="rId12" w:type="default"/>
      <w:footerReference r:id="rId13" w:type="default"/>
      <w:pgSz w:h="16834" w:w="11909"/>
      <w:pgMar w:bottom="1440" w:top="1440" w:left="1440" w:right="1440"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jc w:val="center"/>
      <w:rPr/>
    </w:pPr>
    <w:r w:rsidDel="00000000" w:rsidR="00000000" w:rsidRPr="00000000">
      <w:rPr>
        <w:rtl w:val="0"/>
      </w:rPr>
    </w:r>
  </w:p>
  <w:p w:rsidR="00000000" w:rsidDel="00000000" w:rsidP="00000000" w:rsidRDefault="00000000" w:rsidRPr="00000000" w14:paraId="00000038">
    <w:pPr>
      <w:jc w:val="center"/>
      <w:rPr>
        <w:sz w:val="18"/>
        <w:szCs w:val="18"/>
      </w:rPr>
    </w:pPr>
    <w:r w:rsidDel="00000000" w:rsidR="00000000" w:rsidRPr="00000000">
      <w:rPr/>
      <w:drawing>
        <wp:inline distB="114300" distT="114300" distL="114300" distR="114300">
          <wp:extent cx="3214688" cy="495723"/>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214688" cy="49572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MX"/>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mailto:luis.morales@another.co" TargetMode="External"/><Relationship Id="rId10" Type="http://schemas.openxmlformats.org/officeDocument/2006/relationships/hyperlink" Target="mailto:armando.trucios@another.co"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yahel.perez@another.co" TargetMode="External"/><Relationship Id="rId5" Type="http://schemas.openxmlformats.org/officeDocument/2006/relationships/styles" Target="styles.xml"/><Relationship Id="rId6" Type="http://schemas.openxmlformats.org/officeDocument/2006/relationships/hyperlink" Target="https://casadragones.com.mx/ordene-aqui/" TargetMode="External"/><Relationship Id="rId7" Type="http://schemas.openxmlformats.org/officeDocument/2006/relationships/hyperlink" Target="http://www.casadragones.com" TargetMode="External"/><Relationship Id="rId8" Type="http://schemas.openxmlformats.org/officeDocument/2006/relationships/hyperlink" Target="http://www.casadragon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