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GRUPO VIDANTA PARTICIPARÁ EN EL TIANGUIS TURÍSTICO 2019, EN EL MARCO DE LA CELEBRACIÓN DE SU 45 ANIVERSARIO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hd w:fill="ffffff" w:val="clear"/>
        <w:jc w:val="both"/>
        <w:rPr/>
      </w:pPr>
      <w:r w:rsidDel="00000000" w:rsidR="00000000" w:rsidRPr="00000000">
        <w:rPr>
          <w:b w:val="1"/>
          <w:rtl w:val="0"/>
        </w:rPr>
        <w:t xml:space="preserve">Ciudad de México, a 02 de abril de 2019.– </w:t>
      </w:r>
      <w:r w:rsidDel="00000000" w:rsidR="00000000" w:rsidRPr="00000000">
        <w:rPr>
          <w:rtl w:val="0"/>
        </w:rPr>
        <w:t xml:space="preserve">En la edición número 44 del Tianguis Turístico que se celebrará del 7 al 10 de abril en Acapulco, Guerrero, </w:t>
      </w:r>
      <w:r w:rsidDel="00000000" w:rsidR="00000000" w:rsidRPr="00000000">
        <w:rPr>
          <w:b w:val="1"/>
          <w:rtl w:val="0"/>
        </w:rPr>
        <w:t xml:space="preserve">Grupo Vidanta</w:t>
      </w:r>
      <w:r w:rsidDel="00000000" w:rsidR="00000000" w:rsidRPr="00000000">
        <w:rPr>
          <w:rtl w:val="0"/>
        </w:rPr>
        <w:t xml:space="preserve"> –el desarrollador líder de resorts e infraestructuras turísticas más importante de México y Latinoamérica– estará presente como el máximo exponente del sector, en el marco del festejo de su 45 aniversario.</w:t>
      </w:r>
    </w:p>
    <w:p w:rsidR="00000000" w:rsidDel="00000000" w:rsidP="00000000" w:rsidRDefault="00000000" w:rsidRPr="00000000" w14:paraId="00000005">
      <w:pPr>
        <w:shd w:fill="ffffff" w:val="clea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Grupo Vidanta reconoce que éste evento es el más importante en materia de turismo en México, en el que año con año se reúnen compradores y expositores con el único fin de promover al país como un destino turístico de excelencia a nivel nacional e internacional; por lo que con su participación, la compañía reafirma su compromiso con el desarrollo de la industria turística del país. </w:t>
      </w:r>
    </w:p>
    <w:p w:rsidR="00000000" w:rsidDel="00000000" w:rsidP="00000000" w:rsidRDefault="00000000" w:rsidRPr="00000000" w14:paraId="00000007">
      <w:pPr>
        <w:shd w:fill="ffffff" w:val="clear"/>
        <w:jc w:val="both"/>
        <w:rPr/>
      </w:pPr>
      <w:r w:rsidDel="00000000" w:rsidR="00000000" w:rsidRPr="00000000">
        <w:rPr>
          <w:rtl w:val="0"/>
        </w:rPr>
        <w:t xml:space="preserve"> </w:t>
      </w:r>
    </w:p>
    <w:p w:rsidR="00000000" w:rsidDel="00000000" w:rsidP="00000000" w:rsidRDefault="00000000" w:rsidRPr="00000000" w14:paraId="00000008">
      <w:pPr>
        <w:shd w:fill="ffffff" w:val="clear"/>
        <w:jc w:val="both"/>
        <w:rPr/>
      </w:pPr>
      <w:r w:rsidDel="00000000" w:rsidR="00000000" w:rsidRPr="00000000">
        <w:rPr>
          <w:rtl w:val="0"/>
        </w:rPr>
        <w:t xml:space="preserve">Como el máximo innovador en la industria turística, Grupo Vidanta siempre ha apostado a enaltecer  México a través de la creación de hermosos complejos vacacionales, apoyando con ello a la misión del Tianguis para atraer al turismo nacional y extranjero para que vivan las increíbles experiencias que ofrece en todas sus propiedades, desde la llegada de un </w:t>
      </w:r>
      <w:r w:rsidDel="00000000" w:rsidR="00000000" w:rsidRPr="00000000">
        <w:rPr>
          <w:i w:val="1"/>
          <w:rtl w:val="0"/>
        </w:rPr>
        <w:t xml:space="preserve">show</w:t>
      </w:r>
      <w:r w:rsidDel="00000000" w:rsidR="00000000" w:rsidRPr="00000000">
        <w:rPr>
          <w:rtl w:val="0"/>
        </w:rPr>
        <w:t xml:space="preserve"> permanente como Cirque su Soleil JOYÀ en Vidanta Riviera Maya, inspirado en México y el único en el mundo que incluye una experiencia gastronómica, hasta las diversas experiencias de entretenimiento y gastronomía disponibles en Vidanta Los Cabos, sin olvidar los hermosos campos de golf de Nicklaus Design y Greg Norman en varios de sus destinos.</w:t>
      </w:r>
    </w:p>
    <w:p w:rsidR="00000000" w:rsidDel="00000000" w:rsidP="00000000" w:rsidRDefault="00000000" w:rsidRPr="00000000" w14:paraId="00000009">
      <w:pPr>
        <w:shd w:fill="ffffff" w:val="clear"/>
        <w:jc w:val="both"/>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color w:val="000000"/>
          <w:highlight w:val="white"/>
          <w:rtl w:val="0"/>
        </w:rPr>
        <w:t xml:space="preserve">Además, la división de bienes raíces de Grupo Vidanta ha desarrollado el primer aeropuerto con inversión privada en México, el Aeropuerto Internacional Mar de Cortés, en Puerto Peñasco. </w:t>
      </w:r>
      <w:r w:rsidDel="00000000" w:rsidR="00000000" w:rsidRPr="00000000">
        <w:rPr>
          <w:rtl w:val="0"/>
        </w:rPr>
      </w:r>
    </w:p>
    <w:p w:rsidR="00000000" w:rsidDel="00000000" w:rsidP="00000000" w:rsidRDefault="00000000" w:rsidRPr="00000000" w14:paraId="0000000B">
      <w:pPr>
        <w:shd w:fill="ffffff" w:val="clear"/>
        <w:jc w:val="both"/>
        <w:rPr/>
      </w:pP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0C">
      <w:pPr>
        <w:shd w:fill="ffffff" w:val="clear"/>
        <w:jc w:val="both"/>
        <w:rPr/>
      </w:pPr>
      <w:bookmarkStart w:colFirst="0" w:colLast="0" w:name="_30j0zll" w:id="1"/>
      <w:bookmarkEnd w:id="1"/>
      <w:r w:rsidDel="00000000" w:rsidR="00000000" w:rsidRPr="00000000">
        <w:rPr>
          <w:rtl w:val="0"/>
        </w:rPr>
        <w:t xml:space="preserve">Por otra parte, el reciente lanzamiento de </w:t>
      </w:r>
      <w:r w:rsidDel="00000000" w:rsidR="00000000" w:rsidRPr="00000000">
        <w:rPr>
          <w:i w:val="1"/>
          <w:rtl w:val="0"/>
        </w:rPr>
        <w:t xml:space="preserve">Vidanta Cruises</w:t>
      </w:r>
      <w:r w:rsidDel="00000000" w:rsidR="00000000" w:rsidRPr="00000000">
        <w:rPr>
          <w:rtl w:val="0"/>
        </w:rPr>
        <w:t xml:space="preserve">, la primer línea mexicana de cruceros de lujo, misma que debutará en otoño de este año con un primer barco, </w:t>
      </w:r>
      <w:r w:rsidDel="00000000" w:rsidR="00000000" w:rsidRPr="00000000">
        <w:rPr>
          <w:i w:val="1"/>
          <w:rtl w:val="0"/>
        </w:rPr>
        <w:t xml:space="preserve">Vidanta Elegant</w:t>
      </w:r>
      <w:r w:rsidDel="00000000" w:rsidR="00000000" w:rsidRPr="00000000">
        <w:rPr>
          <w:rtl w:val="0"/>
        </w:rPr>
        <w:t xml:space="preserve">, convierte a Grupo Vidanta –tras una inversión de $2,700 millones de pesos–, en el primer desarrollador turístico en el país que opera tanto en tierra como en mar.</w:t>
      </w:r>
    </w:p>
    <w:p w:rsidR="00000000" w:rsidDel="00000000" w:rsidP="00000000" w:rsidRDefault="00000000" w:rsidRPr="00000000" w14:paraId="0000000D">
      <w:pPr>
        <w:shd w:fill="ffffff" w:val="clear"/>
        <w:jc w:val="both"/>
        <w:rPr/>
      </w:pPr>
      <w:r w:rsidDel="00000000" w:rsidR="00000000" w:rsidRPr="00000000">
        <w:rPr>
          <w:rtl w:val="0"/>
        </w:rPr>
      </w:r>
    </w:p>
    <w:p w:rsidR="00000000" w:rsidDel="00000000" w:rsidP="00000000" w:rsidRDefault="00000000" w:rsidRPr="00000000" w14:paraId="0000000E">
      <w:pPr>
        <w:shd w:fill="ffffff" w:val="clear"/>
        <w:jc w:val="both"/>
        <w:rPr/>
      </w:pPr>
      <w:r w:rsidDel="00000000" w:rsidR="00000000" w:rsidRPr="00000000">
        <w:rPr>
          <w:rtl w:val="0"/>
        </w:rPr>
        <w:t xml:space="preserve">Grupo Vidanta ha sido reconocido por el Tianguis Turístico en ediciones anteriores por su constante contribución a la profesionalización de quienes colaboran en sus complejos turísticos, elevando los estándares de calidad y impulsando a otros a ser mejores, además de su alto compromiso con el desarrollo económico de las comunidades donde opera, así como con el cuidado del medio ambiente y el mantenimiento de las certificaciones o programas para minimizar su impacto ambiental. </w:t>
      </w:r>
    </w:p>
    <w:p w:rsidR="00000000" w:rsidDel="00000000" w:rsidP="00000000" w:rsidRDefault="00000000" w:rsidRPr="00000000" w14:paraId="0000000F">
      <w:pPr>
        <w:shd w:fill="ffffff" w:val="clear"/>
        <w:jc w:val="both"/>
        <w:rPr/>
      </w:pPr>
      <w:r w:rsidDel="00000000" w:rsidR="00000000" w:rsidRPr="00000000">
        <w:rPr>
          <w:rtl w:val="0"/>
        </w:rPr>
        <w:t xml:space="preserve"> </w:t>
      </w:r>
    </w:p>
    <w:p w:rsidR="00000000" w:rsidDel="00000000" w:rsidP="00000000" w:rsidRDefault="00000000" w:rsidRPr="00000000" w14:paraId="00000010">
      <w:pPr>
        <w:jc w:val="both"/>
        <w:rPr/>
      </w:pPr>
      <w:bookmarkStart w:colFirst="0" w:colLast="0" w:name="_1fob9te" w:id="2"/>
      <w:bookmarkEnd w:id="2"/>
      <w:r w:rsidDel="00000000" w:rsidR="00000000" w:rsidRPr="00000000">
        <w:rPr>
          <w:rtl w:val="0"/>
        </w:rPr>
        <w:t xml:space="preserve">Así, Grupo Vidanta tiene un sinnúmero de reconocimientos a lo largo de su historia, desde </w:t>
      </w:r>
      <w:r w:rsidDel="00000000" w:rsidR="00000000" w:rsidRPr="00000000">
        <w:rPr>
          <w:i w:val="1"/>
          <w:rtl w:val="0"/>
        </w:rPr>
        <w:t xml:space="preserve">Great Place to Work®</w:t>
      </w:r>
      <w:r w:rsidDel="00000000" w:rsidR="00000000" w:rsidRPr="00000000">
        <w:rPr>
          <w:rtl w:val="0"/>
        </w:rPr>
        <w:t xml:space="preserve">, certificaciones </w:t>
      </w:r>
      <w:r w:rsidDel="00000000" w:rsidR="00000000" w:rsidRPr="00000000">
        <w:rPr>
          <w:i w:val="1"/>
          <w:rtl w:val="0"/>
        </w:rPr>
        <w:t xml:space="preserve">EarthCheck</w:t>
      </w:r>
      <w:r w:rsidDel="00000000" w:rsidR="00000000" w:rsidRPr="00000000">
        <w:rPr>
          <w:rtl w:val="0"/>
        </w:rPr>
        <w:t xml:space="preserve"> y el </w:t>
      </w:r>
      <w:r w:rsidDel="00000000" w:rsidR="00000000" w:rsidRPr="00000000">
        <w:rPr>
          <w:i w:val="1"/>
          <w:rtl w:val="0"/>
        </w:rPr>
        <w:t xml:space="preserve">Distintivo S</w:t>
      </w:r>
      <w:r w:rsidDel="00000000" w:rsidR="00000000" w:rsidRPr="00000000">
        <w:rPr>
          <w:rtl w:val="0"/>
        </w:rPr>
        <w:t xml:space="preserve"> para sus diferentes destinos, hasta el </w:t>
      </w:r>
      <w:r w:rsidDel="00000000" w:rsidR="00000000" w:rsidRPr="00000000">
        <w:rPr>
          <w:i w:val="1"/>
          <w:rtl w:val="0"/>
        </w:rPr>
        <w:t xml:space="preserve">Distintivo de Empresa Socialmente Responsable</w:t>
      </w:r>
      <w:r w:rsidDel="00000000" w:rsidR="00000000" w:rsidRPr="00000000">
        <w:rPr>
          <w:rtl w:val="0"/>
        </w:rPr>
        <w:t xml:space="preserve">, otorgado por el Centro Mexicano para la Filantropía (CEMEFI). Además, creó la Fundación Vidanta que promueve el desarrollo económico y social de Latinoamérica a través de su premio anual de nombre homónimo y que este año celebra su décima edición, el cual tiene la finalidad de reconocer o apoyar trabajos sobresalientes y originales que se realizan en América Latina y el Caribe para reducir pobreza, desigualdad y combatir la discriminación.</w:t>
      </w:r>
    </w:p>
    <w:p w:rsidR="00000000" w:rsidDel="00000000" w:rsidP="00000000" w:rsidRDefault="00000000" w:rsidRPr="00000000" w14:paraId="00000011">
      <w:pPr>
        <w:jc w:val="both"/>
        <w:rPr/>
      </w:pPr>
      <w:bookmarkStart w:colFirst="0" w:colLast="0" w:name="_3znysh7" w:id="3"/>
      <w:bookmarkEnd w:id="3"/>
      <w:r w:rsidDel="00000000" w:rsidR="00000000" w:rsidRPr="00000000">
        <w:rPr>
          <w:rtl w:val="0"/>
        </w:rPr>
      </w:r>
    </w:p>
    <w:p w:rsidR="00000000" w:rsidDel="00000000" w:rsidP="00000000" w:rsidRDefault="00000000" w:rsidRPr="00000000" w14:paraId="00000012">
      <w:pPr>
        <w:jc w:val="both"/>
        <w:rPr/>
      </w:pPr>
      <w:bookmarkStart w:colFirst="0" w:colLast="0" w:name="_2et92p0" w:id="4"/>
      <w:bookmarkEnd w:id="4"/>
      <w:r w:rsidDel="00000000" w:rsidR="00000000" w:rsidRPr="00000000">
        <w:rPr>
          <w:rtl w:val="0"/>
        </w:rPr>
        <w:t xml:space="preserve">Todo lo anterior, hace que la presencia de Grupo Vidanta en el Tianguis Turístico Acapulco 2019, sea de gran importancia debido a la extraordinaria labor que a través de los años, lo han convertido en el máximo exponente de la industria turística en México.</w:t>
      </w:r>
    </w:p>
    <w:p w:rsidR="00000000" w:rsidDel="00000000" w:rsidP="00000000" w:rsidRDefault="00000000" w:rsidRPr="00000000" w14:paraId="00000013">
      <w:pPr>
        <w:jc w:val="both"/>
        <w:rPr/>
      </w:pPr>
      <w:bookmarkStart w:colFirst="0" w:colLast="0" w:name="_tyjcwt" w:id="5"/>
      <w:bookmarkEnd w:id="5"/>
      <w:r w:rsidDel="00000000" w:rsidR="00000000" w:rsidRPr="00000000">
        <w:rPr>
          <w:rtl w:val="0"/>
        </w:rPr>
      </w:r>
    </w:p>
    <w:p w:rsidR="00000000" w:rsidDel="00000000" w:rsidP="00000000" w:rsidRDefault="00000000" w:rsidRPr="00000000" w14:paraId="00000014">
      <w:pPr>
        <w:spacing w:line="240" w:lineRule="auto"/>
        <w:jc w:val="center"/>
        <w:rPr>
          <w:rFonts w:ascii="Century Gothic" w:cs="Century Gothic" w:eastAsia="Century Gothic" w:hAnsi="Century Gothic"/>
          <w:sz w:val="24"/>
          <w:szCs w:val="24"/>
          <w:highlight w:val="white"/>
        </w:rPr>
      </w:pPr>
      <w:bookmarkStart w:colFirst="0" w:colLast="0" w:name="_3dy6vkm" w:id="6"/>
      <w:bookmarkEnd w:id="6"/>
      <w:r w:rsidDel="00000000" w:rsidR="00000000" w:rsidRPr="00000000">
        <w:rPr>
          <w:rFonts w:ascii="Century Gothic" w:cs="Century Gothic" w:eastAsia="Century Gothic" w:hAnsi="Century Gothic"/>
          <w:sz w:val="24"/>
          <w:szCs w:val="24"/>
          <w:highlight w:val="white"/>
          <w:rtl w:val="0"/>
        </w:rPr>
        <w:t xml:space="preserve">###</w:t>
      </w:r>
    </w:p>
    <w:p w:rsidR="00000000" w:rsidDel="00000000" w:rsidP="00000000" w:rsidRDefault="00000000" w:rsidRPr="00000000" w14:paraId="00000015">
      <w:pPr>
        <w:spacing w:line="240" w:lineRule="auto"/>
        <w:jc w:val="both"/>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16">
      <w:pPr>
        <w:spacing w:line="240" w:lineRule="auto"/>
        <w:jc w:val="both"/>
        <w:rPr>
          <w:b w:val="1"/>
          <w:sz w:val="18"/>
          <w:szCs w:val="18"/>
          <w:highlight w:val="white"/>
        </w:rPr>
      </w:pPr>
      <w:r w:rsidDel="00000000" w:rsidR="00000000" w:rsidRPr="00000000">
        <w:rPr>
          <w:b w:val="1"/>
          <w:sz w:val="18"/>
          <w:szCs w:val="18"/>
          <w:highlight w:val="white"/>
          <w:rtl w:val="0"/>
        </w:rPr>
        <w:t xml:space="preserve">Acerca de Grupo Vidanta</w:t>
      </w:r>
    </w:p>
    <w:p w:rsidR="00000000" w:rsidDel="00000000" w:rsidP="00000000" w:rsidRDefault="00000000" w:rsidRPr="00000000" w14:paraId="00000017">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8">
      <w:pPr>
        <w:spacing w:line="240" w:lineRule="auto"/>
        <w:jc w:val="both"/>
        <w:rPr>
          <w:sz w:val="18"/>
          <w:szCs w:val="18"/>
          <w:highlight w:val="white"/>
        </w:rPr>
      </w:pPr>
      <w:r w:rsidDel="00000000" w:rsidR="00000000" w:rsidRPr="00000000">
        <w:rPr>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9">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A">
      <w:pPr>
        <w:spacing w:line="240" w:lineRule="auto"/>
        <w:jc w:val="both"/>
        <w:rPr>
          <w:sz w:val="18"/>
          <w:szCs w:val="18"/>
          <w:highlight w:val="white"/>
        </w:rPr>
      </w:pPr>
      <w:r w:rsidDel="00000000" w:rsidR="00000000" w:rsidRPr="00000000">
        <w:rPr>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B">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C">
      <w:pPr>
        <w:spacing w:line="240" w:lineRule="auto"/>
        <w:jc w:val="both"/>
        <w:rPr>
          <w:sz w:val="18"/>
          <w:szCs w:val="18"/>
          <w:highlight w:val="white"/>
        </w:rPr>
      </w:pPr>
      <w:r w:rsidDel="00000000" w:rsidR="00000000" w:rsidRPr="00000000">
        <w:rPr>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D">
      <w:pPr>
        <w:spacing w:line="240" w:lineRule="auto"/>
        <w:jc w:val="both"/>
        <w:rPr>
          <w:color w:val="3c78d8"/>
          <w:sz w:val="18"/>
          <w:szCs w:val="18"/>
        </w:rPr>
      </w:pPr>
      <w:r w:rsidDel="00000000" w:rsidR="00000000" w:rsidRPr="00000000">
        <w:rPr>
          <w:rtl w:val="0"/>
        </w:rPr>
      </w:r>
    </w:p>
    <w:p w:rsidR="00000000" w:rsidDel="00000000" w:rsidP="00000000" w:rsidRDefault="00000000" w:rsidRPr="00000000" w14:paraId="0000001E">
      <w:pPr>
        <w:spacing w:line="240" w:lineRule="auto"/>
        <w:jc w:val="both"/>
        <w:rPr>
          <w:sz w:val="18"/>
          <w:szCs w:val="18"/>
          <w:highlight w:val="white"/>
        </w:rPr>
      </w:pPr>
      <w:r w:rsidDel="00000000" w:rsidR="00000000" w:rsidRPr="00000000">
        <w:rPr>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F">
      <w:pPr>
        <w:spacing w:line="240" w:lineRule="auto"/>
        <w:jc w:val="both"/>
        <w:rPr>
          <w:color w:val="0000ff"/>
          <w:sz w:val="18"/>
          <w:szCs w:val="18"/>
          <w:highlight w:val="white"/>
        </w:rPr>
      </w:pPr>
      <w:r w:rsidDel="00000000" w:rsidR="00000000" w:rsidRPr="00000000">
        <w:rPr>
          <w:rtl w:val="0"/>
        </w:rPr>
      </w:r>
    </w:p>
    <w:p w:rsidR="00000000" w:rsidDel="00000000" w:rsidP="00000000" w:rsidRDefault="00000000" w:rsidRPr="00000000" w14:paraId="00000020">
      <w:pPr>
        <w:spacing w:line="240" w:lineRule="auto"/>
        <w:jc w:val="both"/>
        <w:rPr>
          <w:sz w:val="18"/>
          <w:szCs w:val="18"/>
          <w:highlight w:val="white"/>
        </w:rPr>
      </w:pPr>
      <w:r w:rsidDel="00000000" w:rsidR="00000000" w:rsidRPr="00000000">
        <w:rPr>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21">
      <w:pPr>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22">
      <w:pPr>
        <w:spacing w:after="200" w:line="240" w:lineRule="auto"/>
        <w:jc w:val="both"/>
        <w:rPr>
          <w:sz w:val="18"/>
          <w:szCs w:val="18"/>
          <w:highlight w:val="white"/>
        </w:rPr>
      </w:pPr>
      <w:r w:rsidDel="00000000" w:rsidR="00000000" w:rsidRPr="00000000">
        <w:rPr>
          <w:sz w:val="18"/>
          <w:szCs w:val="18"/>
          <w:rtl w:val="0"/>
        </w:rPr>
        <w:t xml:space="preserve">Para obtener más información, visite</w:t>
      </w:r>
      <w:hyperlink r:id="rId6">
        <w:r w:rsidDel="00000000" w:rsidR="00000000" w:rsidRPr="00000000">
          <w:rPr>
            <w:sz w:val="18"/>
            <w:szCs w:val="18"/>
            <w:rtl w:val="0"/>
          </w:rPr>
          <w:t xml:space="preserve"> </w:t>
        </w:r>
      </w:hyperlink>
      <w:hyperlink r:id="rId7">
        <w:r w:rsidDel="00000000" w:rsidR="00000000" w:rsidRPr="00000000">
          <w:rPr>
            <w:color w:val="00b0f0"/>
            <w:sz w:val="18"/>
            <w:szCs w:val="18"/>
            <w:rtl w:val="0"/>
          </w:rPr>
          <w:t xml:space="preserve">www.GrupoVidanta.com</w:t>
        </w:r>
      </w:hyperlink>
      <w:r w:rsidDel="00000000" w:rsidR="00000000" w:rsidRPr="00000000">
        <w:rPr>
          <w:color w:val="00b0f0"/>
          <w:sz w:val="18"/>
          <w:szCs w:val="18"/>
          <w:rtl w:val="0"/>
        </w:rPr>
        <w:t xml:space="preserve">.</w:t>
      </w:r>
      <w:r w:rsidDel="00000000" w:rsidR="00000000" w:rsidRPr="00000000">
        <w:rPr>
          <w:rtl w:val="0"/>
        </w:rPr>
      </w:r>
    </w:p>
    <w:p w:rsidR="00000000" w:rsidDel="00000000" w:rsidP="00000000" w:rsidRDefault="00000000" w:rsidRPr="00000000" w14:paraId="00000023">
      <w:pPr>
        <w:spacing w:line="240" w:lineRule="auto"/>
        <w:rPr>
          <w:sz w:val="18"/>
          <w:szCs w:val="18"/>
        </w:rPr>
      </w:pPr>
      <w:r w:rsidDel="00000000" w:rsidR="00000000" w:rsidRPr="00000000">
        <w:rPr>
          <w:rtl w:val="0"/>
        </w:rPr>
      </w:r>
    </w:p>
    <w:p w:rsidR="00000000" w:rsidDel="00000000" w:rsidP="00000000" w:rsidRDefault="00000000" w:rsidRPr="00000000" w14:paraId="00000024">
      <w:pPr>
        <w:widowControl w:val="0"/>
        <w:spacing w:line="240" w:lineRule="auto"/>
        <w:jc w:val="both"/>
        <w:rPr>
          <w:b w:val="1"/>
          <w:sz w:val="20"/>
          <w:szCs w:val="20"/>
        </w:rPr>
      </w:pPr>
      <w:bookmarkStart w:colFirst="0" w:colLast="0" w:name="_1t3h5sf" w:id="7"/>
      <w:bookmarkEnd w:id="7"/>
      <w:r w:rsidDel="00000000" w:rsidR="00000000" w:rsidRPr="00000000">
        <w:rPr>
          <w:b w:val="1"/>
          <w:sz w:val="20"/>
          <w:szCs w:val="20"/>
          <w:rtl w:val="0"/>
        </w:rPr>
        <w:t xml:space="preserve">CONTACTO</w:t>
      </w:r>
    </w:p>
    <w:p w:rsidR="00000000" w:rsidDel="00000000" w:rsidP="00000000" w:rsidRDefault="00000000" w:rsidRPr="00000000" w14:paraId="0000002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jc w:val="both"/>
        <w:rPr>
          <w:sz w:val="20"/>
          <w:szCs w:val="20"/>
        </w:rPr>
      </w:pPr>
      <w:r w:rsidDel="00000000" w:rsidR="00000000" w:rsidRPr="00000000">
        <w:rPr>
          <w:sz w:val="20"/>
          <w:szCs w:val="20"/>
          <w:rtl w:val="0"/>
        </w:rPr>
        <w:t xml:space="preserve">Sandy Machuca</w:t>
      </w:r>
    </w:p>
    <w:p w:rsidR="00000000" w:rsidDel="00000000" w:rsidP="00000000" w:rsidRDefault="00000000" w:rsidRPr="00000000" w14:paraId="00000027">
      <w:pPr>
        <w:widowControl w:val="0"/>
        <w:spacing w:line="240" w:lineRule="auto"/>
        <w:jc w:val="both"/>
        <w:rPr>
          <w:sz w:val="20"/>
          <w:szCs w:val="20"/>
        </w:rPr>
      </w:pPr>
      <w:hyperlink r:id="rId8">
        <w:r w:rsidDel="00000000" w:rsidR="00000000" w:rsidRPr="00000000">
          <w:rPr>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8">
      <w:pPr>
        <w:widowControl w:val="0"/>
        <w:spacing w:line="240" w:lineRule="auto"/>
        <w:jc w:val="both"/>
        <w:rPr>
          <w:sz w:val="20"/>
          <w:szCs w:val="20"/>
        </w:rPr>
      </w:pPr>
      <w:r w:rsidDel="00000000" w:rsidR="00000000" w:rsidRPr="00000000">
        <w:rPr>
          <w:sz w:val="20"/>
          <w:szCs w:val="20"/>
          <w:rtl w:val="0"/>
        </w:rPr>
        <w:t xml:space="preserve">Public Relations Manager</w:t>
      </w:r>
    </w:p>
    <w:p w:rsidR="00000000" w:rsidDel="00000000" w:rsidP="00000000" w:rsidRDefault="00000000" w:rsidRPr="00000000" w14:paraId="00000029">
      <w:pPr>
        <w:widowControl w:val="0"/>
        <w:spacing w:line="240" w:lineRule="auto"/>
        <w:jc w:val="both"/>
        <w:rPr>
          <w:sz w:val="20"/>
          <w:szCs w:val="20"/>
        </w:rPr>
      </w:pPr>
      <w:r w:rsidDel="00000000" w:rsidR="00000000" w:rsidRPr="00000000">
        <w:rPr>
          <w:sz w:val="20"/>
          <w:szCs w:val="20"/>
          <w:rtl w:val="0"/>
        </w:rPr>
        <w:t xml:space="preserve">Of. 6392.1100 Ext. 3415</w:t>
      </w:r>
    </w:p>
    <w:p w:rsidR="00000000" w:rsidDel="00000000" w:rsidP="00000000" w:rsidRDefault="00000000" w:rsidRPr="00000000" w14:paraId="0000002A">
      <w:pPr>
        <w:widowControl w:val="0"/>
        <w:spacing w:line="240" w:lineRule="auto"/>
        <w:jc w:val="both"/>
        <w:rPr>
          <w:sz w:val="20"/>
          <w:szCs w:val="20"/>
        </w:rPr>
      </w:pPr>
      <w:r w:rsidDel="00000000" w:rsidR="00000000" w:rsidRPr="00000000">
        <w:rPr>
          <w:sz w:val="20"/>
          <w:szCs w:val="20"/>
          <w:rtl w:val="0"/>
        </w:rPr>
        <w:t xml:space="preserve">M: 04455 2270 5536</w:t>
      </w:r>
    </w:p>
    <w:p w:rsidR="00000000" w:rsidDel="00000000" w:rsidP="00000000" w:rsidRDefault="00000000" w:rsidRPr="00000000" w14:paraId="0000002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jc w:val="both"/>
        <w:rPr>
          <w:sz w:val="20"/>
          <w:szCs w:val="20"/>
        </w:rPr>
      </w:pPr>
      <w:r w:rsidDel="00000000" w:rsidR="00000000" w:rsidRPr="00000000">
        <w:rPr>
          <w:sz w:val="20"/>
          <w:szCs w:val="20"/>
          <w:rtl w:val="0"/>
        </w:rPr>
        <w:t xml:space="preserve">Peisha Yee</w:t>
      </w:r>
    </w:p>
    <w:p w:rsidR="00000000" w:rsidDel="00000000" w:rsidP="00000000" w:rsidRDefault="00000000" w:rsidRPr="00000000" w14:paraId="0000002D">
      <w:pPr>
        <w:widowControl w:val="0"/>
        <w:spacing w:line="240" w:lineRule="auto"/>
        <w:jc w:val="both"/>
        <w:rPr>
          <w:sz w:val="20"/>
          <w:szCs w:val="20"/>
        </w:rPr>
      </w:pPr>
      <w:hyperlink r:id="rId9">
        <w:r w:rsidDel="00000000" w:rsidR="00000000" w:rsidRPr="00000000">
          <w:rPr>
            <w:color w:val="1155cc"/>
            <w:sz w:val="20"/>
            <w:szCs w:val="20"/>
            <w:u w:val="single"/>
            <w:rtl w:val="0"/>
          </w:rPr>
          <w:t xml:space="preserve">peisha.yee@another.co</w:t>
        </w:r>
      </w:hyperlink>
      <w:r w:rsidDel="00000000" w:rsidR="00000000" w:rsidRPr="00000000">
        <w:rPr>
          <w:rtl w:val="0"/>
        </w:rPr>
      </w:r>
    </w:p>
    <w:p w:rsidR="00000000" w:rsidDel="00000000" w:rsidP="00000000" w:rsidRDefault="00000000" w:rsidRPr="00000000" w14:paraId="0000002E">
      <w:pPr>
        <w:widowControl w:val="0"/>
        <w:spacing w:line="240" w:lineRule="auto"/>
        <w:jc w:val="both"/>
        <w:rPr>
          <w:sz w:val="20"/>
          <w:szCs w:val="20"/>
        </w:rPr>
      </w:pPr>
      <w:r w:rsidDel="00000000" w:rsidR="00000000" w:rsidRPr="00000000">
        <w:rPr>
          <w:sz w:val="20"/>
          <w:szCs w:val="20"/>
          <w:rtl w:val="0"/>
        </w:rPr>
        <w:t xml:space="preserve">Sr. Account Executive</w:t>
      </w:r>
    </w:p>
    <w:p w:rsidR="00000000" w:rsidDel="00000000" w:rsidP="00000000" w:rsidRDefault="00000000" w:rsidRPr="00000000" w14:paraId="0000002F">
      <w:pPr>
        <w:widowControl w:val="0"/>
        <w:spacing w:line="240" w:lineRule="auto"/>
        <w:jc w:val="both"/>
        <w:rPr>
          <w:sz w:val="20"/>
          <w:szCs w:val="20"/>
        </w:rPr>
      </w:pPr>
      <w:r w:rsidDel="00000000" w:rsidR="00000000" w:rsidRPr="00000000">
        <w:rPr>
          <w:sz w:val="20"/>
          <w:szCs w:val="20"/>
          <w:rtl w:val="0"/>
        </w:rPr>
        <w:t xml:space="preserve">Of. 6392.1100 Ext. 3415</w:t>
      </w:r>
    </w:p>
    <w:p w:rsidR="00000000" w:rsidDel="00000000" w:rsidP="00000000" w:rsidRDefault="00000000" w:rsidRPr="00000000" w14:paraId="00000030">
      <w:pPr>
        <w:widowControl w:val="0"/>
        <w:spacing w:line="240" w:lineRule="auto"/>
        <w:jc w:val="both"/>
        <w:rPr>
          <w:sz w:val="20"/>
          <w:szCs w:val="20"/>
        </w:rPr>
      </w:pPr>
      <w:r w:rsidDel="00000000" w:rsidR="00000000" w:rsidRPr="00000000">
        <w:rPr>
          <w:sz w:val="20"/>
          <w:szCs w:val="20"/>
          <w:rtl w:val="0"/>
        </w:rPr>
        <w:t xml:space="preserve">M: 04455 3426 9236</w:t>
      </w:r>
    </w:p>
    <w:p w:rsidR="00000000" w:rsidDel="00000000" w:rsidP="00000000" w:rsidRDefault="00000000" w:rsidRPr="00000000" w14:paraId="00000031">
      <w:pPr>
        <w:shd w:fill="ffffff" w:val="clear"/>
        <w:jc w:val="both"/>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1409700</wp:posOffset>
          </wp:positionH>
          <wp:positionV relativeFrom="paragraph">
            <wp:posOffset>-85722</wp:posOffset>
          </wp:positionV>
          <wp:extent cx="2671200" cy="813600"/>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1200" cy="813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hyperlink" Target="http://www.grupovidanta.com/" TargetMode="External"/><Relationship Id="rId7" Type="http://schemas.openxmlformats.org/officeDocument/2006/relationships/hyperlink" Target="http://www.grupo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