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402A7" w14:textId="6F4E44E1" w:rsidR="00F60A98" w:rsidRPr="003D4A39" w:rsidRDefault="003D4A39" w:rsidP="00AD705C">
      <w:pPr>
        <w:pStyle w:val="PressRelease"/>
        <w:ind w:right="134"/>
        <w:rPr>
          <w:lang w:val="fr-BE"/>
        </w:rPr>
      </w:pPr>
      <w:r w:rsidRPr="003D4A39">
        <w:rPr>
          <w:lang w:val="fr-BE"/>
        </w:rPr>
        <w:t>COMMUNIQUE DE PRESSE</w:t>
      </w:r>
      <w:r w:rsidR="00F60A98" w:rsidRPr="003D4A39">
        <w:rPr>
          <w:lang w:val="fr-BE"/>
        </w:rPr>
        <w:br/>
      </w:r>
      <w:r w:rsidR="008B4681">
        <w:rPr>
          <w:lang w:val="fr-BE"/>
        </w:rPr>
        <w:t>11</w:t>
      </w:r>
      <w:r w:rsidR="002547E9" w:rsidRPr="003D4A39">
        <w:rPr>
          <w:lang w:val="fr-BE"/>
        </w:rPr>
        <w:t xml:space="preserve"> </w:t>
      </w:r>
      <w:r w:rsidR="008B4681">
        <w:rPr>
          <w:lang w:val="fr-BE"/>
        </w:rPr>
        <w:t>décem</w:t>
      </w:r>
      <w:r w:rsidRPr="003D4A39">
        <w:rPr>
          <w:lang w:val="fr-BE"/>
        </w:rPr>
        <w:t>b</w:t>
      </w:r>
      <w:r w:rsidR="008F3717" w:rsidRPr="003D4A39">
        <w:rPr>
          <w:lang w:val="fr-BE"/>
        </w:rPr>
        <w:t>r</w:t>
      </w:r>
      <w:r w:rsidRPr="003D4A39">
        <w:rPr>
          <w:lang w:val="fr-BE"/>
        </w:rPr>
        <w:t>e</w:t>
      </w:r>
      <w:r w:rsidR="002547E9" w:rsidRPr="003D4A39">
        <w:rPr>
          <w:lang w:val="fr-BE"/>
        </w:rPr>
        <w:t xml:space="preserve"> 2018</w:t>
      </w:r>
    </w:p>
    <w:p w14:paraId="106517E6" w14:textId="446357AD" w:rsidR="008B4681" w:rsidRDefault="008B4681" w:rsidP="008B4681">
      <w:pPr>
        <w:rPr>
          <w:b/>
          <w:sz w:val="40"/>
          <w:szCs w:val="48"/>
          <w:lang w:val="fr-BE"/>
        </w:rPr>
      </w:pPr>
      <w:r w:rsidRPr="008B4681">
        <w:rPr>
          <w:b/>
          <w:sz w:val="40"/>
          <w:szCs w:val="48"/>
          <w:lang w:val="fr-BE"/>
        </w:rPr>
        <w:t>Perspectives économiques et boursières d’ING Belgique :</w:t>
      </w:r>
      <w:r w:rsidR="005913D6">
        <w:rPr>
          <w:b/>
          <w:sz w:val="40"/>
          <w:szCs w:val="48"/>
          <w:lang w:val="fr-BE"/>
        </w:rPr>
        <w:t xml:space="preserve"> </w:t>
      </w:r>
      <w:r w:rsidRPr="008B4681">
        <w:rPr>
          <w:b/>
          <w:sz w:val="40"/>
          <w:szCs w:val="48"/>
          <w:lang w:val="fr-BE"/>
        </w:rPr>
        <w:t>La fin de la stabilité</w:t>
      </w:r>
    </w:p>
    <w:p w14:paraId="41091702" w14:textId="77777777" w:rsidR="008B4681" w:rsidRDefault="008B4681" w:rsidP="008B4681">
      <w:pPr>
        <w:rPr>
          <w:bCs/>
          <w:szCs w:val="20"/>
          <w:lang w:val="fr-BE"/>
        </w:rPr>
      </w:pPr>
    </w:p>
    <w:p w14:paraId="485785BF" w14:textId="716A663B" w:rsidR="008B4681" w:rsidRPr="008B4681" w:rsidRDefault="008B4681" w:rsidP="008B4681">
      <w:pPr>
        <w:rPr>
          <w:b/>
          <w:sz w:val="40"/>
          <w:szCs w:val="48"/>
          <w:lang w:val="fr-BE"/>
        </w:rPr>
      </w:pPr>
      <w:r w:rsidRPr="001D178A">
        <w:rPr>
          <w:bCs/>
          <w:szCs w:val="20"/>
          <w:lang w:val="fr-BE"/>
        </w:rPr>
        <w:t xml:space="preserve">“Les cycles de croissance meurent rarement de vieillesse” avait il y a quelques années conclu une étude de la </w:t>
      </w:r>
      <w:proofErr w:type="spellStart"/>
      <w:r w:rsidRPr="001D178A">
        <w:rPr>
          <w:bCs/>
          <w:szCs w:val="20"/>
          <w:lang w:val="fr-BE"/>
        </w:rPr>
        <w:t>Federal</w:t>
      </w:r>
      <w:proofErr w:type="spellEnd"/>
      <w:r w:rsidRPr="001D178A">
        <w:rPr>
          <w:bCs/>
          <w:szCs w:val="20"/>
          <w:lang w:val="fr-BE"/>
        </w:rPr>
        <w:t xml:space="preserve"> Reserve. Mais selon Peter Vanden Houte, Chief Economist d’ING Belgique, il est clair qu</w:t>
      </w:r>
      <w:r w:rsidR="007A34ED">
        <w:rPr>
          <w:bCs/>
          <w:szCs w:val="20"/>
          <w:lang w:val="fr-BE"/>
        </w:rPr>
        <w:t xml:space="preserve">e </w:t>
      </w:r>
      <w:r w:rsidRPr="001D178A">
        <w:rPr>
          <w:bCs/>
          <w:szCs w:val="20"/>
          <w:lang w:val="fr-BE"/>
        </w:rPr>
        <w:t>plus</w:t>
      </w:r>
      <w:r w:rsidR="007A34ED">
        <w:rPr>
          <w:bCs/>
          <w:szCs w:val="20"/>
          <w:lang w:val="fr-BE"/>
        </w:rPr>
        <w:t xml:space="preserve"> </w:t>
      </w:r>
      <w:r w:rsidR="007A34ED" w:rsidRPr="001D178A">
        <w:rPr>
          <w:bCs/>
          <w:szCs w:val="20"/>
          <w:lang w:val="fr-BE"/>
        </w:rPr>
        <w:t>la période d’expansion</w:t>
      </w:r>
      <w:r w:rsidRPr="001D178A">
        <w:rPr>
          <w:bCs/>
          <w:szCs w:val="20"/>
          <w:lang w:val="fr-BE"/>
        </w:rPr>
        <w:t xml:space="preserve"> </w:t>
      </w:r>
      <w:r w:rsidR="007A34ED">
        <w:rPr>
          <w:bCs/>
          <w:szCs w:val="20"/>
          <w:lang w:val="fr-BE"/>
        </w:rPr>
        <w:t>est longue</w:t>
      </w:r>
      <w:r w:rsidRPr="001D178A">
        <w:rPr>
          <w:bCs/>
          <w:szCs w:val="20"/>
          <w:lang w:val="fr-BE"/>
        </w:rPr>
        <w:t xml:space="preserve">, plus le risque </w:t>
      </w:r>
      <w:r w:rsidR="007A34ED">
        <w:rPr>
          <w:bCs/>
          <w:szCs w:val="20"/>
          <w:lang w:val="fr-BE"/>
        </w:rPr>
        <w:t xml:space="preserve">est grand </w:t>
      </w:r>
      <w:r w:rsidRPr="001D178A">
        <w:rPr>
          <w:bCs/>
          <w:szCs w:val="20"/>
          <w:lang w:val="fr-BE"/>
        </w:rPr>
        <w:t xml:space="preserve">de voir se creuser des déséquilibres qui rendent le cycle économique plus fragile. Aux Etats-Unis, la forte hausse des dettes, principalement des entreprises, fait que </w:t>
      </w:r>
      <w:r w:rsidRPr="001D178A">
        <w:rPr>
          <w:b/>
          <w:bCs/>
          <w:szCs w:val="20"/>
          <w:lang w:val="fr-BE"/>
        </w:rPr>
        <w:t>la croissance de l’économie américaine est de plus en plus sensible à des taux d’intérêt élevés</w:t>
      </w:r>
      <w:r w:rsidRPr="001D178A">
        <w:rPr>
          <w:bCs/>
          <w:szCs w:val="20"/>
          <w:lang w:val="fr-BE"/>
        </w:rPr>
        <w:t xml:space="preserve">. Dans ce cadre, même si la </w:t>
      </w:r>
      <w:proofErr w:type="spellStart"/>
      <w:r w:rsidRPr="001D178A">
        <w:rPr>
          <w:bCs/>
          <w:szCs w:val="20"/>
          <w:lang w:val="fr-BE"/>
        </w:rPr>
        <w:t>Federal</w:t>
      </w:r>
      <w:proofErr w:type="spellEnd"/>
      <w:r w:rsidRPr="001D178A">
        <w:rPr>
          <w:bCs/>
          <w:szCs w:val="20"/>
          <w:lang w:val="fr-BE"/>
        </w:rPr>
        <w:t xml:space="preserve"> Reserve ne remonte plus beaucoup son taux, un affaiblissement de la croissance pour la fin de l’année 2019 apparaît de plus en plus probable.</w:t>
      </w:r>
    </w:p>
    <w:p w14:paraId="60B2DE28" w14:textId="77777777" w:rsidR="008B4681" w:rsidRPr="001D178A" w:rsidRDefault="008B4681" w:rsidP="008B4681">
      <w:pPr>
        <w:pStyle w:val="Boilerplate"/>
        <w:jc w:val="both"/>
        <w:rPr>
          <w:rFonts w:ascii="ING Me" w:hAnsi="ING Me"/>
          <w:bCs/>
          <w:color w:val="auto"/>
          <w:sz w:val="20"/>
          <w:szCs w:val="20"/>
          <w:lang w:val="fr-BE"/>
        </w:rPr>
      </w:pPr>
      <w:r w:rsidRPr="001D178A">
        <w:rPr>
          <w:rFonts w:ascii="ING Me" w:hAnsi="ING Me"/>
          <w:b/>
          <w:bCs/>
          <w:color w:val="auto"/>
          <w:sz w:val="20"/>
          <w:szCs w:val="20"/>
          <w:lang w:val="fr-BE"/>
        </w:rPr>
        <w:t>Malheureusement, l’économie chinoise est, dans le même temps, aux abonnés absents</w:t>
      </w:r>
      <w:r w:rsidRPr="001D178A">
        <w:rPr>
          <w:rFonts w:ascii="ING Me" w:hAnsi="ING Me"/>
          <w:bCs/>
          <w:color w:val="auto"/>
          <w:sz w:val="20"/>
          <w:szCs w:val="20"/>
          <w:lang w:val="fr-BE"/>
        </w:rPr>
        <w:t xml:space="preserve">. Même si la guerre commerciale avec les Etats-Unis est en « stand-by » actuellement, la demande intérieure chinoise s’est affaiblie, bien que cela ne se reflète pas vraiment dans les chiffres officiels de croissance. Les autorités chinoises se montrent en outre plus prudentes en matière de mesures de relance car elles essaient de limiter le risque d’explosion de l’endettement. Par ailleurs, </w:t>
      </w:r>
      <w:r w:rsidRPr="001D178A">
        <w:rPr>
          <w:rFonts w:ascii="ING Me" w:hAnsi="ING Me"/>
          <w:b/>
          <w:bCs/>
          <w:color w:val="auto"/>
          <w:sz w:val="20"/>
          <w:szCs w:val="20"/>
          <w:lang w:val="fr-BE"/>
        </w:rPr>
        <w:t xml:space="preserve">une croissance plus limitée en Chine et des taux d’intérêt plus élevés aux Etats-Unis continueront de peser sur la conjoncture des pays émergents. </w:t>
      </w:r>
      <w:r w:rsidRPr="001D178A">
        <w:rPr>
          <w:rFonts w:ascii="ING Me" w:hAnsi="ING Me"/>
          <w:bCs/>
          <w:color w:val="auto"/>
          <w:sz w:val="20"/>
          <w:szCs w:val="20"/>
          <w:lang w:val="fr-BE"/>
        </w:rPr>
        <w:t xml:space="preserve">Cela se marque également dans des prix des matières premières qui sont orientés à la baisse. </w:t>
      </w:r>
    </w:p>
    <w:p w14:paraId="49018257" w14:textId="19E0D2FB" w:rsidR="008B4681" w:rsidRPr="001D178A" w:rsidRDefault="008B4681" w:rsidP="008B4681">
      <w:pPr>
        <w:pStyle w:val="Boilerplate"/>
        <w:jc w:val="both"/>
        <w:rPr>
          <w:rFonts w:ascii="ING Me" w:hAnsi="ING Me"/>
          <w:b/>
          <w:bCs/>
          <w:color w:val="auto"/>
          <w:sz w:val="20"/>
          <w:szCs w:val="20"/>
          <w:lang w:val="fr-BE"/>
        </w:rPr>
      </w:pPr>
      <w:r w:rsidRPr="001D178A">
        <w:rPr>
          <w:rFonts w:ascii="ING Me" w:hAnsi="ING Me"/>
          <w:bCs/>
          <w:color w:val="auto"/>
          <w:sz w:val="20"/>
          <w:szCs w:val="20"/>
          <w:lang w:val="fr-BE"/>
        </w:rPr>
        <w:t xml:space="preserve">Dans ce contexte, la croissance de la zone euro revient à sa (faible) vitesse de croisière. Bien que l’activité économique reste soutenue par la demande intérieure, </w:t>
      </w:r>
      <w:r w:rsidRPr="001D178A">
        <w:rPr>
          <w:rFonts w:ascii="ING Me" w:hAnsi="ING Me"/>
          <w:b/>
          <w:bCs/>
          <w:color w:val="auto"/>
          <w:sz w:val="20"/>
          <w:szCs w:val="20"/>
          <w:lang w:val="fr-BE"/>
        </w:rPr>
        <w:t>l’Europe ressent de plus en plus les effets d’un commerce mondial en ralentissement. « N’oubliez par ailleurs pas que l’euro se trouve actuellement à son niveau le plus élevé des neuf dernières années par rapport aux devises de ses partenaires commerciaux,»</w:t>
      </w:r>
      <w:r w:rsidRPr="001D178A">
        <w:rPr>
          <w:rFonts w:ascii="ING Me" w:hAnsi="ING Me"/>
          <w:bCs/>
          <w:color w:val="auto"/>
          <w:sz w:val="20"/>
          <w:szCs w:val="20"/>
          <w:lang w:val="fr-BE"/>
        </w:rPr>
        <w:t xml:space="preserve"> aime à rappeler Peter Vanden Houte. Le rythme de croissance tendrait donc à se replier quelque peu en 2019, ce qui inévitablement pose la question de la stratégie de sortie de la BCE. Concrètement, cela signifie que </w:t>
      </w:r>
      <w:r w:rsidRPr="001D178A">
        <w:rPr>
          <w:rFonts w:ascii="ING Me" w:hAnsi="ING Me"/>
          <w:b/>
          <w:bCs/>
          <w:color w:val="auto"/>
          <w:sz w:val="20"/>
          <w:szCs w:val="20"/>
          <w:lang w:val="fr-BE"/>
        </w:rPr>
        <w:t xml:space="preserve">les taux d’intérêt auront du mal à se relever dans les prochaines années. Il semble bien que 0% soit la nouvelle norme en matière de taux courts dans la zone euro. </w:t>
      </w:r>
    </w:p>
    <w:p w14:paraId="59F22D54" w14:textId="77777777" w:rsidR="008B4681" w:rsidRDefault="008B4681" w:rsidP="008B4681">
      <w:pPr>
        <w:pStyle w:val="Boilerplate"/>
        <w:spacing w:after="0"/>
        <w:jc w:val="both"/>
        <w:rPr>
          <w:rFonts w:ascii="ING Me" w:hAnsi="ING Me"/>
          <w:bCs/>
          <w:color w:val="auto"/>
          <w:sz w:val="20"/>
          <w:szCs w:val="20"/>
          <w:lang w:val="fr-BE"/>
        </w:rPr>
      </w:pPr>
      <w:r w:rsidRPr="001D178A">
        <w:rPr>
          <w:rFonts w:ascii="ING Me" w:hAnsi="ING Me"/>
          <w:bCs/>
          <w:color w:val="auto"/>
          <w:sz w:val="20"/>
          <w:szCs w:val="20"/>
          <w:lang w:val="fr-BE"/>
        </w:rPr>
        <w:t xml:space="preserve">A côté des problèmes liés au Brexit, le dossier italien continue d’embrumer les esprits. Certes, le fait que les Italiens ne veulent pas du tout sortir de l’euro est une bonne nouvelle. Cela devrait également pousser le gouvernement à chercher des compromis avec l’Europe. Ceci étant, l’Italie n’en demeure pas moins le talon d’Achille de la zone euro, et d’autant plus si l’économie fait du sur-place dans les prochaines années. </w:t>
      </w:r>
      <w:r w:rsidRPr="001D178A">
        <w:rPr>
          <w:rFonts w:ascii="ING Me" w:hAnsi="ING Me"/>
          <w:b/>
          <w:bCs/>
          <w:color w:val="auto"/>
          <w:sz w:val="20"/>
          <w:szCs w:val="20"/>
          <w:lang w:val="fr-BE"/>
        </w:rPr>
        <w:t>Puisqu’il ne faut pas attendre de forte avancée en matière d’intégration budgétaire, la BCE devra continuer à jouer les pompiers.</w:t>
      </w:r>
      <w:r w:rsidRPr="001D178A">
        <w:rPr>
          <w:rFonts w:ascii="ING Me" w:hAnsi="ING Me"/>
          <w:bCs/>
          <w:color w:val="auto"/>
          <w:sz w:val="20"/>
          <w:szCs w:val="20"/>
          <w:lang w:val="fr-BE"/>
        </w:rPr>
        <w:t xml:space="preserve"> Un nouveau TLTRO (financement de long terme pour le secteur bancaire) paraît à ce titre une option de plus en plus réaliste en 2019, de même qu’une longue période de réinvestissement du portefeuille obligataire de la BCE. Il n’est donc vraiment pas encore question de parler de « Business as </w:t>
      </w:r>
      <w:proofErr w:type="spellStart"/>
      <w:r w:rsidRPr="001D178A">
        <w:rPr>
          <w:rFonts w:ascii="ING Me" w:hAnsi="ING Me"/>
          <w:bCs/>
          <w:color w:val="auto"/>
          <w:sz w:val="20"/>
          <w:szCs w:val="20"/>
          <w:lang w:val="fr-BE"/>
        </w:rPr>
        <w:t>usual</w:t>
      </w:r>
      <w:proofErr w:type="spellEnd"/>
      <w:r w:rsidRPr="001D178A">
        <w:rPr>
          <w:rFonts w:ascii="ING Me" w:hAnsi="ING Me"/>
          <w:bCs/>
          <w:color w:val="auto"/>
          <w:sz w:val="20"/>
          <w:szCs w:val="20"/>
          <w:lang w:val="fr-BE"/>
        </w:rPr>
        <w:t xml:space="preserve"> » pour la politique monétaire.</w:t>
      </w:r>
    </w:p>
    <w:p w14:paraId="3AC1D4AB" w14:textId="77777777" w:rsidR="008B4681" w:rsidRDefault="008B4681" w:rsidP="008B4681">
      <w:pPr>
        <w:pStyle w:val="Boilerplate"/>
        <w:spacing w:after="0"/>
        <w:jc w:val="both"/>
        <w:rPr>
          <w:rFonts w:ascii="ING Me" w:hAnsi="ING Me"/>
          <w:bCs/>
          <w:color w:val="auto"/>
          <w:sz w:val="20"/>
          <w:szCs w:val="20"/>
          <w:lang w:val="fr-BE"/>
        </w:rPr>
      </w:pPr>
    </w:p>
    <w:p w14:paraId="7F539EBA" w14:textId="77777777" w:rsidR="008B4681" w:rsidRDefault="008B4681" w:rsidP="008B4681">
      <w:pPr>
        <w:pStyle w:val="Boilerplate"/>
        <w:spacing w:after="0"/>
        <w:jc w:val="both"/>
        <w:rPr>
          <w:rFonts w:ascii="ING Me" w:eastAsiaTheme="minorEastAsia" w:hAnsi="ING Me" w:cstheme="minorBidi"/>
          <w:b/>
          <w:bCs/>
          <w:color w:val="D7702D"/>
          <w:sz w:val="26"/>
          <w:szCs w:val="28"/>
          <w:lang w:val="fr-BE" w:eastAsia="en-US"/>
        </w:rPr>
      </w:pPr>
      <w:r w:rsidRPr="008B4681">
        <w:rPr>
          <w:rFonts w:ascii="ING Me" w:eastAsiaTheme="minorEastAsia" w:hAnsi="ING Me" w:cstheme="minorBidi"/>
          <w:b/>
          <w:bCs/>
          <w:color w:val="D7702D"/>
          <w:sz w:val="26"/>
          <w:szCs w:val="28"/>
          <w:lang w:val="fr-BE" w:eastAsia="en-US"/>
        </w:rPr>
        <w:t>Réduire la voilure sur les actifs à risque…</w:t>
      </w:r>
    </w:p>
    <w:p w14:paraId="2230BA3F" w14:textId="77777777" w:rsidR="008B4681" w:rsidRDefault="008B4681" w:rsidP="008B4681">
      <w:pPr>
        <w:pStyle w:val="Boilerplate"/>
        <w:spacing w:after="0"/>
        <w:jc w:val="both"/>
        <w:rPr>
          <w:rFonts w:ascii="ING Me" w:eastAsiaTheme="minorEastAsia" w:hAnsi="ING Me" w:cstheme="minorBidi"/>
          <w:b/>
          <w:bCs/>
          <w:color w:val="D7702D"/>
          <w:sz w:val="26"/>
          <w:szCs w:val="28"/>
          <w:lang w:val="fr-BE" w:eastAsia="en-US"/>
        </w:rPr>
      </w:pPr>
    </w:p>
    <w:p w14:paraId="20925EA6" w14:textId="77777777" w:rsidR="008B4681" w:rsidRDefault="008B4681" w:rsidP="008B4681">
      <w:pPr>
        <w:pStyle w:val="Boilerplate"/>
        <w:spacing w:after="0"/>
        <w:jc w:val="both"/>
        <w:rPr>
          <w:rFonts w:ascii="ING Me" w:hAnsi="ING Me"/>
          <w:sz w:val="20"/>
          <w:lang w:val="fr-BE"/>
        </w:rPr>
      </w:pPr>
      <w:r w:rsidRPr="003F4B7B">
        <w:rPr>
          <w:rFonts w:ascii="ING Me" w:hAnsi="ING Me" w:cs="Arial"/>
          <w:sz w:val="20"/>
          <w:lang w:val="fr-BE"/>
        </w:rPr>
        <w:t>Les marchés financiers ont-</w:t>
      </w:r>
      <w:r>
        <w:rPr>
          <w:rFonts w:ascii="ING Me" w:hAnsi="ING Me" w:cs="Arial"/>
          <w:sz w:val="20"/>
          <w:lang w:val="fr-BE"/>
        </w:rPr>
        <w:t xml:space="preserve">ils atteint un point de retournement </w:t>
      </w:r>
      <w:r w:rsidRPr="003F4B7B">
        <w:rPr>
          <w:rFonts w:ascii="ING Me" w:hAnsi="ING Me" w:cs="Arial"/>
          <w:sz w:val="20"/>
          <w:lang w:val="fr-BE"/>
        </w:rPr>
        <w:t xml:space="preserve">? </w:t>
      </w:r>
      <w:r>
        <w:rPr>
          <w:rFonts w:ascii="ING Me" w:hAnsi="ING Me" w:cs="Arial"/>
          <w:sz w:val="20"/>
          <w:lang w:val="fr-BE"/>
        </w:rPr>
        <w:t xml:space="preserve">A en juger par la piètre performance annuelle et la volatilité accrue des principaux actifs à risque (actions, obligations d’entreprises, secteur technologique, valeurs cycliques, matières premières …), il est fort probable que </w:t>
      </w:r>
      <w:r w:rsidRPr="003F4B7B">
        <w:rPr>
          <w:rFonts w:ascii="ING Me" w:hAnsi="ING Me" w:cs="Arial"/>
          <w:b/>
          <w:sz w:val="20"/>
          <w:lang w:val="fr-BE"/>
        </w:rPr>
        <w:t>le sommet du cycle haussier a été atteint en 2018</w:t>
      </w:r>
      <w:r>
        <w:rPr>
          <w:rFonts w:ascii="ING Me" w:hAnsi="ING Me" w:cs="Arial"/>
          <w:sz w:val="20"/>
          <w:lang w:val="fr-BE"/>
        </w:rPr>
        <w:t xml:space="preserve">. De là à anticiper la fin de l’un des plus longs rallyes boursiers de l’histoire, il y a un pas que </w:t>
      </w:r>
      <w:r w:rsidRPr="00786E74">
        <w:rPr>
          <w:rFonts w:ascii="ING Me" w:hAnsi="ING Me"/>
          <w:sz w:val="20"/>
          <w:lang w:val="fr-BE"/>
        </w:rPr>
        <w:t>Steven Vandepitte, responsable de la stratégie</w:t>
      </w:r>
      <w:r>
        <w:rPr>
          <w:rFonts w:ascii="ING Me" w:hAnsi="ING Me"/>
          <w:sz w:val="20"/>
          <w:lang w:val="fr-BE"/>
        </w:rPr>
        <w:t xml:space="preserve"> d’investissement</w:t>
      </w:r>
      <w:r w:rsidRPr="00786E74">
        <w:rPr>
          <w:rFonts w:ascii="ING Me" w:hAnsi="ING Me"/>
          <w:sz w:val="20"/>
          <w:lang w:val="fr-BE"/>
        </w:rPr>
        <w:t xml:space="preserve"> chez ING</w:t>
      </w:r>
      <w:r>
        <w:rPr>
          <w:rFonts w:ascii="ING Me" w:hAnsi="ING Me"/>
          <w:sz w:val="20"/>
          <w:lang w:val="fr-BE"/>
        </w:rPr>
        <w:t xml:space="preserve"> Belgique, ne franchit toutefois pas encore. Il ne faut pas confondre la fin d’un cycle avec la dernière phase d’un cycle ! La nuance est importante car cela signifie que le moment n’est pas encore venu de significativement sous-pondérer les actions en portefeuille. </w:t>
      </w:r>
    </w:p>
    <w:p w14:paraId="53089BE4" w14:textId="77777777" w:rsidR="008B4681" w:rsidRDefault="008B4681" w:rsidP="008B4681">
      <w:pPr>
        <w:pStyle w:val="Boilerplate"/>
        <w:spacing w:after="0"/>
        <w:jc w:val="both"/>
        <w:rPr>
          <w:rFonts w:ascii="ING Me" w:hAnsi="ING Me"/>
          <w:sz w:val="20"/>
          <w:lang w:val="fr-BE"/>
        </w:rPr>
      </w:pPr>
    </w:p>
    <w:p w14:paraId="3A9B4FD0" w14:textId="77777777" w:rsidR="008B4681" w:rsidRDefault="008B4681" w:rsidP="008B4681">
      <w:pPr>
        <w:pStyle w:val="Boilerplate"/>
        <w:spacing w:after="0"/>
        <w:jc w:val="both"/>
        <w:rPr>
          <w:rFonts w:ascii="ING Me" w:hAnsi="ING Me" w:cs="Arial"/>
          <w:sz w:val="20"/>
          <w:lang w:val="fr-BE"/>
        </w:rPr>
      </w:pPr>
      <w:r>
        <w:rPr>
          <w:rFonts w:ascii="ING Me" w:hAnsi="ING Me"/>
          <w:sz w:val="20"/>
          <w:lang w:val="fr-BE"/>
        </w:rPr>
        <w:lastRenderedPageBreak/>
        <w:t xml:space="preserve">Mais cela ne signifie pas pour autant qu’il faille s’aventurer en bourse à la légère. Il faut, en effet, être conscient que la volatilité induite par l’atténuation progressive des bilans des banques centrales, une croissance mondiale moins dynamique et un environnement (géo)politique plus incertain, va continuer à alimenter l’aversion au risque des investisseurs. D’autant que ces derniers vont devoir également intégrer dans l’équation une </w:t>
      </w:r>
      <w:r w:rsidRPr="003F4B7B">
        <w:rPr>
          <w:rFonts w:ascii="ING Me" w:hAnsi="ING Me"/>
          <w:b/>
          <w:sz w:val="20"/>
          <w:lang w:val="fr-BE"/>
        </w:rPr>
        <w:t>moindre croissance bénéficiaire</w:t>
      </w:r>
      <w:r>
        <w:rPr>
          <w:rFonts w:ascii="ING Me" w:hAnsi="ING Me"/>
          <w:sz w:val="20"/>
          <w:lang w:val="fr-BE"/>
        </w:rPr>
        <w:t xml:space="preserve">. </w:t>
      </w:r>
      <w:r w:rsidRPr="00491988">
        <w:rPr>
          <w:rFonts w:ascii="ING Me" w:hAnsi="ING Me" w:cs="Arial"/>
          <w:sz w:val="20"/>
          <w:lang w:val="fr-BE"/>
        </w:rPr>
        <w:t xml:space="preserve">Les profits générés par les sociétés US devraient, certes, </w:t>
      </w:r>
      <w:r>
        <w:rPr>
          <w:rFonts w:ascii="ING Me" w:hAnsi="ING Me" w:cs="Arial"/>
          <w:sz w:val="20"/>
          <w:lang w:val="fr-BE"/>
        </w:rPr>
        <w:t>avoir progressé</w:t>
      </w:r>
      <w:r w:rsidRPr="00491988">
        <w:rPr>
          <w:rFonts w:ascii="ING Me" w:hAnsi="ING Me" w:cs="Arial"/>
          <w:sz w:val="20"/>
          <w:lang w:val="fr-BE"/>
        </w:rPr>
        <w:t xml:space="preserve"> de </w:t>
      </w:r>
      <w:r>
        <w:rPr>
          <w:rFonts w:ascii="ING Me" w:hAnsi="ING Me" w:cs="Arial"/>
          <w:sz w:val="20"/>
          <w:lang w:val="fr-BE"/>
        </w:rPr>
        <w:t>près de 25</w:t>
      </w:r>
      <w:r w:rsidRPr="00491988">
        <w:rPr>
          <w:rFonts w:ascii="ING Me" w:hAnsi="ING Me" w:cs="Arial"/>
          <w:sz w:val="20"/>
          <w:lang w:val="fr-BE"/>
        </w:rPr>
        <w:t>% cette année, mais l’impact positif, promis par Dona</w:t>
      </w:r>
      <w:r>
        <w:rPr>
          <w:rFonts w:ascii="ING Me" w:hAnsi="ING Me" w:cs="Arial"/>
          <w:sz w:val="20"/>
          <w:lang w:val="fr-BE"/>
        </w:rPr>
        <w:t>ld Trump, de la baisse de la fiscalité</w:t>
      </w:r>
      <w:r w:rsidRPr="00491988">
        <w:rPr>
          <w:rFonts w:ascii="ING Me" w:hAnsi="ING Me" w:cs="Arial"/>
          <w:sz w:val="20"/>
          <w:lang w:val="fr-BE"/>
        </w:rPr>
        <w:t xml:space="preserve"> est sans doute en bout de course. Les analystes anticipent une crois</w:t>
      </w:r>
      <w:r>
        <w:rPr>
          <w:rFonts w:ascii="ING Me" w:hAnsi="ING Me" w:cs="Arial"/>
          <w:sz w:val="20"/>
          <w:lang w:val="fr-BE"/>
        </w:rPr>
        <w:t xml:space="preserve">sance des bénéfices US d’environ </w:t>
      </w:r>
      <w:r w:rsidRPr="00491988">
        <w:rPr>
          <w:rFonts w:ascii="ING Me" w:hAnsi="ING Me" w:cs="Arial"/>
          <w:sz w:val="20"/>
          <w:lang w:val="fr-BE"/>
        </w:rPr>
        <w:t>10%</w:t>
      </w:r>
      <w:r>
        <w:rPr>
          <w:rFonts w:ascii="ING Me" w:hAnsi="ING Me" w:cs="Arial"/>
          <w:sz w:val="20"/>
          <w:lang w:val="fr-BE"/>
        </w:rPr>
        <w:t xml:space="preserve"> l’année prochaine. Une prévision qui, bien que plus faible, risque de se révéler encore trop optimiste</w:t>
      </w:r>
      <w:r w:rsidRPr="00491988">
        <w:rPr>
          <w:rFonts w:ascii="ING Me" w:hAnsi="ING Me" w:cs="Arial"/>
          <w:sz w:val="20"/>
          <w:lang w:val="fr-BE"/>
        </w:rPr>
        <w:t>.</w:t>
      </w:r>
    </w:p>
    <w:p w14:paraId="1E4A998E" w14:textId="77777777" w:rsidR="008B4681" w:rsidRDefault="008B4681" w:rsidP="008B4681">
      <w:pPr>
        <w:pStyle w:val="Boilerplate"/>
        <w:spacing w:after="0"/>
        <w:jc w:val="both"/>
        <w:rPr>
          <w:rFonts w:ascii="ING Me" w:hAnsi="ING Me" w:cs="Arial"/>
          <w:sz w:val="20"/>
          <w:lang w:val="fr-BE"/>
        </w:rPr>
      </w:pPr>
    </w:p>
    <w:p w14:paraId="15DDF975" w14:textId="7217F1D1" w:rsidR="008B4681" w:rsidRPr="008B4681" w:rsidRDefault="008B4681" w:rsidP="008B4681">
      <w:pPr>
        <w:pStyle w:val="Boilerplate"/>
        <w:spacing w:after="0"/>
        <w:jc w:val="both"/>
        <w:rPr>
          <w:rFonts w:ascii="ING Me" w:eastAsiaTheme="minorEastAsia" w:hAnsi="ING Me" w:cstheme="minorBidi"/>
          <w:b/>
          <w:bCs/>
          <w:color w:val="D7702D"/>
          <w:sz w:val="26"/>
          <w:szCs w:val="28"/>
          <w:lang w:val="fr-BE" w:eastAsia="en-US"/>
        </w:rPr>
      </w:pPr>
      <w:r w:rsidRPr="00491988">
        <w:rPr>
          <w:rFonts w:ascii="ING Me" w:hAnsi="ING Me" w:cs="Arial"/>
          <w:sz w:val="20"/>
          <w:lang w:val="fr-BE"/>
        </w:rPr>
        <w:t xml:space="preserve">Les marchés </w:t>
      </w:r>
      <w:r>
        <w:rPr>
          <w:rFonts w:ascii="ING Me" w:hAnsi="ING Me" w:cs="Arial"/>
          <w:sz w:val="20"/>
          <w:lang w:val="fr-BE"/>
        </w:rPr>
        <w:t>boursiers étant</w:t>
      </w:r>
      <w:r w:rsidRPr="00491988">
        <w:rPr>
          <w:rFonts w:ascii="ING Me" w:hAnsi="ING Me" w:cs="Arial"/>
          <w:sz w:val="20"/>
          <w:lang w:val="fr-BE"/>
        </w:rPr>
        <w:t xml:space="preserve"> confrontés à une conjonction défavorable</w:t>
      </w:r>
      <w:r>
        <w:rPr>
          <w:rFonts w:ascii="ING Me" w:hAnsi="ING Me" w:cs="Arial"/>
          <w:sz w:val="20"/>
          <w:lang w:val="fr-BE"/>
        </w:rPr>
        <w:t xml:space="preserve"> </w:t>
      </w:r>
      <w:r w:rsidR="007A34ED">
        <w:rPr>
          <w:rFonts w:ascii="ING Me" w:hAnsi="ING Me" w:cs="Arial"/>
          <w:sz w:val="20"/>
          <w:lang w:val="fr-BE"/>
        </w:rPr>
        <w:t>-</w:t>
      </w:r>
      <w:r w:rsidR="007A34ED" w:rsidRPr="00491988">
        <w:rPr>
          <w:rFonts w:ascii="ING Me" w:hAnsi="ING Me" w:cs="Arial"/>
          <w:sz w:val="20"/>
          <w:lang w:val="fr-BE"/>
        </w:rPr>
        <w:t xml:space="preserve"> </w:t>
      </w:r>
      <w:r w:rsidRPr="003F4B7B">
        <w:rPr>
          <w:rFonts w:ascii="ING Me" w:hAnsi="ING Me" w:cs="Arial"/>
          <w:sz w:val="20"/>
          <w:lang w:val="fr-BE"/>
        </w:rPr>
        <w:t>des taux plus élevés et une moindre croissance bénéficiaire</w:t>
      </w:r>
      <w:r w:rsidR="007A34ED">
        <w:rPr>
          <w:rFonts w:ascii="ING Me" w:hAnsi="ING Me" w:cs="Arial"/>
          <w:sz w:val="20"/>
          <w:lang w:val="fr-BE"/>
        </w:rPr>
        <w:t xml:space="preserve"> -</w:t>
      </w:r>
      <w:r w:rsidRPr="003F4B7B">
        <w:rPr>
          <w:rFonts w:ascii="ING Me" w:hAnsi="ING Me" w:cs="Arial"/>
          <w:sz w:val="20"/>
          <w:lang w:val="fr-BE"/>
        </w:rPr>
        <w:t>, Steven Vandepitte recommande de</w:t>
      </w:r>
      <w:r w:rsidRPr="00491988">
        <w:rPr>
          <w:rFonts w:ascii="ING Me" w:hAnsi="ING Me" w:cs="Arial"/>
          <w:b/>
          <w:sz w:val="20"/>
          <w:lang w:val="fr-BE"/>
        </w:rPr>
        <w:t xml:space="preserve"> conserver un profil d’investissement moins cyclique en privilégiant les actions défensives et </w:t>
      </w:r>
      <w:r>
        <w:rPr>
          <w:rFonts w:ascii="ING Me" w:hAnsi="ING Me" w:cs="Arial"/>
          <w:b/>
          <w:sz w:val="20"/>
          <w:lang w:val="fr-BE"/>
        </w:rPr>
        <w:t>les actions « value » (</w:t>
      </w:r>
      <w:r w:rsidRPr="00491988">
        <w:rPr>
          <w:rFonts w:ascii="ING Me" w:hAnsi="ING Me" w:cs="Arial"/>
          <w:b/>
          <w:sz w:val="20"/>
          <w:lang w:val="fr-BE"/>
        </w:rPr>
        <w:t>sous-évaluées par rapport</w:t>
      </w:r>
      <w:r>
        <w:rPr>
          <w:rFonts w:ascii="ING Me" w:hAnsi="ING Me" w:cs="Arial"/>
          <w:b/>
          <w:sz w:val="20"/>
          <w:lang w:val="fr-BE"/>
        </w:rPr>
        <w:t xml:space="preserve"> à leurs fondamentaux</w:t>
      </w:r>
      <w:r w:rsidRPr="00491988">
        <w:rPr>
          <w:rFonts w:ascii="ING Me" w:hAnsi="ING Me" w:cs="Arial"/>
          <w:b/>
          <w:sz w:val="20"/>
          <w:lang w:val="fr-BE"/>
        </w:rPr>
        <w:t>),</w:t>
      </w:r>
      <w:r>
        <w:rPr>
          <w:rFonts w:ascii="ING Me" w:hAnsi="ING Me" w:cs="Arial"/>
          <w:b/>
          <w:sz w:val="20"/>
          <w:lang w:val="fr-BE"/>
        </w:rPr>
        <w:t xml:space="preserve"> comme les soins de santé. </w:t>
      </w:r>
      <w:r w:rsidRPr="00491988">
        <w:rPr>
          <w:rFonts w:ascii="ING Me" w:hAnsi="ING Me" w:cs="Arial"/>
          <w:b/>
          <w:sz w:val="20"/>
          <w:lang w:val="fr-BE"/>
        </w:rPr>
        <w:t xml:space="preserve"> </w:t>
      </w:r>
      <w:r>
        <w:rPr>
          <w:rFonts w:ascii="ING Me" w:hAnsi="ING Me" w:cs="Arial"/>
          <w:sz w:val="20"/>
          <w:lang w:val="fr-BE"/>
        </w:rPr>
        <w:t>L</w:t>
      </w:r>
      <w:r w:rsidRPr="00674BA4">
        <w:rPr>
          <w:rFonts w:ascii="ING Me" w:hAnsi="ING Me" w:cs="Arial"/>
          <w:sz w:val="20"/>
          <w:lang w:val="fr-BE"/>
        </w:rPr>
        <w:t xml:space="preserve">es valeurs disposant d’une capitalisation boursière élevée, d’un solide bilan, d’une croissance </w:t>
      </w:r>
      <w:r w:rsidR="007A34ED" w:rsidRPr="00674BA4">
        <w:rPr>
          <w:rFonts w:ascii="ING Me" w:hAnsi="ING Me" w:cs="Arial"/>
          <w:sz w:val="20"/>
          <w:lang w:val="fr-BE"/>
        </w:rPr>
        <w:t xml:space="preserve">stable </w:t>
      </w:r>
      <w:r w:rsidRPr="00674BA4">
        <w:rPr>
          <w:rFonts w:ascii="ING Me" w:hAnsi="ING Me" w:cs="Arial"/>
          <w:sz w:val="20"/>
          <w:lang w:val="fr-BE"/>
        </w:rPr>
        <w:t>des marges bénéficiaires, sans oublier les actions offrant un rendement des dividendes élevé</w:t>
      </w:r>
      <w:r>
        <w:rPr>
          <w:rFonts w:ascii="ING Me" w:hAnsi="ING Me" w:cs="Arial"/>
          <w:sz w:val="20"/>
          <w:lang w:val="fr-BE"/>
        </w:rPr>
        <w:t xml:space="preserve"> devraient, elles aussi, tirer leur épingle du jeu</w:t>
      </w:r>
      <w:r w:rsidRPr="00674BA4">
        <w:rPr>
          <w:rFonts w:ascii="ING Me" w:hAnsi="ING Me" w:cs="Arial"/>
          <w:sz w:val="20"/>
          <w:lang w:val="fr-BE"/>
        </w:rPr>
        <w:t>.</w:t>
      </w:r>
    </w:p>
    <w:p w14:paraId="7FB7C641" w14:textId="77777777" w:rsidR="008B4681" w:rsidRDefault="008B4681" w:rsidP="008B4681">
      <w:pPr>
        <w:autoSpaceDE w:val="0"/>
        <w:autoSpaceDN w:val="0"/>
        <w:adjustRightInd w:val="0"/>
        <w:ind w:right="72"/>
        <w:jc w:val="both"/>
        <w:rPr>
          <w:rFonts w:cs="Arial"/>
          <w:b/>
          <w:color w:val="000000"/>
          <w:lang w:val="fr-BE"/>
        </w:rPr>
      </w:pPr>
    </w:p>
    <w:p w14:paraId="483DBA20" w14:textId="77777777" w:rsidR="008B4681" w:rsidRDefault="008B4681" w:rsidP="008B4681">
      <w:pPr>
        <w:autoSpaceDE w:val="0"/>
        <w:autoSpaceDN w:val="0"/>
        <w:adjustRightInd w:val="0"/>
        <w:ind w:right="72"/>
        <w:jc w:val="both"/>
        <w:rPr>
          <w:rFonts w:cs="Arial"/>
          <w:color w:val="000000"/>
          <w:lang w:val="fr-BE"/>
        </w:rPr>
      </w:pPr>
      <w:r w:rsidRPr="003F4B7B">
        <w:rPr>
          <w:rFonts w:cs="Arial"/>
          <w:color w:val="000000"/>
          <w:lang w:val="fr-BE"/>
        </w:rPr>
        <w:t>Dans la même logique, mieux vaut, sur le marché des matières premières,</w:t>
      </w:r>
      <w:r>
        <w:rPr>
          <w:rFonts w:cs="Arial"/>
          <w:b/>
          <w:color w:val="000000"/>
          <w:lang w:val="fr-BE"/>
        </w:rPr>
        <w:t xml:space="preserve"> privilégier les métaux précieux </w:t>
      </w:r>
      <w:r w:rsidRPr="003F4B7B">
        <w:rPr>
          <w:rFonts w:cs="Arial"/>
          <w:color w:val="000000"/>
          <w:lang w:val="fr-BE"/>
        </w:rPr>
        <w:t xml:space="preserve">qui s’avèrent, par nature, plus défensifs et devraient profiter d’une banque centrale américaine </w:t>
      </w:r>
      <w:r>
        <w:rPr>
          <w:rFonts w:cs="Arial"/>
          <w:color w:val="000000"/>
          <w:lang w:val="fr-BE"/>
        </w:rPr>
        <w:t xml:space="preserve">potentiellement </w:t>
      </w:r>
      <w:r w:rsidRPr="003F4B7B">
        <w:rPr>
          <w:rFonts w:cs="Arial"/>
          <w:color w:val="000000"/>
          <w:lang w:val="fr-BE"/>
        </w:rPr>
        <w:t xml:space="preserve">moins </w:t>
      </w:r>
      <w:r w:rsidRPr="00674BA4">
        <w:rPr>
          <w:rFonts w:cs="Arial"/>
          <w:color w:val="000000"/>
          <w:lang w:val="fr-BE"/>
        </w:rPr>
        <w:t>agressive et, par ricochet, d’un billet vert probablement moins vigoureux.</w:t>
      </w:r>
    </w:p>
    <w:p w14:paraId="229781D5" w14:textId="77777777" w:rsidR="008B4681" w:rsidRPr="00674BA4" w:rsidRDefault="008B4681" w:rsidP="008B4681">
      <w:pPr>
        <w:autoSpaceDE w:val="0"/>
        <w:autoSpaceDN w:val="0"/>
        <w:adjustRightInd w:val="0"/>
        <w:ind w:right="72"/>
        <w:jc w:val="both"/>
        <w:rPr>
          <w:rFonts w:cs="Arial"/>
          <w:color w:val="000000"/>
          <w:lang w:val="fr-BE"/>
        </w:rPr>
      </w:pPr>
      <w:r>
        <w:rPr>
          <w:rFonts w:cs="Arial"/>
          <w:color w:val="000000"/>
          <w:lang w:val="fr-BE"/>
        </w:rPr>
        <w:t xml:space="preserve">Enfin, sur le terrain obligataire, ce positionnement défensif se traduit par une préférence marquée pour </w:t>
      </w:r>
      <w:r w:rsidRPr="00491988">
        <w:rPr>
          <w:rFonts w:cs="Arial"/>
          <w:b/>
          <w:color w:val="000000"/>
          <w:lang w:val="fr-BE"/>
        </w:rPr>
        <w:t xml:space="preserve">les </w:t>
      </w:r>
      <w:r>
        <w:rPr>
          <w:rFonts w:cs="Arial"/>
          <w:b/>
          <w:color w:val="000000"/>
          <w:lang w:val="fr-BE"/>
        </w:rPr>
        <w:t>emprunt</w:t>
      </w:r>
      <w:r w:rsidRPr="00491988">
        <w:rPr>
          <w:rFonts w:cs="Arial"/>
          <w:b/>
          <w:color w:val="000000"/>
          <w:lang w:val="fr-BE"/>
        </w:rPr>
        <w:t>s</w:t>
      </w:r>
      <w:r>
        <w:rPr>
          <w:rFonts w:cs="Arial"/>
          <w:b/>
          <w:color w:val="000000"/>
          <w:lang w:val="fr-BE"/>
        </w:rPr>
        <w:t xml:space="preserve"> d’Etat les plus sûr</w:t>
      </w:r>
      <w:r w:rsidRPr="00491988">
        <w:rPr>
          <w:rFonts w:cs="Arial"/>
          <w:b/>
          <w:color w:val="000000"/>
          <w:lang w:val="fr-BE"/>
        </w:rPr>
        <w:t>s au détriment des obligations d’entreprises</w:t>
      </w:r>
      <w:r w:rsidRPr="00491988">
        <w:rPr>
          <w:rFonts w:cs="Arial"/>
          <w:color w:val="000000"/>
          <w:lang w:val="fr-BE"/>
        </w:rPr>
        <w:t>.</w:t>
      </w:r>
    </w:p>
    <w:p w14:paraId="10CBF2C9" w14:textId="77777777" w:rsidR="00104D4A" w:rsidRDefault="00104D4A" w:rsidP="00AD705C">
      <w:pPr>
        <w:pStyle w:val="Header3"/>
        <w:rPr>
          <w:lang w:val="fr-BE"/>
        </w:rPr>
      </w:pPr>
    </w:p>
    <w:p w14:paraId="020A6220" w14:textId="7C638400" w:rsidR="00AD705C" w:rsidRPr="003D4A39" w:rsidRDefault="003D4A39" w:rsidP="00AD705C">
      <w:pPr>
        <w:pStyle w:val="Header3"/>
        <w:rPr>
          <w:lang w:val="fr-BE"/>
        </w:rPr>
      </w:pPr>
      <w:r w:rsidRPr="003D4A39">
        <w:rPr>
          <w:lang w:val="fr-BE"/>
        </w:rPr>
        <w:t>Pour plus d’informations</w:t>
      </w:r>
      <w:r>
        <w:rPr>
          <w:lang w:val="fr-BE"/>
        </w:rPr>
        <w:t xml:space="preserve"> </w:t>
      </w:r>
      <w:r w:rsidR="00AD705C" w:rsidRPr="003D4A39">
        <w:rPr>
          <w:lang w:val="fr-BE"/>
        </w:rPr>
        <w:t>:</w:t>
      </w:r>
    </w:p>
    <w:p w14:paraId="772FA9C3" w14:textId="6EBA2D7B" w:rsidR="004E30A4" w:rsidRPr="00E4111E" w:rsidRDefault="004E30A4" w:rsidP="004E30A4">
      <w:pPr>
        <w:rPr>
          <w:lang w:val="fr-BE"/>
        </w:rPr>
      </w:pPr>
      <w:r w:rsidRPr="00E4111E">
        <w:rPr>
          <w:lang w:val="fr-BE"/>
        </w:rPr>
        <w:t>Press office ING Belgique</w:t>
      </w:r>
      <w:r w:rsidRPr="00E4111E">
        <w:rPr>
          <w:lang w:val="fr-BE"/>
        </w:rPr>
        <w:br/>
        <w:t>Joëlle Neeb</w:t>
      </w:r>
      <w:r w:rsidRPr="00E4111E">
        <w:rPr>
          <w:lang w:val="fr-BE"/>
        </w:rPr>
        <w:br/>
        <w:t>+32 478 630 387</w:t>
      </w:r>
      <w:r w:rsidRPr="00E4111E">
        <w:rPr>
          <w:lang w:val="fr-BE"/>
        </w:rPr>
        <w:br/>
      </w:r>
      <w:hyperlink r:id="rId8" w:history="1">
        <w:r w:rsidRPr="00E4111E">
          <w:rPr>
            <w:rStyle w:val="Hyperlink"/>
            <w:lang w:val="fr-BE"/>
          </w:rPr>
          <w:t>pressoffice@ing.be</w:t>
        </w:r>
      </w:hyperlink>
    </w:p>
    <w:p w14:paraId="07F295C9" w14:textId="776FB826" w:rsidR="00AD705C" w:rsidRPr="00E4111E" w:rsidRDefault="00AD705C" w:rsidP="004E30A4">
      <w:pPr>
        <w:rPr>
          <w:lang w:val="fr-BE"/>
        </w:rPr>
      </w:pPr>
    </w:p>
    <w:p w14:paraId="31418BF1" w14:textId="77777777" w:rsidR="00104D4A" w:rsidRDefault="00104D4A" w:rsidP="004E30A4">
      <w:pPr>
        <w:rPr>
          <w:lang w:val="fr-BE"/>
        </w:rPr>
      </w:pPr>
      <w:r w:rsidRPr="00104D4A">
        <w:rPr>
          <w:lang w:val="fr-BE"/>
        </w:rPr>
        <w:t xml:space="preserve">Le communiqué de presse est également disponible </w:t>
      </w:r>
      <w:r w:rsidRPr="00E4111E">
        <w:rPr>
          <w:rStyle w:val="Hyperlink"/>
          <w:lang w:val="fr-BE"/>
        </w:rPr>
        <w:t>sur www/ing.be/</w:t>
      </w:r>
      <w:proofErr w:type="spellStart"/>
      <w:r w:rsidRPr="00E4111E">
        <w:rPr>
          <w:rStyle w:val="Hyperlink"/>
          <w:lang w:val="fr-BE"/>
        </w:rPr>
        <w:t>apropos</w:t>
      </w:r>
      <w:proofErr w:type="spellEnd"/>
    </w:p>
    <w:p w14:paraId="67C9931A" w14:textId="77777777" w:rsidR="00104D4A" w:rsidRDefault="00104D4A" w:rsidP="004E30A4">
      <w:pPr>
        <w:rPr>
          <w:lang w:val="fr-BE"/>
        </w:rPr>
      </w:pPr>
    </w:p>
    <w:p w14:paraId="3A465971" w14:textId="77777777" w:rsidR="00104D4A" w:rsidRPr="00104D4A" w:rsidRDefault="00104D4A" w:rsidP="004E30A4">
      <w:pPr>
        <w:rPr>
          <w:lang w:val="fr-BE"/>
        </w:rPr>
      </w:pPr>
      <w:bookmarkStart w:id="0" w:name="_GoBack"/>
      <w:bookmarkEnd w:id="0"/>
    </w:p>
    <w:sectPr w:rsidR="00104D4A" w:rsidRPr="00104D4A" w:rsidSect="00CC5201">
      <w:headerReference w:type="even" r:id="rId9"/>
      <w:headerReference w:type="default" r:id="rId10"/>
      <w:footerReference w:type="even" r:id="rId11"/>
      <w:footerReference w:type="default" r:id="rId12"/>
      <w:pgSz w:w="11900" w:h="16840"/>
      <w:pgMar w:top="1134" w:right="1134" w:bottom="153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0D569" w14:textId="77777777" w:rsidR="00296865" w:rsidRDefault="00296865" w:rsidP="00C50E95">
      <w:pPr>
        <w:spacing w:after="0"/>
      </w:pPr>
      <w:r>
        <w:separator/>
      </w:r>
    </w:p>
  </w:endnote>
  <w:endnote w:type="continuationSeparator" w:id="0">
    <w:p w14:paraId="54DF94D8" w14:textId="77777777" w:rsidR="00296865" w:rsidRDefault="00296865" w:rsidP="00C50E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G Me">
    <w:altName w:val="Franklin Gothic Medium Cond"/>
    <w:panose1 w:val="02000506040000020004"/>
    <w:charset w:val="00"/>
    <w:family w:val="auto"/>
    <w:pitch w:val="variable"/>
    <w:sig w:usb0="A10002AF" w:usb1="5000607A"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Arabic">
    <w:altName w:val="Times New Roman"/>
    <w:charset w:val="00"/>
    <w:family w:val="auto"/>
    <w:pitch w:val="variable"/>
    <w:sig w:usb0="00000000" w:usb1="8000A04A"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19A04" w14:textId="77777777" w:rsidR="001F70CE" w:rsidRDefault="009B5728">
    <w:pPr>
      <w:pStyle w:val="Footer"/>
    </w:pPr>
    <w:sdt>
      <w:sdtPr>
        <w:id w:val="969400743"/>
        <w:placeholder>
          <w:docPart w:val="01DA34636D6E1E45961E46D0A47BD5D5"/>
        </w:placeholder>
        <w:temporary/>
        <w:showingPlcHdr/>
      </w:sdtPr>
      <w:sdtEndPr/>
      <w:sdtContent>
        <w:r w:rsidR="001F70CE">
          <w:t>[Type text]</w:t>
        </w:r>
      </w:sdtContent>
    </w:sdt>
    <w:r w:rsidR="001F70CE">
      <w:ptab w:relativeTo="margin" w:alignment="center" w:leader="none"/>
    </w:r>
    <w:sdt>
      <w:sdtPr>
        <w:id w:val="969400748"/>
        <w:placeholder>
          <w:docPart w:val="E60AAA234B34A84BB04A7EC94B8EB536"/>
        </w:placeholder>
        <w:temporary/>
        <w:showingPlcHdr/>
      </w:sdtPr>
      <w:sdtEndPr/>
      <w:sdtContent>
        <w:r w:rsidR="001F70CE">
          <w:t>[Type text]</w:t>
        </w:r>
      </w:sdtContent>
    </w:sdt>
    <w:r w:rsidR="001F70CE">
      <w:ptab w:relativeTo="margin" w:alignment="right" w:leader="none"/>
    </w:r>
    <w:sdt>
      <w:sdtPr>
        <w:id w:val="969400753"/>
        <w:placeholder>
          <w:docPart w:val="48AACB637F4A56428038C2406C3A0B3F"/>
        </w:placeholder>
        <w:temporary/>
        <w:showingPlcHdr/>
      </w:sdtPr>
      <w:sdtEndPr/>
      <w:sdtContent>
        <w:r w:rsidR="001F70CE">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AF3F3" w14:textId="3A6B0A8C" w:rsidR="001F70CE" w:rsidRDefault="001F70CE" w:rsidP="00E278AC">
    <w:pPr>
      <w:pStyle w:val="Footer"/>
      <w:tabs>
        <w:tab w:val="clear" w:pos="4320"/>
        <w:tab w:val="clear" w:pos="8640"/>
      </w:tabs>
      <w:jc w:val="right"/>
    </w:pPr>
    <w:r>
      <w:rPr>
        <w:noProof/>
        <w:lang w:val="en-US"/>
      </w:rPr>
      <mc:AlternateContent>
        <mc:Choice Requires="wps">
          <w:drawing>
            <wp:anchor distT="0" distB="0" distL="114300" distR="114300" simplePos="0" relativeHeight="251664384" behindDoc="0" locked="0" layoutInCell="1" allowOverlap="1" wp14:anchorId="58B953F1" wp14:editId="4AE64425">
              <wp:simplePos x="0" y="0"/>
              <wp:positionH relativeFrom="page">
                <wp:posOffset>612140</wp:posOffset>
              </wp:positionH>
              <wp:positionV relativeFrom="page">
                <wp:posOffset>10090150</wp:posOffset>
              </wp:positionV>
              <wp:extent cx="6116320" cy="368300"/>
              <wp:effectExtent l="0" t="0" r="0" b="12700"/>
              <wp:wrapThrough wrapText="bothSides">
                <wp:wrapPolygon edited="0">
                  <wp:start x="90" y="0"/>
                  <wp:lineTo x="90" y="20855"/>
                  <wp:lineTo x="21439" y="20855"/>
                  <wp:lineTo x="21439" y="0"/>
                  <wp:lineTo x="90" y="0"/>
                </wp:wrapPolygon>
              </wp:wrapThrough>
              <wp:docPr id="2" name="Text Box 2"/>
              <wp:cNvGraphicFramePr/>
              <a:graphic xmlns:a="http://schemas.openxmlformats.org/drawingml/2006/main">
                <a:graphicData uri="http://schemas.microsoft.com/office/word/2010/wordprocessingShape">
                  <wps:wsp>
                    <wps:cNvSpPr txBox="1"/>
                    <wps:spPr>
                      <a:xfrm>
                        <a:off x="0" y="0"/>
                        <a:ext cx="6116320" cy="3683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6821511D" w14:textId="2FA4B705" w:rsidR="001F70CE" w:rsidRDefault="001F70CE" w:rsidP="004D73D2">
                          <w:pPr>
                            <w:pStyle w:val="Baseline"/>
                          </w:pPr>
                          <w:r w:rsidRPr="00D574F5">
                            <w:t>IN</w:t>
                          </w:r>
                          <w:r>
                            <w:t xml:space="preserve">G Belgium SA/NV – </w:t>
                          </w:r>
                          <w:r w:rsidRPr="00D574F5">
                            <w:t>Avenue Marnix 24, B–1000 Brussels – Brussels RPM/RPR – VAT</w:t>
                          </w:r>
                          <w:r w:rsidRPr="00D574F5">
                            <w:rPr>
                              <w:rFonts w:ascii="Adobe Arabic" w:hAnsi="Adobe Arabic" w:cs="Adobe Arabic"/>
                            </w:rPr>
                            <w:t> </w:t>
                          </w:r>
                          <w:r>
                            <w:t>: BE 0403 200 393</w:t>
                          </w:r>
                        </w:p>
                        <w:p w14:paraId="6131C42A" w14:textId="77777777" w:rsidR="001F70CE" w:rsidRPr="00D574F5" w:rsidRDefault="001F70CE" w:rsidP="004D73D2">
                          <w:pPr>
                            <w:pStyle w:val="Baseline"/>
                            <w:rPr>
                              <w:rFonts w:cs="INGMe"/>
                              <w:color w:val="000000"/>
                              <w:spacing w:val="-1"/>
                              <w:w w:val="95"/>
                            </w:rPr>
                          </w:pPr>
                          <w:r w:rsidRPr="00D574F5">
                            <w:t>BIC</w:t>
                          </w:r>
                          <w:r w:rsidRPr="00D574F5">
                            <w:rPr>
                              <w:rFonts w:ascii="Adobe Arabic" w:hAnsi="Adobe Arabic" w:cs="Adobe Arabic"/>
                            </w:rPr>
                            <w:t> </w:t>
                          </w:r>
                          <w:r>
                            <w:t>: BBRUBEBB</w:t>
                          </w:r>
                          <w:r w:rsidRPr="00D574F5">
                            <w:t xml:space="preserve"> – IBAN</w:t>
                          </w:r>
                          <w:r w:rsidRPr="00D574F5">
                            <w:rPr>
                              <w:rFonts w:ascii="Adobe Arabic" w:hAnsi="Adobe Arabic" w:cs="Adobe Arabic"/>
                            </w:rPr>
                            <w:t> </w:t>
                          </w:r>
                          <w:r w:rsidRPr="00D574F5">
                            <w:t xml:space="preserve">: BE45 3109 1560 2789 – www.ing.be – </w:t>
                          </w:r>
                          <w:proofErr w:type="spellStart"/>
                          <w:r w:rsidRPr="00D574F5">
                            <w:t>Cours</w:t>
                          </w:r>
                          <w:proofErr w:type="spellEnd"/>
                          <w:r w:rsidRPr="00D574F5">
                            <w:t xml:space="preserve"> S</w:t>
                          </w:r>
                          <w:r>
                            <w:t>aint–Michel 60, B–1040 Brussels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8B953F1" id="_x0000_t202" coordsize="21600,21600" o:spt="202" path="m,l,21600r21600,l21600,xe">
              <v:stroke joinstyle="miter"/>
              <v:path gradientshapeok="t" o:connecttype="rect"/>
            </v:shapetype>
            <v:shape id="Text Box 2" o:spid="_x0000_s1026" type="#_x0000_t202" style="position:absolute;left:0;text-align:left;margin-left:48.2pt;margin-top:794.5pt;width:481.6pt;height:2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2XwIAAKAEAAAOAAAAZHJzL2Uyb0RvYy54bWysVE1v2zAMvQ/YfxB0T/3RJG2NOIWbIMOA&#10;oC3QDj0rstwYsCVNUmpnw/57n+Skzbqdhl0UinymyPfIzK77tiEvwthayZwmZzElQnJV1vI5p98e&#10;V6NLSqxjsmSNkiKne2Hp9fzzp1mnM5GqrWpKYQiSSJt1Oqdb53QWRZZvRcvsmdJCIlgp0zKHq3mO&#10;SsM6ZG+bKI3jadQpU2qjuLAW3uUQpPOQv6oEd3dVZYUjTU5RmwunCefGn9F8xrJnw/S25ocy2D9U&#10;0bJa4tG3VEvmGNmZ+o9Ubc2NsqpyZ1y1kaqqmovQA7pJ4g/dPGyZFqEXkGP1G032/6Xlty/3htRl&#10;TlNKJGsh0aPoHblRPUk9O522GUAPGjDXww2Vj34Lp2+6r0zrf9EOQRw879+49ck4nNMkmZ6nCHHE&#10;zqeX53EgP3r/WhvrvgjVEm/k1EC7QCl7WVuHSgA9QvxjUq3qpgn6NfI3B4CDR4QBGL5mGSqB6ZG+&#10;piDOz8XkIi0uJlejaTFJRuMkvhwVRZyOlqsiLuLxanE1vvnl20XO4/eRp2Ro3Vuu3/QHnjaq3IMm&#10;o4Yxs5qvavSyZtbdM4O5QvvYFXeHo2pUl1N1sCjZKvPjb36Ph9yIUtJhTnNqv++YEZQ0XyUG4SoZ&#10;j/1gh8sY7eBiTiOb04jctQuFVUiwlZoH0+NdczQro9onrFThX0WISY63c+qO5sIN24OV5KIoAgij&#10;rJlbywfNfWpPsVfqsX9iRh/kdKDvVh0nmmUfVB2wg4zFzqmqDpJ7ggdWIYG/YA2CGIeV9Xt2eg+o&#10;9z+W+SsAAAD//wMAUEsDBBQABgAIAAAAIQCdCsCJ4AAAAA0BAAAPAAAAZHJzL2Rvd25yZXYueG1s&#10;TI9BT8MwDIXvSPsPkSdxYwmo7dbSdEIgriDGQOKWNV5b0ThVk63l3+Od4Gb7PT1/r9zOrhdnHEPn&#10;ScPtSoFAqr3tqNGwf3++2YAI0ZA1vSfU8IMBttXiqjSF9RO94XkXG8EhFAqjoY1xKKQMdYvOhJUf&#10;kFg7+tGZyOvYSDuaicNdL++UyqQzHfGH1gz42GL9vTs5DR8vx6/PRL02Ty4dJj8rSS6XWl8v54d7&#10;EBHn+GeGCz6jQ8VMB38iG0SvIc8SdvI93eRc6uJQaZ6BOPCUJWsFsirl/xbVLwAAAP//AwBQSwEC&#10;LQAUAAYACAAAACEAtoM4kv4AAADhAQAAEwAAAAAAAAAAAAAAAAAAAAAAW0NvbnRlbnRfVHlwZXNd&#10;LnhtbFBLAQItABQABgAIAAAAIQA4/SH/1gAAAJQBAAALAAAAAAAAAAAAAAAAAC8BAABfcmVscy8u&#10;cmVsc1BLAQItABQABgAIAAAAIQBvnUA2XwIAAKAEAAAOAAAAAAAAAAAAAAAAAC4CAABkcnMvZTJv&#10;RG9jLnhtbFBLAQItABQABgAIAAAAIQCdCsCJ4AAAAA0BAAAPAAAAAAAAAAAAAAAAALkEAABkcnMv&#10;ZG93bnJldi54bWxQSwUGAAAAAAQABADzAAAAxgUAAAAA&#10;" filled="f" stroked="f">
              <v:textbox>
                <w:txbxContent>
                  <w:p w14:paraId="6821511D" w14:textId="2FA4B705" w:rsidR="001F70CE" w:rsidRDefault="001F70CE" w:rsidP="004D73D2">
                    <w:pPr>
                      <w:pStyle w:val="Baseline"/>
                    </w:pPr>
                    <w:r w:rsidRPr="00D574F5">
                      <w:t>IN</w:t>
                    </w:r>
                    <w:r>
                      <w:t xml:space="preserve">G Belgium SA/NV – </w:t>
                    </w:r>
                    <w:r w:rsidRPr="00D574F5">
                      <w:t xml:space="preserve">Avenue </w:t>
                    </w:r>
                    <w:proofErr w:type="spellStart"/>
                    <w:r w:rsidRPr="00D574F5">
                      <w:t>Marnix</w:t>
                    </w:r>
                    <w:proofErr w:type="spellEnd"/>
                    <w:r w:rsidRPr="00D574F5">
                      <w:t xml:space="preserve"> 24, B–1000 Brussels – Brussels RPM/RPR – </w:t>
                    </w:r>
                    <w:proofErr w:type="gramStart"/>
                    <w:r w:rsidRPr="00D574F5">
                      <w:t>VAT</w:t>
                    </w:r>
                    <w:r w:rsidRPr="00D574F5">
                      <w:rPr>
                        <w:rFonts w:ascii="Adobe Arabic" w:hAnsi="Adobe Arabic" w:cs="Adobe Arabic"/>
                      </w:rPr>
                      <w:t> </w:t>
                    </w:r>
                    <w:r>
                      <w:t>:</w:t>
                    </w:r>
                    <w:proofErr w:type="gramEnd"/>
                    <w:r>
                      <w:t xml:space="preserve"> BE 0403 200 393</w:t>
                    </w:r>
                  </w:p>
                  <w:p w14:paraId="6131C42A" w14:textId="77777777" w:rsidR="001F70CE" w:rsidRPr="00D574F5" w:rsidRDefault="001F70CE" w:rsidP="004D73D2">
                    <w:pPr>
                      <w:pStyle w:val="Baseline"/>
                      <w:rPr>
                        <w:rFonts w:cs="INGMe"/>
                        <w:color w:val="000000"/>
                        <w:spacing w:val="-1"/>
                        <w:w w:val="95"/>
                      </w:rPr>
                    </w:pPr>
                    <w:proofErr w:type="gramStart"/>
                    <w:r w:rsidRPr="00D574F5">
                      <w:t>BIC</w:t>
                    </w:r>
                    <w:r w:rsidRPr="00D574F5">
                      <w:rPr>
                        <w:rFonts w:ascii="Adobe Arabic" w:hAnsi="Adobe Arabic" w:cs="Adobe Arabic"/>
                      </w:rPr>
                      <w:t> </w:t>
                    </w:r>
                    <w:r>
                      <w:t>:</w:t>
                    </w:r>
                    <w:proofErr w:type="gramEnd"/>
                    <w:r>
                      <w:t xml:space="preserve"> BBRUBEBB</w:t>
                    </w:r>
                    <w:r w:rsidRPr="00D574F5">
                      <w:t xml:space="preserve"> – IBAN</w:t>
                    </w:r>
                    <w:r w:rsidRPr="00D574F5">
                      <w:rPr>
                        <w:rFonts w:ascii="Adobe Arabic" w:hAnsi="Adobe Arabic" w:cs="Adobe Arabic"/>
                      </w:rPr>
                      <w:t> </w:t>
                    </w:r>
                    <w:r w:rsidRPr="00D574F5">
                      <w:t xml:space="preserve">: BE45 3109 1560 2789 – www.ing.be – </w:t>
                    </w:r>
                    <w:proofErr w:type="spellStart"/>
                    <w:r w:rsidRPr="00D574F5">
                      <w:t>Cours</w:t>
                    </w:r>
                    <w:proofErr w:type="spellEnd"/>
                    <w:r w:rsidRPr="00D574F5">
                      <w:t xml:space="preserve"> S</w:t>
                    </w:r>
                    <w:r>
                      <w:t>aint–Michel 60, B–1040 Brussels</w:t>
                    </w:r>
                  </w:p>
                </w:txbxContent>
              </v:textbox>
              <w10:wrap type="through" anchorx="page" anchory="page"/>
            </v:shape>
          </w:pict>
        </mc:Fallback>
      </mc:AlternateContent>
    </w:r>
    <w:r>
      <w:rPr>
        <w:noProof/>
        <w:lang w:val="en-US"/>
      </w:rPr>
      <w:drawing>
        <wp:anchor distT="0" distB="0" distL="114300" distR="114300" simplePos="0" relativeHeight="251659264" behindDoc="0" locked="0" layoutInCell="1" allowOverlap="1" wp14:anchorId="57D38250" wp14:editId="4381531C">
          <wp:simplePos x="0" y="0"/>
          <wp:positionH relativeFrom="page">
            <wp:posOffset>5435600</wp:posOffset>
          </wp:positionH>
          <wp:positionV relativeFrom="page">
            <wp:posOffset>9922510</wp:posOffset>
          </wp:positionV>
          <wp:extent cx="1702435" cy="427990"/>
          <wp:effectExtent l="0" t="0" r="0" b="3810"/>
          <wp:wrapTight wrapText="bothSides">
            <wp:wrapPolygon edited="0">
              <wp:start x="14180" y="0"/>
              <wp:lineTo x="0" y="2564"/>
              <wp:lineTo x="0" y="20510"/>
              <wp:lineTo x="20947" y="20510"/>
              <wp:lineTo x="21270" y="19228"/>
              <wp:lineTo x="21270" y="2564"/>
              <wp:lineTo x="17402" y="0"/>
              <wp:lineTo x="1418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logo-rgb.emf"/>
                  <pic:cNvPicPr/>
                </pic:nvPicPr>
                <pic:blipFill>
                  <a:blip r:embed="rId1">
                    <a:extLst>
                      <a:ext uri="{28A0092B-C50C-407E-A947-70E740481C1C}">
                        <a14:useLocalDpi xmlns:a14="http://schemas.microsoft.com/office/drawing/2010/main" val="0"/>
                      </a:ext>
                    </a:extLst>
                  </a:blip>
                  <a:stretch>
                    <a:fillRect/>
                  </a:stretch>
                </pic:blipFill>
                <pic:spPr>
                  <a:xfrm>
                    <a:off x="0" y="0"/>
                    <a:ext cx="1702435" cy="42799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16272" w14:textId="77777777" w:rsidR="00296865" w:rsidRPr="000362D3" w:rsidRDefault="00296865" w:rsidP="00C50E95">
      <w:pPr>
        <w:spacing w:after="0"/>
        <w:rPr>
          <w:color w:val="A6A6A6" w:themeColor="background1" w:themeShade="A6"/>
        </w:rPr>
      </w:pPr>
      <w:r w:rsidRPr="000362D3">
        <w:rPr>
          <w:color w:val="A6A6A6" w:themeColor="background1" w:themeShade="A6"/>
        </w:rPr>
        <w:separator/>
      </w:r>
    </w:p>
  </w:footnote>
  <w:footnote w:type="continuationSeparator" w:id="0">
    <w:p w14:paraId="33118F42" w14:textId="77777777" w:rsidR="00296865" w:rsidRDefault="00296865" w:rsidP="00C50E9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1B1B1" w14:textId="77777777" w:rsidR="001F70CE" w:rsidRDefault="001F70CE" w:rsidP="00D51A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B3D97" w14:textId="77777777" w:rsidR="001F70CE" w:rsidRDefault="001F70CE" w:rsidP="00D51A91">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A9504" w14:textId="77777777" w:rsidR="001F70CE" w:rsidRDefault="001F70CE" w:rsidP="00D51A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5728">
      <w:rPr>
        <w:rStyle w:val="PageNumber"/>
        <w:noProof/>
      </w:rPr>
      <w:t>1</w:t>
    </w:r>
    <w:r>
      <w:rPr>
        <w:rStyle w:val="PageNumber"/>
      </w:rPr>
      <w:fldChar w:fldCharType="end"/>
    </w:r>
  </w:p>
  <w:p w14:paraId="15C5F6A2" w14:textId="77777777" w:rsidR="001F70CE" w:rsidRDefault="001F70CE" w:rsidP="00D51A9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465A"/>
    <w:multiLevelType w:val="hybridMultilevel"/>
    <w:tmpl w:val="7EB8C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21121"/>
    <w:multiLevelType w:val="multilevel"/>
    <w:tmpl w:val="3418D848"/>
    <w:lvl w:ilvl="0">
      <w:start w:val="1"/>
      <w:numFmt w:val="bullet"/>
      <w:lvlText w:val="•"/>
      <w:lvlJc w:val="left"/>
      <w:pPr>
        <w:ind w:left="1871" w:hanging="170"/>
      </w:pPr>
      <w:rPr>
        <w:rFonts w:ascii="ING Me" w:hAnsi="ING Me" w:hint="default"/>
        <w:b w:val="0"/>
        <w:bCs w:val="0"/>
        <w:i w:val="0"/>
        <w:iCs w:val="0"/>
        <w:color w:val="D76F2C"/>
        <w:sz w:val="20"/>
        <w:szCs w:val="20"/>
      </w:rPr>
    </w:lvl>
    <w:lvl w:ilvl="1">
      <w:start w:val="1"/>
      <w:numFmt w:val="bullet"/>
      <w:lvlText w:val=""/>
      <w:lvlJc w:val="left"/>
      <w:pPr>
        <w:ind w:left="794" w:hanging="227"/>
      </w:pPr>
      <w:rPr>
        <w:rFonts w:ascii="Symbol" w:hAnsi="Symbol" w:hint="default"/>
        <w:color w:val="808080" w:themeColor="background1" w:themeShade="80"/>
        <w:sz w:val="20"/>
        <w:szCs w:val="20"/>
      </w:rPr>
    </w:lvl>
    <w:lvl w:ilvl="2">
      <w:start w:val="1"/>
      <w:numFmt w:val="bullet"/>
      <w:lvlText w:val=""/>
      <w:lvlJc w:val="left"/>
      <w:pPr>
        <w:ind w:left="1250" w:hanging="360"/>
      </w:pPr>
      <w:rPr>
        <w:rFonts w:ascii="Symbol" w:hAnsi="Symbol" w:hint="default"/>
      </w:rPr>
    </w:lvl>
    <w:lvl w:ilvl="3">
      <w:start w:val="1"/>
      <w:numFmt w:val="bullet"/>
      <w:lvlText w:val=""/>
      <w:lvlJc w:val="left"/>
      <w:pPr>
        <w:ind w:left="1610" w:hanging="360"/>
      </w:pPr>
      <w:rPr>
        <w:rFonts w:ascii="Symbol" w:hAnsi="Symbol" w:hint="default"/>
      </w:rPr>
    </w:lvl>
    <w:lvl w:ilvl="4">
      <w:start w:val="1"/>
      <w:numFmt w:val="bullet"/>
      <w:lvlText w:val=""/>
      <w:lvlJc w:val="left"/>
      <w:pPr>
        <w:ind w:left="1970" w:hanging="360"/>
      </w:pPr>
      <w:rPr>
        <w:rFonts w:ascii="Symbol" w:hAnsi="Symbol" w:hint="default"/>
      </w:rPr>
    </w:lvl>
    <w:lvl w:ilvl="5">
      <w:start w:val="1"/>
      <w:numFmt w:val="bullet"/>
      <w:lvlText w:val=""/>
      <w:lvlJc w:val="left"/>
      <w:pPr>
        <w:ind w:left="2330" w:hanging="360"/>
      </w:pPr>
      <w:rPr>
        <w:rFonts w:ascii="Symbol" w:hAnsi="Symbol" w:hint="default"/>
      </w:rPr>
    </w:lvl>
    <w:lvl w:ilvl="6">
      <w:start w:val="1"/>
      <w:numFmt w:val="bullet"/>
      <w:lvlText w:val=""/>
      <w:lvlJc w:val="left"/>
      <w:pPr>
        <w:ind w:left="2690" w:hanging="360"/>
      </w:pPr>
      <w:rPr>
        <w:rFonts w:ascii="Symbol" w:hAnsi="Symbol" w:hint="default"/>
      </w:rPr>
    </w:lvl>
    <w:lvl w:ilvl="7">
      <w:start w:val="1"/>
      <w:numFmt w:val="bullet"/>
      <w:lvlText w:val=""/>
      <w:lvlJc w:val="left"/>
      <w:pPr>
        <w:ind w:left="3050" w:hanging="360"/>
      </w:pPr>
      <w:rPr>
        <w:rFonts w:ascii="Symbol" w:hAnsi="Symbol" w:hint="default"/>
      </w:rPr>
    </w:lvl>
    <w:lvl w:ilvl="8">
      <w:start w:val="1"/>
      <w:numFmt w:val="bullet"/>
      <w:lvlText w:val=""/>
      <w:lvlJc w:val="left"/>
      <w:pPr>
        <w:ind w:left="3410" w:hanging="360"/>
      </w:pPr>
      <w:rPr>
        <w:rFonts w:ascii="Symbol" w:hAnsi="Symbol" w:hint="default"/>
      </w:rPr>
    </w:lvl>
  </w:abstractNum>
  <w:abstractNum w:abstractNumId="2" w15:restartNumberingAfterBreak="0">
    <w:nsid w:val="39A07767"/>
    <w:multiLevelType w:val="multilevel"/>
    <w:tmpl w:val="B5C00BE0"/>
    <w:lvl w:ilvl="0">
      <w:start w:val="1"/>
      <w:numFmt w:val="bullet"/>
      <w:pStyle w:val="ListBulletsforBoxes"/>
      <w:lvlText w:val="•"/>
      <w:lvlJc w:val="left"/>
      <w:pPr>
        <w:ind w:left="1871" w:hanging="170"/>
      </w:pPr>
      <w:rPr>
        <w:rFonts w:ascii="ING Me" w:hAnsi="ING Me" w:hint="default"/>
        <w:b w:val="0"/>
        <w:bCs w:val="0"/>
        <w:i w:val="0"/>
        <w:iCs w:val="0"/>
        <w:color w:val="D76F2C"/>
        <w:sz w:val="20"/>
        <w:szCs w:val="20"/>
      </w:rPr>
    </w:lvl>
    <w:lvl w:ilvl="1">
      <w:start w:val="1"/>
      <w:numFmt w:val="bullet"/>
      <w:lvlText w:val=""/>
      <w:lvlJc w:val="left"/>
      <w:pPr>
        <w:ind w:left="794" w:hanging="227"/>
      </w:pPr>
      <w:rPr>
        <w:rFonts w:ascii="Symbol" w:hAnsi="Symbol" w:hint="default"/>
        <w:color w:val="808080" w:themeColor="background1" w:themeShade="80"/>
        <w:sz w:val="20"/>
        <w:szCs w:val="20"/>
      </w:rPr>
    </w:lvl>
    <w:lvl w:ilvl="2">
      <w:start w:val="1"/>
      <w:numFmt w:val="bullet"/>
      <w:lvlText w:val=""/>
      <w:lvlJc w:val="left"/>
      <w:pPr>
        <w:ind w:left="1250" w:hanging="360"/>
      </w:pPr>
      <w:rPr>
        <w:rFonts w:ascii="Symbol" w:hAnsi="Symbol" w:hint="default"/>
      </w:rPr>
    </w:lvl>
    <w:lvl w:ilvl="3">
      <w:start w:val="1"/>
      <w:numFmt w:val="bullet"/>
      <w:lvlText w:val=""/>
      <w:lvlJc w:val="left"/>
      <w:pPr>
        <w:ind w:left="1610" w:hanging="360"/>
      </w:pPr>
      <w:rPr>
        <w:rFonts w:ascii="Symbol" w:hAnsi="Symbol" w:hint="default"/>
      </w:rPr>
    </w:lvl>
    <w:lvl w:ilvl="4">
      <w:start w:val="1"/>
      <w:numFmt w:val="bullet"/>
      <w:lvlText w:val=""/>
      <w:lvlJc w:val="left"/>
      <w:pPr>
        <w:ind w:left="1970" w:hanging="360"/>
      </w:pPr>
      <w:rPr>
        <w:rFonts w:ascii="Symbol" w:hAnsi="Symbol" w:hint="default"/>
      </w:rPr>
    </w:lvl>
    <w:lvl w:ilvl="5">
      <w:start w:val="1"/>
      <w:numFmt w:val="bullet"/>
      <w:lvlText w:val=""/>
      <w:lvlJc w:val="left"/>
      <w:pPr>
        <w:ind w:left="2330" w:hanging="360"/>
      </w:pPr>
      <w:rPr>
        <w:rFonts w:ascii="Symbol" w:hAnsi="Symbol" w:hint="default"/>
      </w:rPr>
    </w:lvl>
    <w:lvl w:ilvl="6">
      <w:start w:val="1"/>
      <w:numFmt w:val="bullet"/>
      <w:lvlText w:val=""/>
      <w:lvlJc w:val="left"/>
      <w:pPr>
        <w:ind w:left="2690" w:hanging="360"/>
      </w:pPr>
      <w:rPr>
        <w:rFonts w:ascii="Symbol" w:hAnsi="Symbol" w:hint="default"/>
      </w:rPr>
    </w:lvl>
    <w:lvl w:ilvl="7">
      <w:start w:val="1"/>
      <w:numFmt w:val="bullet"/>
      <w:lvlText w:val=""/>
      <w:lvlJc w:val="left"/>
      <w:pPr>
        <w:ind w:left="3050" w:hanging="360"/>
      </w:pPr>
      <w:rPr>
        <w:rFonts w:ascii="Symbol" w:hAnsi="Symbol" w:hint="default"/>
      </w:rPr>
    </w:lvl>
    <w:lvl w:ilvl="8">
      <w:start w:val="1"/>
      <w:numFmt w:val="bullet"/>
      <w:lvlText w:val=""/>
      <w:lvlJc w:val="left"/>
      <w:pPr>
        <w:ind w:left="3410" w:hanging="360"/>
      </w:pPr>
      <w:rPr>
        <w:rFonts w:ascii="Symbol" w:hAnsi="Symbol" w:hint="default"/>
      </w:rPr>
    </w:lvl>
  </w:abstractNum>
  <w:abstractNum w:abstractNumId="3" w15:restartNumberingAfterBreak="0">
    <w:nsid w:val="3A61593D"/>
    <w:multiLevelType w:val="hybridMultilevel"/>
    <w:tmpl w:val="5FF0EA80"/>
    <w:lvl w:ilvl="0" w:tplc="D5D4D2BC">
      <w:start w:val="1"/>
      <w:numFmt w:val="bullet"/>
      <w:lvlText w:val="•"/>
      <w:lvlJc w:val="left"/>
      <w:pPr>
        <w:ind w:left="567" w:firstLine="0"/>
      </w:pPr>
      <w:rPr>
        <w:rFonts w:ascii="ING Me" w:hAnsi="ING Me" w:hint="default"/>
        <w:b w:val="0"/>
        <w:bCs w:val="0"/>
        <w:i w:val="0"/>
        <w:iCs w:val="0"/>
        <w:sz w:val="20"/>
        <w:szCs w:val="2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59D4602A"/>
    <w:multiLevelType w:val="multilevel"/>
    <w:tmpl w:val="AAA06F96"/>
    <w:lvl w:ilvl="0">
      <w:start w:val="1"/>
      <w:numFmt w:val="bullet"/>
      <w:pStyle w:val="ListBullets"/>
      <w:lvlText w:val="•"/>
      <w:lvlJc w:val="left"/>
      <w:pPr>
        <w:ind w:left="340" w:hanging="170"/>
      </w:pPr>
      <w:rPr>
        <w:rFonts w:ascii="ING Me" w:hAnsi="ING Me" w:hint="default"/>
        <w:b w:val="0"/>
        <w:bCs w:val="0"/>
        <w:i w:val="0"/>
        <w:iCs w:val="0"/>
        <w:color w:val="D76F2C"/>
        <w:sz w:val="20"/>
        <w:szCs w:val="20"/>
      </w:rPr>
    </w:lvl>
    <w:lvl w:ilvl="1">
      <w:start w:val="1"/>
      <w:numFmt w:val="bullet"/>
      <w:lvlText w:val=""/>
      <w:lvlJc w:val="left"/>
      <w:pPr>
        <w:ind w:left="624" w:hanging="170"/>
      </w:pPr>
      <w:rPr>
        <w:rFonts w:ascii="Symbol" w:hAnsi="Symbol" w:hint="default"/>
        <w:color w:val="808080" w:themeColor="background1" w:themeShade="80"/>
        <w:sz w:val="20"/>
        <w:szCs w:val="20"/>
      </w:rPr>
    </w:lvl>
    <w:lvl w:ilvl="2">
      <w:start w:val="1"/>
      <w:numFmt w:val="bullet"/>
      <w:lvlText w:val=""/>
      <w:lvlJc w:val="left"/>
      <w:pPr>
        <w:ind w:left="2611" w:hanging="360"/>
      </w:pPr>
      <w:rPr>
        <w:rFonts w:ascii="Symbol" w:hAnsi="Symbol" w:hint="default"/>
      </w:rPr>
    </w:lvl>
    <w:lvl w:ilvl="3">
      <w:start w:val="1"/>
      <w:numFmt w:val="bullet"/>
      <w:lvlText w:val=""/>
      <w:lvlJc w:val="left"/>
      <w:pPr>
        <w:ind w:left="2971" w:hanging="360"/>
      </w:pPr>
      <w:rPr>
        <w:rFonts w:ascii="Symbol" w:hAnsi="Symbol" w:hint="default"/>
      </w:rPr>
    </w:lvl>
    <w:lvl w:ilvl="4">
      <w:start w:val="1"/>
      <w:numFmt w:val="bullet"/>
      <w:lvlText w:val=""/>
      <w:lvlJc w:val="left"/>
      <w:pPr>
        <w:ind w:left="3331" w:hanging="360"/>
      </w:pPr>
      <w:rPr>
        <w:rFonts w:ascii="Symbol" w:hAnsi="Symbol" w:hint="default"/>
      </w:rPr>
    </w:lvl>
    <w:lvl w:ilvl="5">
      <w:start w:val="1"/>
      <w:numFmt w:val="bullet"/>
      <w:lvlText w:val=""/>
      <w:lvlJc w:val="left"/>
      <w:pPr>
        <w:ind w:left="3691" w:hanging="360"/>
      </w:pPr>
      <w:rPr>
        <w:rFonts w:ascii="Symbol" w:hAnsi="Symbol" w:hint="default"/>
      </w:rPr>
    </w:lvl>
    <w:lvl w:ilvl="6">
      <w:start w:val="1"/>
      <w:numFmt w:val="bullet"/>
      <w:lvlText w:val=""/>
      <w:lvlJc w:val="left"/>
      <w:pPr>
        <w:ind w:left="4051" w:hanging="360"/>
      </w:pPr>
      <w:rPr>
        <w:rFonts w:ascii="Symbol" w:hAnsi="Symbol" w:hint="default"/>
      </w:rPr>
    </w:lvl>
    <w:lvl w:ilvl="7">
      <w:start w:val="1"/>
      <w:numFmt w:val="bullet"/>
      <w:lvlText w:val=""/>
      <w:lvlJc w:val="left"/>
      <w:pPr>
        <w:ind w:left="4411" w:hanging="360"/>
      </w:pPr>
      <w:rPr>
        <w:rFonts w:ascii="Symbol" w:hAnsi="Symbol" w:hint="default"/>
      </w:rPr>
    </w:lvl>
    <w:lvl w:ilvl="8">
      <w:start w:val="1"/>
      <w:numFmt w:val="bullet"/>
      <w:lvlText w:val=""/>
      <w:lvlJc w:val="left"/>
      <w:pPr>
        <w:ind w:left="4771" w:hanging="360"/>
      </w:pPr>
      <w:rPr>
        <w:rFonts w:ascii="Symbol" w:hAnsi="Symbol" w:hint="default"/>
      </w:rPr>
    </w:lvl>
  </w:abstractNum>
  <w:abstractNum w:abstractNumId="5" w15:restartNumberingAfterBreak="0">
    <w:nsid w:val="7C064575"/>
    <w:multiLevelType w:val="multilevel"/>
    <w:tmpl w:val="3828CCF0"/>
    <w:styleLink w:val="CurrentList1"/>
    <w:lvl w:ilvl="0">
      <w:start w:val="1"/>
      <w:numFmt w:val="bullet"/>
      <w:lvlText w:val="•"/>
      <w:lvlJc w:val="left"/>
      <w:pPr>
        <w:ind w:left="340" w:hanging="170"/>
      </w:pPr>
      <w:rPr>
        <w:rFonts w:ascii="ING Me" w:hAnsi="ING Me" w:hint="default"/>
        <w:b w:val="0"/>
        <w:bCs w:val="0"/>
        <w:i w:val="0"/>
        <w:iCs w:val="0"/>
        <w:color w:val="D76F2C"/>
        <w:sz w:val="20"/>
        <w:szCs w:val="20"/>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num w:numId="1">
    <w:abstractNumId w:val="3"/>
  </w:num>
  <w:num w:numId="2">
    <w:abstractNumId w:val="5"/>
  </w:num>
  <w:num w:numId="3">
    <w:abstractNumId w:val="2"/>
  </w:num>
  <w:num w:numId="4">
    <w:abstractNumId w:val="4"/>
  </w:num>
  <w:num w:numId="5">
    <w:abstractNumId w:val="1"/>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284"/>
  <w:drawingGridVerticalSpacing w:val="284"/>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8E1A5E"/>
    <w:rsid w:val="000362D3"/>
    <w:rsid w:val="0010171E"/>
    <w:rsid w:val="00104D4A"/>
    <w:rsid w:val="00115C20"/>
    <w:rsid w:val="00166D1A"/>
    <w:rsid w:val="001A184F"/>
    <w:rsid w:val="001B55C6"/>
    <w:rsid w:val="001F70CE"/>
    <w:rsid w:val="00233A41"/>
    <w:rsid w:val="0024561E"/>
    <w:rsid w:val="002547E9"/>
    <w:rsid w:val="00263481"/>
    <w:rsid w:val="00296865"/>
    <w:rsid w:val="002C793A"/>
    <w:rsid w:val="00303B4C"/>
    <w:rsid w:val="003D4A39"/>
    <w:rsid w:val="003D6327"/>
    <w:rsid w:val="003F4075"/>
    <w:rsid w:val="004136C8"/>
    <w:rsid w:val="00446677"/>
    <w:rsid w:val="00490AA1"/>
    <w:rsid w:val="004B5ECF"/>
    <w:rsid w:val="004D73D2"/>
    <w:rsid w:val="004E0716"/>
    <w:rsid w:val="004E30A4"/>
    <w:rsid w:val="00552C2B"/>
    <w:rsid w:val="00557299"/>
    <w:rsid w:val="00561B6B"/>
    <w:rsid w:val="005913D6"/>
    <w:rsid w:val="005E717E"/>
    <w:rsid w:val="00610D81"/>
    <w:rsid w:val="006567A8"/>
    <w:rsid w:val="006808D0"/>
    <w:rsid w:val="00692144"/>
    <w:rsid w:val="006A773D"/>
    <w:rsid w:val="006F6994"/>
    <w:rsid w:val="00740802"/>
    <w:rsid w:val="007A34ED"/>
    <w:rsid w:val="008A3518"/>
    <w:rsid w:val="008A3547"/>
    <w:rsid w:val="008B4681"/>
    <w:rsid w:val="008D604C"/>
    <w:rsid w:val="008E1A5E"/>
    <w:rsid w:val="008F3717"/>
    <w:rsid w:val="00900832"/>
    <w:rsid w:val="00914D19"/>
    <w:rsid w:val="009A5E80"/>
    <w:rsid w:val="009B5728"/>
    <w:rsid w:val="009D37B6"/>
    <w:rsid w:val="00A52A7E"/>
    <w:rsid w:val="00AD51D4"/>
    <w:rsid w:val="00AD64BC"/>
    <w:rsid w:val="00AD705C"/>
    <w:rsid w:val="00B01760"/>
    <w:rsid w:val="00B546DD"/>
    <w:rsid w:val="00B7123C"/>
    <w:rsid w:val="00BA0CD2"/>
    <w:rsid w:val="00BA502A"/>
    <w:rsid w:val="00BB1B65"/>
    <w:rsid w:val="00BD496A"/>
    <w:rsid w:val="00BF4E63"/>
    <w:rsid w:val="00C50E95"/>
    <w:rsid w:val="00CC5201"/>
    <w:rsid w:val="00D25E35"/>
    <w:rsid w:val="00D51A91"/>
    <w:rsid w:val="00D574F5"/>
    <w:rsid w:val="00D901B9"/>
    <w:rsid w:val="00D929C0"/>
    <w:rsid w:val="00DB4C22"/>
    <w:rsid w:val="00E22C2C"/>
    <w:rsid w:val="00E278AC"/>
    <w:rsid w:val="00E4111E"/>
    <w:rsid w:val="00E431E6"/>
    <w:rsid w:val="00E547BC"/>
    <w:rsid w:val="00E610EA"/>
    <w:rsid w:val="00EB096F"/>
    <w:rsid w:val="00EC473A"/>
    <w:rsid w:val="00F259F3"/>
    <w:rsid w:val="00F34213"/>
    <w:rsid w:val="00F60A98"/>
    <w:rsid w:val="00FA1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6369080"/>
  <w14:defaultImageDpi w14:val="300"/>
  <w15:docId w15:val="{5EB9A89E-D886-4212-B4C2-7B56E600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B65"/>
    <w:pPr>
      <w:spacing w:after="120"/>
    </w:pPr>
    <w:rPr>
      <w:rFonts w:ascii="ING Me" w:hAnsi="ING Me"/>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0E95"/>
    <w:rPr>
      <w:rFonts w:ascii="Lucida Grande" w:hAnsi="Lucida Grande" w:cs="Lucida Grande"/>
      <w:sz w:val="18"/>
      <w:szCs w:val="18"/>
    </w:rPr>
  </w:style>
  <w:style w:type="paragraph" w:styleId="Header">
    <w:name w:val="header"/>
    <w:basedOn w:val="Normal"/>
    <w:link w:val="HeaderChar"/>
    <w:uiPriority w:val="99"/>
    <w:unhideWhenUsed/>
    <w:rsid w:val="00C50E95"/>
    <w:pPr>
      <w:tabs>
        <w:tab w:val="center" w:pos="4320"/>
        <w:tab w:val="right" w:pos="8640"/>
      </w:tabs>
    </w:pPr>
  </w:style>
  <w:style w:type="character" w:customStyle="1" w:styleId="HeaderChar">
    <w:name w:val="Header Char"/>
    <w:basedOn w:val="DefaultParagraphFont"/>
    <w:link w:val="Header"/>
    <w:uiPriority w:val="99"/>
    <w:rsid w:val="00C50E95"/>
  </w:style>
  <w:style w:type="paragraph" w:styleId="Footer">
    <w:name w:val="footer"/>
    <w:basedOn w:val="Normal"/>
    <w:link w:val="FooterChar"/>
    <w:uiPriority w:val="99"/>
    <w:unhideWhenUsed/>
    <w:rsid w:val="00C50E95"/>
    <w:pPr>
      <w:tabs>
        <w:tab w:val="center" w:pos="4320"/>
        <w:tab w:val="right" w:pos="8640"/>
      </w:tabs>
    </w:pPr>
  </w:style>
  <w:style w:type="character" w:customStyle="1" w:styleId="FooterChar">
    <w:name w:val="Footer Char"/>
    <w:basedOn w:val="DefaultParagraphFont"/>
    <w:link w:val="Footer"/>
    <w:uiPriority w:val="99"/>
    <w:rsid w:val="00C50E95"/>
  </w:style>
  <w:style w:type="paragraph" w:customStyle="1" w:styleId="FootnoteReferenceFake">
    <w:name w:val="FootnoteReferenceFake"/>
    <w:basedOn w:val="ImageCentered"/>
    <w:autoRedefine/>
    <w:qFormat/>
    <w:rsid w:val="004136C8"/>
    <w:rPr>
      <w:color w:val="FFFFFF" w:themeColor="background1"/>
      <w:sz w:val="4"/>
      <w:szCs w:val="4"/>
    </w:rPr>
  </w:style>
  <w:style w:type="paragraph" w:customStyle="1" w:styleId="Header1">
    <w:name w:val="Header1"/>
    <w:basedOn w:val="Normal"/>
    <w:next w:val="Introduction"/>
    <w:autoRedefine/>
    <w:qFormat/>
    <w:rsid w:val="00F60A98"/>
    <w:pPr>
      <w:suppressAutoHyphens/>
      <w:spacing w:after="240"/>
      <w:ind w:right="567"/>
    </w:pPr>
    <w:rPr>
      <w:b/>
      <w:sz w:val="40"/>
      <w:szCs w:val="48"/>
    </w:rPr>
  </w:style>
  <w:style w:type="paragraph" w:customStyle="1" w:styleId="Introduction">
    <w:name w:val="Introduction"/>
    <w:basedOn w:val="Normal"/>
    <w:autoRedefine/>
    <w:qFormat/>
    <w:rsid w:val="004E30A4"/>
    <w:pPr>
      <w:suppressAutoHyphens/>
      <w:spacing w:after="360"/>
      <w:ind w:right="-7"/>
      <w:jc w:val="both"/>
    </w:pPr>
    <w:rPr>
      <w:b/>
      <w:bCs/>
      <w:sz w:val="24"/>
    </w:rPr>
  </w:style>
  <w:style w:type="paragraph" w:customStyle="1" w:styleId="Header2">
    <w:name w:val="Header2"/>
    <w:basedOn w:val="Introduction"/>
    <w:autoRedefine/>
    <w:qFormat/>
    <w:rsid w:val="00233A41"/>
    <w:pPr>
      <w:spacing w:before="420" w:after="120"/>
    </w:pPr>
    <w:rPr>
      <w:color w:val="D7702D"/>
      <w:sz w:val="26"/>
      <w:szCs w:val="28"/>
    </w:rPr>
  </w:style>
  <w:style w:type="paragraph" w:customStyle="1" w:styleId="ListBullets">
    <w:name w:val="ListBullets"/>
    <w:basedOn w:val="Normal"/>
    <w:autoRedefine/>
    <w:qFormat/>
    <w:rsid w:val="00AD705C"/>
    <w:pPr>
      <w:numPr>
        <w:numId w:val="4"/>
      </w:numPr>
      <w:suppressAutoHyphens/>
      <w:spacing w:after="60" w:line="252" w:lineRule="auto"/>
      <w:ind w:right="-132"/>
      <w:jc w:val="both"/>
    </w:pPr>
  </w:style>
  <w:style w:type="paragraph" w:styleId="ListParagraph">
    <w:name w:val="List Paragraph"/>
    <w:basedOn w:val="Normal"/>
    <w:uiPriority w:val="34"/>
    <w:qFormat/>
    <w:rsid w:val="00552C2B"/>
    <w:pPr>
      <w:ind w:left="720"/>
      <w:contextualSpacing/>
    </w:pPr>
  </w:style>
  <w:style w:type="paragraph" w:styleId="FootnoteText">
    <w:name w:val="footnote text"/>
    <w:basedOn w:val="Normal"/>
    <w:link w:val="FootnoteTextChar"/>
    <w:autoRedefine/>
    <w:uiPriority w:val="99"/>
    <w:unhideWhenUsed/>
    <w:qFormat/>
    <w:rsid w:val="00BF4E63"/>
    <w:pPr>
      <w:spacing w:after="60"/>
    </w:pPr>
    <w:rPr>
      <w:color w:val="A6A6A6" w:themeColor="background1" w:themeShade="A6"/>
      <w:sz w:val="18"/>
      <w:szCs w:val="18"/>
    </w:rPr>
  </w:style>
  <w:style w:type="character" w:customStyle="1" w:styleId="FootnoteTextChar">
    <w:name w:val="Footnote Text Char"/>
    <w:basedOn w:val="DefaultParagraphFont"/>
    <w:link w:val="FootnoteText"/>
    <w:uiPriority w:val="99"/>
    <w:rsid w:val="00BF4E63"/>
    <w:rPr>
      <w:rFonts w:ascii="ING Me" w:hAnsi="ING Me"/>
      <w:color w:val="A6A6A6" w:themeColor="background1" w:themeShade="A6"/>
      <w:sz w:val="18"/>
      <w:szCs w:val="18"/>
      <w:lang w:val="en-GB"/>
    </w:rPr>
  </w:style>
  <w:style w:type="character" w:styleId="FootnoteReference">
    <w:name w:val="footnote reference"/>
    <w:basedOn w:val="DefaultParagraphFont"/>
    <w:uiPriority w:val="99"/>
    <w:unhideWhenUsed/>
    <w:rsid w:val="0024561E"/>
    <w:rPr>
      <w:vertAlign w:val="superscript"/>
    </w:rPr>
  </w:style>
  <w:style w:type="paragraph" w:customStyle="1" w:styleId="FootnoteText0">
    <w:name w:val="FootnoteText"/>
    <w:basedOn w:val="Normal"/>
    <w:autoRedefine/>
    <w:qFormat/>
    <w:rsid w:val="00E547BC"/>
    <w:pPr>
      <w:suppressAutoHyphens/>
      <w:spacing w:after="40"/>
    </w:pPr>
    <w:rPr>
      <w:color w:val="BFBFBF" w:themeColor="background1" w:themeShade="BF"/>
      <w:sz w:val="18"/>
      <w:szCs w:val="18"/>
    </w:rPr>
  </w:style>
  <w:style w:type="paragraph" w:customStyle="1" w:styleId="Header3">
    <w:name w:val="Header3"/>
    <w:basedOn w:val="Normal"/>
    <w:autoRedefine/>
    <w:qFormat/>
    <w:rsid w:val="004B5ECF"/>
    <w:pPr>
      <w:keepNext/>
      <w:spacing w:before="300" w:after="60"/>
    </w:pPr>
    <w:rPr>
      <w:b/>
      <w:bCs/>
      <w:sz w:val="22"/>
      <w:szCs w:val="28"/>
    </w:rPr>
  </w:style>
  <w:style w:type="character" w:customStyle="1" w:styleId="Bold">
    <w:name w:val="Bold"/>
    <w:basedOn w:val="DefaultParagraphFont"/>
    <w:uiPriority w:val="1"/>
    <w:qFormat/>
    <w:rsid w:val="00D574F5"/>
    <w:rPr>
      <w:b/>
      <w:bCs/>
      <w:i w:val="0"/>
      <w:iCs w:val="0"/>
    </w:rPr>
  </w:style>
  <w:style w:type="character" w:customStyle="1" w:styleId="Italic">
    <w:name w:val="Italic"/>
    <w:basedOn w:val="DefaultParagraphFont"/>
    <w:uiPriority w:val="1"/>
    <w:qFormat/>
    <w:rsid w:val="00D574F5"/>
    <w:rPr>
      <w:i/>
      <w:iCs/>
    </w:rPr>
  </w:style>
  <w:style w:type="numbering" w:customStyle="1" w:styleId="CurrentList1">
    <w:name w:val="Current List1"/>
    <w:uiPriority w:val="99"/>
    <w:rsid w:val="0010171E"/>
    <w:pPr>
      <w:numPr>
        <w:numId w:val="2"/>
      </w:numPr>
    </w:pPr>
  </w:style>
  <w:style w:type="character" w:customStyle="1" w:styleId="BoldItalic">
    <w:name w:val="BoldItalic"/>
    <w:basedOn w:val="DefaultParagraphFont"/>
    <w:uiPriority w:val="1"/>
    <w:qFormat/>
    <w:rsid w:val="00D574F5"/>
    <w:rPr>
      <w:b/>
      <w:bCs/>
      <w:i/>
      <w:iCs/>
    </w:rPr>
  </w:style>
  <w:style w:type="paragraph" w:customStyle="1" w:styleId="InformationAtBottomBASE">
    <w:name w:val="InformationAtBottom (BASE)"/>
    <w:basedOn w:val="Normal"/>
    <w:uiPriority w:val="99"/>
    <w:rsid w:val="00D574F5"/>
    <w:pPr>
      <w:widowControl w:val="0"/>
      <w:suppressAutoHyphens/>
      <w:autoSpaceDE w:val="0"/>
      <w:autoSpaceDN w:val="0"/>
      <w:adjustRightInd w:val="0"/>
      <w:spacing w:after="0" w:line="288" w:lineRule="auto"/>
      <w:textAlignment w:val="center"/>
    </w:pPr>
    <w:rPr>
      <w:rFonts w:ascii="INGMe" w:hAnsi="INGMe" w:cs="INGMe"/>
      <w:color w:val="000000"/>
      <w:spacing w:val="-1"/>
      <w:w w:val="95"/>
      <w:sz w:val="14"/>
      <w:szCs w:val="14"/>
      <w:lang w:val="en-US"/>
    </w:rPr>
  </w:style>
  <w:style w:type="paragraph" w:customStyle="1" w:styleId="Baseline">
    <w:name w:val="Baseline"/>
    <w:basedOn w:val="Normal"/>
    <w:autoRedefine/>
    <w:qFormat/>
    <w:rsid w:val="00E547BC"/>
    <w:pPr>
      <w:suppressAutoHyphens/>
      <w:spacing w:after="0"/>
    </w:pPr>
    <w:rPr>
      <w:sz w:val="14"/>
      <w:szCs w:val="14"/>
    </w:rPr>
  </w:style>
  <w:style w:type="paragraph" w:customStyle="1" w:styleId="PressRelease">
    <w:name w:val="PressRelease"/>
    <w:basedOn w:val="Normal"/>
    <w:autoRedefine/>
    <w:qFormat/>
    <w:rsid w:val="00F60A98"/>
    <w:pPr>
      <w:spacing w:after="480"/>
      <w:jc w:val="right"/>
    </w:pPr>
    <w:rPr>
      <w:color w:val="A6A6A6" w:themeColor="background1" w:themeShade="A6"/>
      <w:sz w:val="24"/>
    </w:rPr>
  </w:style>
  <w:style w:type="paragraph" w:customStyle="1" w:styleId="Box">
    <w:name w:val="Box"/>
    <w:basedOn w:val="Normal"/>
    <w:autoRedefine/>
    <w:qFormat/>
    <w:rsid w:val="00AD705C"/>
    <w:pPr>
      <w:pBdr>
        <w:top w:val="single" w:sz="4" w:space="6" w:color="D7702D"/>
        <w:left w:val="single" w:sz="4" w:space="12" w:color="D7702D"/>
        <w:bottom w:val="single" w:sz="4" w:space="6" w:color="D7702D"/>
        <w:right w:val="single" w:sz="4" w:space="12" w:color="D7702D"/>
      </w:pBdr>
      <w:spacing w:before="240"/>
      <w:ind w:left="567" w:right="560"/>
    </w:pPr>
    <w:rPr>
      <w:szCs w:val="20"/>
      <w:lang w:val="nl-BE"/>
    </w:rPr>
  </w:style>
  <w:style w:type="paragraph" w:customStyle="1" w:styleId="ListBulletsforBoxes">
    <w:name w:val="ListBulletsforBoxes"/>
    <w:autoRedefine/>
    <w:qFormat/>
    <w:rsid w:val="0010171E"/>
    <w:pPr>
      <w:numPr>
        <w:numId w:val="3"/>
      </w:numPr>
      <w:pBdr>
        <w:top w:val="single" w:sz="4" w:space="6" w:color="D7702D"/>
        <w:left w:val="single" w:sz="4" w:space="12" w:color="D7702D"/>
        <w:bottom w:val="single" w:sz="4" w:space="6" w:color="D7702D"/>
        <w:right w:val="single" w:sz="4" w:space="12" w:color="D7702D"/>
      </w:pBdr>
      <w:spacing w:after="6"/>
      <w:ind w:right="1701"/>
    </w:pPr>
    <w:rPr>
      <w:rFonts w:ascii="ING Me" w:hAnsi="ING Me"/>
      <w:sz w:val="20"/>
      <w:lang w:val="en-GB"/>
    </w:rPr>
  </w:style>
  <w:style w:type="paragraph" w:customStyle="1" w:styleId="ImageCentered">
    <w:name w:val="ImageCentered"/>
    <w:basedOn w:val="Normal"/>
    <w:next w:val="Normal"/>
    <w:autoRedefine/>
    <w:qFormat/>
    <w:rsid w:val="00BB1B65"/>
    <w:pPr>
      <w:spacing w:before="240" w:after="240"/>
      <w:jc w:val="center"/>
    </w:pPr>
    <w:rPr>
      <w:noProof/>
      <w:lang w:val="en-US"/>
    </w:rPr>
  </w:style>
  <w:style w:type="character" w:styleId="PageNumber">
    <w:name w:val="page number"/>
    <w:basedOn w:val="DefaultParagraphFont"/>
    <w:uiPriority w:val="99"/>
    <w:semiHidden/>
    <w:unhideWhenUsed/>
    <w:rsid w:val="00D51A91"/>
  </w:style>
  <w:style w:type="character" w:styleId="Hyperlink">
    <w:name w:val="Hyperlink"/>
    <w:basedOn w:val="DefaultParagraphFont"/>
    <w:uiPriority w:val="99"/>
    <w:unhideWhenUsed/>
    <w:rsid w:val="00AD705C"/>
    <w:rPr>
      <w:color w:val="0000FF" w:themeColor="hyperlink"/>
      <w:u w:val="single"/>
    </w:rPr>
  </w:style>
  <w:style w:type="paragraph" w:customStyle="1" w:styleId="Boilerplate">
    <w:name w:val="Boilerplate"/>
    <w:basedOn w:val="Normal"/>
    <w:rsid w:val="008B4681"/>
    <w:pPr>
      <w:spacing w:after="80"/>
    </w:pPr>
    <w:rPr>
      <w:rFonts w:ascii="Calibri" w:eastAsia="Calibri" w:hAnsi="Calibri" w:cs="Times New Roman"/>
      <w:color w:val="000000"/>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ing.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DA34636D6E1E45961E46D0A47BD5D5"/>
        <w:category>
          <w:name w:val="General"/>
          <w:gallery w:val="placeholder"/>
        </w:category>
        <w:types>
          <w:type w:val="bbPlcHdr"/>
        </w:types>
        <w:behaviors>
          <w:behavior w:val="content"/>
        </w:behaviors>
        <w:guid w:val="{E7C20D9D-B9D7-D140-A7E5-06A866BEC8D7}"/>
      </w:docPartPr>
      <w:docPartBody>
        <w:p w:rsidR="00E542FC" w:rsidRDefault="00E542FC" w:rsidP="00E542FC">
          <w:pPr>
            <w:pStyle w:val="01DA34636D6E1E45961E46D0A47BD5D5"/>
          </w:pPr>
          <w:r>
            <w:t>[Type text]</w:t>
          </w:r>
        </w:p>
      </w:docPartBody>
    </w:docPart>
    <w:docPart>
      <w:docPartPr>
        <w:name w:val="E60AAA234B34A84BB04A7EC94B8EB536"/>
        <w:category>
          <w:name w:val="General"/>
          <w:gallery w:val="placeholder"/>
        </w:category>
        <w:types>
          <w:type w:val="bbPlcHdr"/>
        </w:types>
        <w:behaviors>
          <w:behavior w:val="content"/>
        </w:behaviors>
        <w:guid w:val="{40D0ABB1-835E-4C4C-BB84-CD202684A2E7}"/>
      </w:docPartPr>
      <w:docPartBody>
        <w:p w:rsidR="00E542FC" w:rsidRDefault="00E542FC" w:rsidP="00E542FC">
          <w:pPr>
            <w:pStyle w:val="E60AAA234B34A84BB04A7EC94B8EB536"/>
          </w:pPr>
          <w:r>
            <w:t>[Type text]</w:t>
          </w:r>
        </w:p>
      </w:docPartBody>
    </w:docPart>
    <w:docPart>
      <w:docPartPr>
        <w:name w:val="48AACB637F4A56428038C2406C3A0B3F"/>
        <w:category>
          <w:name w:val="General"/>
          <w:gallery w:val="placeholder"/>
        </w:category>
        <w:types>
          <w:type w:val="bbPlcHdr"/>
        </w:types>
        <w:behaviors>
          <w:behavior w:val="content"/>
        </w:behaviors>
        <w:guid w:val="{D293B335-79C5-C641-A9B5-680310D29A0C}"/>
      </w:docPartPr>
      <w:docPartBody>
        <w:p w:rsidR="00E542FC" w:rsidRDefault="00E542FC" w:rsidP="00E542FC">
          <w:pPr>
            <w:pStyle w:val="48AACB637F4A56428038C2406C3A0B3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G Me">
    <w:altName w:val="Franklin Gothic Medium Cond"/>
    <w:panose1 w:val="02000506040000020004"/>
    <w:charset w:val="00"/>
    <w:family w:val="auto"/>
    <w:pitch w:val="variable"/>
    <w:sig w:usb0="A10002AF" w:usb1="5000607A"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Arabic">
    <w:altName w:val="Times New Roman"/>
    <w:charset w:val="00"/>
    <w:family w:val="auto"/>
    <w:pitch w:val="variable"/>
    <w:sig w:usb0="00000000" w:usb1="8000A04A"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2FC"/>
    <w:rsid w:val="004803B8"/>
    <w:rsid w:val="00E54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DA34636D6E1E45961E46D0A47BD5D5">
    <w:name w:val="01DA34636D6E1E45961E46D0A47BD5D5"/>
    <w:rsid w:val="00E542FC"/>
  </w:style>
  <w:style w:type="paragraph" w:customStyle="1" w:styleId="E60AAA234B34A84BB04A7EC94B8EB536">
    <w:name w:val="E60AAA234B34A84BB04A7EC94B8EB536"/>
    <w:rsid w:val="00E542FC"/>
  </w:style>
  <w:style w:type="paragraph" w:customStyle="1" w:styleId="48AACB637F4A56428038C2406C3A0B3F">
    <w:name w:val="48AACB637F4A56428038C2406C3A0B3F"/>
    <w:rsid w:val="00E542FC"/>
  </w:style>
  <w:style w:type="paragraph" w:customStyle="1" w:styleId="94947553FF81A647B7ED6CEDA0838FBA">
    <w:name w:val="94947553FF81A647B7ED6CEDA0838FBA"/>
    <w:rsid w:val="00E542FC"/>
  </w:style>
  <w:style w:type="paragraph" w:customStyle="1" w:styleId="0AA16BA472FFBD4E865ABB8B983C5FBD">
    <w:name w:val="0AA16BA472FFBD4E865ABB8B983C5FBD"/>
    <w:rsid w:val="00E542FC"/>
  </w:style>
  <w:style w:type="paragraph" w:customStyle="1" w:styleId="4994DD65BF1EA14DA931F6852C1D3004">
    <w:name w:val="4994DD65BF1EA14DA931F6852C1D3004"/>
    <w:rsid w:val="00E54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078CB-111F-4BC2-996A-8E24C22D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ING Belgium</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Neeb, J. (Joelle)</cp:lastModifiedBy>
  <cp:revision>6</cp:revision>
  <cp:lastPrinted>2018-12-11T08:26:00Z</cp:lastPrinted>
  <dcterms:created xsi:type="dcterms:W3CDTF">2018-12-10T10:34:00Z</dcterms:created>
  <dcterms:modified xsi:type="dcterms:W3CDTF">2018-12-11T08:47:00Z</dcterms:modified>
</cp:coreProperties>
</file>