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812"/>
        <w:gridCol w:w="1809"/>
        <w:gridCol w:w="1902"/>
      </w:tblGrid>
      <w:tr w:rsidR="009924EC" w14:paraId="22E069FB" w14:textId="77777777" w:rsidTr="006B60CA">
        <w:trPr>
          <w:trHeight w:val="433"/>
        </w:trPr>
        <w:tc>
          <w:tcPr>
            <w:tcW w:w="7621" w:type="dxa"/>
            <w:gridSpan w:val="2"/>
          </w:tcPr>
          <w:p w14:paraId="653C5E04" w14:textId="77777777" w:rsidR="009924EC" w:rsidRPr="00B612A0" w:rsidRDefault="00B76447" w:rsidP="00B76447">
            <w:pPr>
              <w:rPr>
                <w:b/>
                <w:bCs/>
                <w:color w:val="00A0CB"/>
                <w:spacing w:val="38"/>
                <w:sz w:val="36"/>
                <w:szCs w:val="36"/>
              </w:rPr>
            </w:pPr>
            <w:r>
              <w:rPr>
                <w:b/>
                <w:color w:val="00A0CB"/>
                <w:spacing w:val="38"/>
                <w:sz w:val="36"/>
              </w:rPr>
              <w:t>Vraag aan een expert</w:t>
            </w:r>
          </w:p>
        </w:tc>
        <w:tc>
          <w:tcPr>
            <w:tcW w:w="1902" w:type="dxa"/>
            <w:vMerge w:val="restart"/>
          </w:tcPr>
          <w:p w14:paraId="60345264" w14:textId="1021A4A4" w:rsidR="009924EC" w:rsidRPr="00C57B44" w:rsidRDefault="00857386" w:rsidP="00C57B44">
            <w:pPr>
              <w:rPr>
                <w:rFonts w:ascii="Calibri" w:hAnsi="Calibri"/>
                <w:sz w:val="24"/>
              </w:rPr>
            </w:pPr>
            <w:r>
              <w:rPr>
                <w:rFonts w:ascii="Calibri" w:hAnsi="Calibri"/>
                <w:noProof/>
                <w:sz w:val="24"/>
                <w:lang w:val="en-US" w:eastAsia="en-US" w:bidi="ar-SA"/>
              </w:rPr>
              <w:drawing>
                <wp:anchor distT="0" distB="0" distL="114300" distR="114300" simplePos="0" relativeHeight="251660800" behindDoc="0" locked="0" layoutInCell="1" allowOverlap="1" wp14:anchorId="7975EA7D" wp14:editId="3BB1C70E">
                  <wp:simplePos x="0" y="0"/>
                  <wp:positionH relativeFrom="column">
                    <wp:posOffset>53340</wp:posOffset>
                  </wp:positionH>
                  <wp:positionV relativeFrom="paragraph">
                    <wp:posOffset>347980</wp:posOffset>
                  </wp:positionV>
                  <wp:extent cx="1064260" cy="117157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19 at 09.44.39.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17157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tc>
      </w:tr>
      <w:tr w:rsidR="005539DF" w:rsidRPr="005539DF" w14:paraId="633F8B47" w14:textId="77777777" w:rsidTr="006B60CA">
        <w:trPr>
          <w:trHeight w:val="1680"/>
        </w:trPr>
        <w:tc>
          <w:tcPr>
            <w:tcW w:w="5812" w:type="dxa"/>
          </w:tcPr>
          <w:p w14:paraId="164E96C8" w14:textId="77777777" w:rsidR="005539DF" w:rsidRPr="006E2B35" w:rsidRDefault="0041005F" w:rsidP="00B40816">
            <w:pPr>
              <w:spacing w:line="280" w:lineRule="exact"/>
              <w:jc w:val="both"/>
              <w:rPr>
                <w:rFonts w:cs="Arial"/>
                <w:sz w:val="28"/>
                <w:szCs w:val="28"/>
              </w:rPr>
            </w:pPr>
            <w:r>
              <w:rPr>
                <w:color w:val="00B0F0"/>
                <w:sz w:val="28"/>
              </w:rPr>
              <w:t xml:space="preserve">Ontslagmotivering : wat zijn de gevolgen voor de werkgever en </w:t>
            </w:r>
            <w:r w:rsidR="00F57E24">
              <w:rPr>
                <w:color w:val="00B0F0"/>
                <w:sz w:val="28"/>
              </w:rPr>
              <w:t xml:space="preserve">zijn </w:t>
            </w:r>
            <w:r>
              <w:rPr>
                <w:color w:val="00B0F0"/>
                <w:sz w:val="28"/>
              </w:rPr>
              <w:t xml:space="preserve">werknemers ? </w:t>
            </w:r>
          </w:p>
          <w:p w14:paraId="5FFB2CE7" w14:textId="77777777" w:rsidR="005539DF" w:rsidRPr="006E2B35" w:rsidRDefault="005539DF" w:rsidP="00B40816">
            <w:pPr>
              <w:spacing w:line="280" w:lineRule="exact"/>
              <w:jc w:val="both"/>
              <w:rPr>
                <w:rFonts w:cs="Arial"/>
                <w:sz w:val="28"/>
                <w:szCs w:val="28"/>
              </w:rPr>
            </w:pPr>
          </w:p>
          <w:p w14:paraId="41F6873D" w14:textId="77777777" w:rsidR="005539DF" w:rsidRPr="006E2B35" w:rsidRDefault="005539DF" w:rsidP="00B40816">
            <w:pPr>
              <w:spacing w:line="280" w:lineRule="exact"/>
              <w:jc w:val="both"/>
              <w:rPr>
                <w:rFonts w:cs="Arial"/>
                <w:sz w:val="28"/>
                <w:szCs w:val="28"/>
              </w:rPr>
            </w:pPr>
          </w:p>
          <w:p w14:paraId="29AF0986" w14:textId="77777777" w:rsidR="005539DF" w:rsidRPr="006E2B35" w:rsidRDefault="005539DF" w:rsidP="00B40816">
            <w:pPr>
              <w:spacing w:line="280" w:lineRule="exact"/>
              <w:jc w:val="both"/>
              <w:rPr>
                <w:rFonts w:cs="Arial"/>
                <w:sz w:val="28"/>
                <w:szCs w:val="28"/>
              </w:rPr>
            </w:pPr>
          </w:p>
        </w:tc>
        <w:tc>
          <w:tcPr>
            <w:tcW w:w="1809" w:type="dxa"/>
            <w:vAlign w:val="bottom"/>
          </w:tcPr>
          <w:p w14:paraId="04D4831D" w14:textId="43A622CA" w:rsidR="005539DF" w:rsidRPr="005539DF" w:rsidRDefault="005539DF" w:rsidP="005539DF">
            <w:pPr>
              <w:jc w:val="right"/>
              <w:rPr>
                <w:rFonts w:cs="Arial"/>
                <w:sz w:val="28"/>
                <w:szCs w:val="28"/>
              </w:rPr>
            </w:pPr>
          </w:p>
        </w:tc>
        <w:tc>
          <w:tcPr>
            <w:tcW w:w="1902" w:type="dxa"/>
            <w:vMerge/>
          </w:tcPr>
          <w:p w14:paraId="67B69A04" w14:textId="77777777" w:rsidR="005539DF" w:rsidRPr="005539DF" w:rsidRDefault="005539DF" w:rsidP="00B40816">
            <w:pPr>
              <w:jc w:val="center"/>
              <w:rPr>
                <w:rFonts w:ascii="Calibri" w:hAnsi="Calibri"/>
                <w:sz w:val="24"/>
              </w:rPr>
            </w:pPr>
          </w:p>
        </w:tc>
      </w:tr>
      <w:tr w:rsidR="00857386" w:rsidRPr="005539DF" w14:paraId="79540ABF" w14:textId="77777777" w:rsidTr="006B60CA">
        <w:trPr>
          <w:trHeight w:val="1680"/>
        </w:trPr>
        <w:tc>
          <w:tcPr>
            <w:tcW w:w="5812" w:type="dxa"/>
          </w:tcPr>
          <w:p w14:paraId="60509791" w14:textId="3E582E55" w:rsidR="00857386" w:rsidRDefault="00857386" w:rsidP="00B40816">
            <w:pPr>
              <w:spacing w:line="280" w:lineRule="exact"/>
              <w:jc w:val="both"/>
              <w:rPr>
                <w:color w:val="00B0F0"/>
                <w:sz w:val="28"/>
              </w:rPr>
            </w:pPr>
            <w:r>
              <w:rPr>
                <w:noProof/>
                <w:lang w:val="en-US" w:eastAsia="en-US" w:bidi="ar-SA"/>
              </w:rPr>
              <mc:AlternateContent>
                <mc:Choice Requires="wps">
                  <w:drawing>
                    <wp:anchor distT="4294967293" distB="4294967293" distL="114300" distR="114300" simplePos="0" relativeHeight="251658752" behindDoc="0" locked="0" layoutInCell="1" allowOverlap="1" wp14:anchorId="3927EA40" wp14:editId="1CD35893">
                      <wp:simplePos x="0" y="0"/>
                      <wp:positionH relativeFrom="column">
                        <wp:posOffset>-190500</wp:posOffset>
                      </wp:positionH>
                      <wp:positionV relativeFrom="paragraph">
                        <wp:posOffset>742315</wp:posOffset>
                      </wp:positionV>
                      <wp:extent cx="6426835" cy="0"/>
                      <wp:effectExtent l="0" t="0" r="24765" b="2540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4.95pt,58.45pt" to="491.1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2h0RcCAAAqBAAADgAAAGRycy9lMm9Eb2MueG1srFPBjtowEL1X6j9YvkMSCFk2IqxWAXrZtki7&#10;/QBjO8SqY1u2IaCq/96xA7S0l6rqxRlnZt68mXlePJ06iY7cOqFVhbNxihFXVDOh9hX+8rYZzTFy&#10;nihGpFa8wmfu8NPy/btFb0o+0a2WjFsEIMqVvalw670pk8TRlnfEjbXhCpyNth3xcLX7hFnSA3on&#10;k0maFkmvLTNWU+4c/F0NTryM+E3Dqf/cNI57JCsM3Hw8bTx34UyWC1LuLTGtoBca5B9YdEQoKHqD&#10;WhFP0MGKP6A6Qa12uvFjqrtEN42gPPYA3WTpb928tsTw2AsMx5nbmNz/g6WfjluLBKtwgZEiHazo&#10;RSiOptMwmt64EiJqtbWhOXpSr+ZF068OKV23RO15pPh2NpCXhYzkLiVcnIECu/6jZhBDDl7HOZ0a&#10;2wVImAA6xXWcb+vgJ48o/CzySTGfzjCiV19Cymuisc5/4LpDwaiwBNIRmBxfnA9ESHkNCXWU3ggp&#10;47alQj2wnTykacxwWgoWvCHO2f2ulhYdCQhmUzzPIGhAuwuz+qBYRGs5YeuL7YmQgw3VpQp40Avw&#10;uViDIr49po/r+Xqej6C/9ShPGRs9b+p8VGyyh9lquqrrVfY9UMvyshWMcRXYXdWZ5X+3/cs7GXR1&#10;0+dtDsk9ehwYkL1+I+m4zLC/QQk7zc5bG6YR9gqCjMGXxxMU/+s9Rv184ssfAAAA//8DAFBLAwQU&#10;AAYACAAAACEACpdStdwAAAALAQAADwAAAGRycy9kb3ducmV2LnhtbEyPQU/DMAyF70j8h8hI3LZ0&#10;FUxraToNBJxHQZzTxjQVjdM12dr9e4yExG6239Pz94rt7HpxwjF0nhSslgkIpMabjloFH+8viw2I&#10;EDUZ3XtCBWcMsC2vrwqdGz/RG56q2AoOoZBrBTbGIZcyNBadDks/ILH25UenI69jK82oJw53vUyT&#10;ZC2d7og/WD3gk8Xmuzo6Bc/THR4+d/q1bit3v3+0+/lwnpS6vZl3DyAizvHfDL/4jA4lM9X+SCaI&#10;XsEizTK2srBa88CObJOmIOq/iywLedmh/AEAAP//AwBQSwECLQAUAAYACAAAACEA5JnDwPsAAADh&#10;AQAAEwAAAAAAAAAAAAAAAAAAAAAAW0NvbnRlbnRfVHlwZXNdLnhtbFBLAQItABQABgAIAAAAIQAj&#10;smrh1wAAAJQBAAALAAAAAAAAAAAAAAAAACwBAABfcmVscy8ucmVsc1BLAQItABQABgAIAAAAIQDw&#10;HaHRFwIAACoEAAAOAAAAAAAAAAAAAAAAACwCAABkcnMvZTJvRG9jLnhtbFBLAQItABQABgAIAAAA&#10;IQAKl1K13AAAAAsBAAAPAAAAAAAAAAAAAAAAAG8EAABkcnMvZG93bnJldi54bWxQSwUGAAAAAAQA&#10;BADzAAAAeAUAAAAA&#10;" strokecolor="#f6a500" strokeweight="1pt"/>
                  </w:pict>
                </mc:Fallback>
              </mc:AlternateContent>
            </w:r>
          </w:p>
        </w:tc>
        <w:tc>
          <w:tcPr>
            <w:tcW w:w="1809" w:type="dxa"/>
            <w:vAlign w:val="bottom"/>
          </w:tcPr>
          <w:p w14:paraId="0ED390F0" w14:textId="77777777" w:rsidR="00857386" w:rsidRDefault="00857386" w:rsidP="00857386">
            <w:pPr>
              <w:rPr>
                <w:sz w:val="18"/>
              </w:rPr>
            </w:pPr>
          </w:p>
        </w:tc>
        <w:tc>
          <w:tcPr>
            <w:tcW w:w="1902" w:type="dxa"/>
          </w:tcPr>
          <w:p w14:paraId="535BC4F4" w14:textId="77777777" w:rsidR="00857386" w:rsidRPr="00B40816" w:rsidRDefault="00857386" w:rsidP="00857386">
            <w:pPr>
              <w:jc w:val="right"/>
              <w:rPr>
                <w:rFonts w:cs="Arial"/>
                <w:sz w:val="18"/>
                <w:szCs w:val="18"/>
              </w:rPr>
            </w:pPr>
            <w:r>
              <w:rPr>
                <w:sz w:val="18"/>
              </w:rPr>
              <w:t>Jordane Houdart</w:t>
            </w:r>
          </w:p>
          <w:p w14:paraId="656BF2F2" w14:textId="029FB317" w:rsidR="00857386" w:rsidRPr="005539DF" w:rsidRDefault="00857386" w:rsidP="00857386">
            <w:pPr>
              <w:jc w:val="right"/>
              <w:rPr>
                <w:rFonts w:ascii="Calibri" w:hAnsi="Calibri"/>
                <w:sz w:val="24"/>
              </w:rPr>
            </w:pPr>
            <w:r>
              <w:rPr>
                <w:sz w:val="18"/>
              </w:rPr>
              <w:t xml:space="preserve">Legal Officer </w:t>
            </w:r>
            <w:r>
              <w:rPr>
                <w:sz w:val="18"/>
              </w:rPr>
              <w:br/>
              <w:t>Partena Professional</w:t>
            </w:r>
          </w:p>
        </w:tc>
      </w:tr>
    </w:tbl>
    <w:p w14:paraId="7FCC2A53" w14:textId="608BBA48" w:rsidR="0084170C" w:rsidRDefault="0084170C" w:rsidP="00BA07B3">
      <w:pPr>
        <w:spacing w:line="280" w:lineRule="exact"/>
        <w:jc w:val="both"/>
        <w:rPr>
          <w:b/>
          <w:sz w:val="24"/>
        </w:rPr>
      </w:pPr>
      <w:r>
        <w:rPr>
          <w:b/>
          <w:sz w:val="24"/>
        </w:rPr>
        <w:t xml:space="preserve">De harmonisering van de arbeiders- en bediendenstatuten heeft geleid tot nieuwe regels </w:t>
      </w:r>
      <w:r w:rsidR="00F57E24">
        <w:rPr>
          <w:b/>
          <w:sz w:val="24"/>
        </w:rPr>
        <w:t xml:space="preserve">voor </w:t>
      </w:r>
      <w:r>
        <w:rPr>
          <w:b/>
          <w:sz w:val="24"/>
        </w:rPr>
        <w:t xml:space="preserve">ontslagmotivatie. Sinds 1 april 2014 hebben arbeiders en bedienden </w:t>
      </w:r>
      <w:r w:rsidR="00832C63">
        <w:rPr>
          <w:b/>
          <w:sz w:val="24"/>
        </w:rPr>
        <w:t xml:space="preserve">namelijk </w:t>
      </w:r>
      <w:r>
        <w:rPr>
          <w:b/>
          <w:sz w:val="24"/>
        </w:rPr>
        <w:t xml:space="preserve">het recht om de redenen van hun ontslag te kennen. Bovendien heeft de werknemer ook recht op een vergoeding in geval van ‘kennelijk onredelijk ontslag’. </w:t>
      </w:r>
      <w:r>
        <w:rPr>
          <w:b/>
          <w:sz w:val="24"/>
        </w:rPr>
        <w:br/>
        <w:t>Heel wat werkgevers schatten de gevolgen van d</w:t>
      </w:r>
      <w:r w:rsidR="00F57E24">
        <w:rPr>
          <w:b/>
          <w:sz w:val="24"/>
        </w:rPr>
        <w:t>i</w:t>
      </w:r>
      <w:r>
        <w:rPr>
          <w:b/>
          <w:sz w:val="24"/>
        </w:rPr>
        <w:t xml:space="preserve">e nieuwe regeling </w:t>
      </w:r>
      <w:r w:rsidR="00832C63">
        <w:rPr>
          <w:b/>
          <w:sz w:val="24"/>
        </w:rPr>
        <w:t xml:space="preserve">echter </w:t>
      </w:r>
      <w:r>
        <w:rPr>
          <w:b/>
          <w:sz w:val="24"/>
        </w:rPr>
        <w:t xml:space="preserve">nog onvoldoende in. </w:t>
      </w:r>
    </w:p>
    <w:p w14:paraId="5680A4DE" w14:textId="77777777" w:rsidR="0084170C" w:rsidRDefault="0084170C" w:rsidP="00BA07B3">
      <w:pPr>
        <w:spacing w:line="280" w:lineRule="exact"/>
        <w:jc w:val="both"/>
        <w:rPr>
          <w:rFonts w:cs="Arial"/>
          <w:b/>
          <w:sz w:val="24"/>
        </w:rPr>
      </w:pPr>
    </w:p>
    <w:p w14:paraId="2041B616" w14:textId="77777777" w:rsidR="00BA07B3" w:rsidRPr="00630667" w:rsidRDefault="00BA07B3" w:rsidP="00BA07B3">
      <w:pPr>
        <w:spacing w:line="280" w:lineRule="exact"/>
        <w:jc w:val="both"/>
        <w:rPr>
          <w:rFonts w:cs="Arial"/>
          <w:sz w:val="24"/>
        </w:rPr>
      </w:pPr>
    </w:p>
    <w:p w14:paraId="13F330E1" w14:textId="77777777" w:rsidR="00B14F3B" w:rsidRPr="006E2B35" w:rsidRDefault="0041005F" w:rsidP="00630667">
      <w:pPr>
        <w:spacing w:line="280" w:lineRule="exact"/>
        <w:rPr>
          <w:rFonts w:cs="Arial"/>
          <w:b/>
          <w:color w:val="00A0CB"/>
          <w:sz w:val="24"/>
        </w:rPr>
      </w:pPr>
      <w:r>
        <w:rPr>
          <w:b/>
          <w:color w:val="00A0CB"/>
          <w:sz w:val="24"/>
        </w:rPr>
        <w:t>Wat houden de nieuwe maatregelen concreet in ?</w:t>
      </w:r>
    </w:p>
    <w:p w14:paraId="73A6D4C4" w14:textId="77777777" w:rsidR="00B14F3B" w:rsidRPr="006E2B35" w:rsidRDefault="00B4620A" w:rsidP="003E177F">
      <w:pPr>
        <w:spacing w:line="280" w:lineRule="exact"/>
        <w:jc w:val="both"/>
      </w:pPr>
      <w:r>
        <w:t>Vóór de invoering van de nieuwe regeling</w:t>
      </w:r>
      <w:r w:rsidR="00832C63">
        <w:t>,</w:t>
      </w:r>
      <w:r>
        <w:t xml:space="preserve"> was de werkgever niet verplicht om het ontslag van de werknemer te motiveren. Enkel voor arbeiders gold er (ter compensatie van de kortere opzeggingstermijnen) een ontslagmotivatie in geval van een willekeurig ontslag. De cao 109 bepaalt dat de werknemer voortaan kan vragen naar de redenen van zijn ontslag. De cao </w:t>
      </w:r>
      <w:r w:rsidR="00FD4DA4">
        <w:t xml:space="preserve">109 </w:t>
      </w:r>
      <w:r>
        <w:t>kadert binnen de invoering van het eenheidsstatuut en de harmonisering van de statuten arbeiders-bedienden.</w:t>
      </w:r>
    </w:p>
    <w:p w14:paraId="1A648A3D" w14:textId="77777777" w:rsidR="007E4A20" w:rsidRPr="006E2B35" w:rsidRDefault="007E4A20" w:rsidP="003E177F">
      <w:pPr>
        <w:spacing w:line="280" w:lineRule="exact"/>
        <w:jc w:val="both"/>
        <w:rPr>
          <w:rFonts w:cs="Arial"/>
          <w:szCs w:val="20"/>
        </w:rPr>
      </w:pPr>
    </w:p>
    <w:p w14:paraId="1E180DDE" w14:textId="35607700" w:rsidR="0041005F" w:rsidRDefault="0041005F" w:rsidP="0041005F">
      <w:pPr>
        <w:spacing w:line="280" w:lineRule="exact"/>
        <w:rPr>
          <w:rFonts w:cs="Arial"/>
          <w:b/>
          <w:color w:val="00A0CB"/>
          <w:sz w:val="24"/>
        </w:rPr>
      </w:pPr>
      <w:r>
        <w:rPr>
          <w:b/>
          <w:color w:val="00A0CB"/>
          <w:sz w:val="24"/>
        </w:rPr>
        <w:t xml:space="preserve">Wanneer is een ontslag </w:t>
      </w:r>
      <w:r w:rsidR="00F57E24">
        <w:rPr>
          <w:b/>
          <w:color w:val="00A0CB"/>
          <w:sz w:val="24"/>
        </w:rPr>
        <w:t>‘</w:t>
      </w:r>
      <w:r>
        <w:rPr>
          <w:b/>
          <w:color w:val="00A0CB"/>
          <w:sz w:val="24"/>
        </w:rPr>
        <w:t>kennelijk onredelijk</w:t>
      </w:r>
      <w:r w:rsidR="00F57E24">
        <w:rPr>
          <w:b/>
          <w:color w:val="00A0CB"/>
          <w:sz w:val="24"/>
        </w:rPr>
        <w:t>’</w:t>
      </w:r>
      <w:r>
        <w:rPr>
          <w:b/>
          <w:color w:val="00A0CB"/>
          <w:sz w:val="24"/>
        </w:rPr>
        <w:t xml:space="preserve"> ?</w:t>
      </w:r>
    </w:p>
    <w:p w14:paraId="67D59355" w14:textId="272BA29D" w:rsidR="0041005F" w:rsidRDefault="0041005F" w:rsidP="0041005F">
      <w:pPr>
        <w:spacing w:line="280" w:lineRule="exact"/>
        <w:jc w:val="both"/>
        <w:rPr>
          <w:rFonts w:cs="Arial"/>
          <w:szCs w:val="20"/>
        </w:rPr>
      </w:pPr>
      <w:r>
        <w:t xml:space="preserve">Onder </w:t>
      </w:r>
      <w:r w:rsidR="00832C63">
        <w:t>‘</w:t>
      </w:r>
      <w:r>
        <w:t xml:space="preserve">kennelijk </w:t>
      </w:r>
      <w:r w:rsidRPr="00F655FA">
        <w:t>onredelijk ontslag</w:t>
      </w:r>
      <w:r w:rsidR="00832C63" w:rsidRPr="00F655FA">
        <w:t>’</w:t>
      </w:r>
      <w:r w:rsidRPr="00F655FA">
        <w:t xml:space="preserve"> wordt verstaan : "</w:t>
      </w:r>
      <w:r w:rsidR="00832C63" w:rsidRPr="00F655FA">
        <w:rPr>
          <w:i/>
        </w:rPr>
        <w:t>O</w:t>
      </w:r>
      <w:r w:rsidRPr="00F655FA">
        <w:rPr>
          <w:i/>
        </w:rPr>
        <w:t xml:space="preserve">ntslag dat gebaseerd is op redenen die geen verband houden met de geschiktheid of het gedrag van de werknemer, of die </w:t>
      </w:r>
      <w:r w:rsidR="00F655FA">
        <w:rPr>
          <w:i/>
        </w:rPr>
        <w:t>geen verband houden</w:t>
      </w:r>
      <w:r w:rsidR="00F655FA" w:rsidRPr="00857386">
        <w:rPr>
          <w:i/>
        </w:rPr>
        <w:t xml:space="preserve"> </w:t>
      </w:r>
      <w:r w:rsidR="00F655FA">
        <w:rPr>
          <w:i/>
        </w:rPr>
        <w:t>met het garanderen van de</w:t>
      </w:r>
      <w:r w:rsidR="001F758D" w:rsidRPr="00F655FA">
        <w:rPr>
          <w:i/>
        </w:rPr>
        <w:t xml:space="preserve"> </w:t>
      </w:r>
      <w:r w:rsidR="00F655FA" w:rsidRPr="00857386">
        <w:rPr>
          <w:i/>
        </w:rPr>
        <w:t>goede</w:t>
      </w:r>
      <w:r w:rsidRPr="00F655FA">
        <w:rPr>
          <w:i/>
        </w:rPr>
        <w:t xml:space="preserve"> werking van de onderneming, de instelling of de dienst en </w:t>
      </w:r>
      <w:r w:rsidR="00F655FA" w:rsidRPr="00857386">
        <w:rPr>
          <w:i/>
        </w:rPr>
        <w:t>dat nooit gegeven zou zijn</w:t>
      </w:r>
      <w:r w:rsidRPr="00F655FA">
        <w:rPr>
          <w:i/>
        </w:rPr>
        <w:t xml:space="preserve"> door een normale en redelijke werkgever</w:t>
      </w:r>
      <w:r w:rsidRPr="00F655FA">
        <w:t>."</w:t>
      </w:r>
      <w:r>
        <w:t xml:space="preserve"> </w:t>
      </w:r>
    </w:p>
    <w:p w14:paraId="07820A89" w14:textId="77777777" w:rsidR="0041005F" w:rsidRDefault="0041005F" w:rsidP="0041005F">
      <w:pPr>
        <w:spacing w:line="280" w:lineRule="exact"/>
        <w:jc w:val="both"/>
        <w:rPr>
          <w:rFonts w:cs="Arial"/>
          <w:szCs w:val="20"/>
        </w:rPr>
      </w:pPr>
    </w:p>
    <w:p w14:paraId="408655A5" w14:textId="72F9B1AD" w:rsidR="00FD4DA4" w:rsidRPr="00857386" w:rsidRDefault="0041005F" w:rsidP="0041005F">
      <w:pPr>
        <w:spacing w:line="280" w:lineRule="exact"/>
        <w:jc w:val="both"/>
      </w:pPr>
      <w:r>
        <w:t xml:space="preserve">De cao 109-regels </w:t>
      </w:r>
      <w:r w:rsidR="00832C63">
        <w:t xml:space="preserve">voor </w:t>
      </w:r>
      <w:r>
        <w:t>ontslagmotivering zijn niet van toepassing op:</w:t>
      </w:r>
    </w:p>
    <w:p w14:paraId="7C9082DD" w14:textId="544CC866" w:rsidR="0041005F" w:rsidRDefault="0041005F" w:rsidP="0041005F">
      <w:pPr>
        <w:pStyle w:val="ListParagraph"/>
        <w:numPr>
          <w:ilvl w:val="0"/>
          <w:numId w:val="21"/>
        </w:numPr>
        <w:spacing w:line="280" w:lineRule="exact"/>
        <w:jc w:val="both"/>
        <w:rPr>
          <w:rFonts w:cs="Arial"/>
          <w:szCs w:val="20"/>
        </w:rPr>
      </w:pPr>
      <w:r>
        <w:t>werknemers die tijdens de eerste 6 maanden van hun tewerkstelling worden ontslagen</w:t>
      </w:r>
    </w:p>
    <w:p w14:paraId="4EF95604" w14:textId="20B0DC34" w:rsidR="0041005F" w:rsidRDefault="0041005F" w:rsidP="0041005F">
      <w:pPr>
        <w:pStyle w:val="ListParagraph"/>
        <w:numPr>
          <w:ilvl w:val="0"/>
          <w:numId w:val="21"/>
        </w:numPr>
        <w:spacing w:line="280" w:lineRule="exact"/>
        <w:jc w:val="both"/>
        <w:rPr>
          <w:rFonts w:cs="Arial"/>
          <w:szCs w:val="20"/>
        </w:rPr>
      </w:pPr>
      <w:r>
        <w:t>uitzendwerknemers</w:t>
      </w:r>
    </w:p>
    <w:p w14:paraId="4E65A980" w14:textId="3BFC86FD" w:rsidR="0041005F" w:rsidRDefault="0041005F" w:rsidP="0041005F">
      <w:pPr>
        <w:pStyle w:val="ListParagraph"/>
        <w:numPr>
          <w:ilvl w:val="0"/>
          <w:numId w:val="21"/>
        </w:numPr>
        <w:spacing w:line="280" w:lineRule="exact"/>
        <w:jc w:val="both"/>
        <w:rPr>
          <w:rFonts w:cs="Arial"/>
          <w:szCs w:val="20"/>
        </w:rPr>
      </w:pPr>
      <w:r>
        <w:t>studenten</w:t>
      </w:r>
    </w:p>
    <w:p w14:paraId="2D24695F" w14:textId="61D3786B" w:rsidR="0041005F" w:rsidRDefault="0041005F" w:rsidP="0041005F">
      <w:pPr>
        <w:pStyle w:val="ListParagraph"/>
        <w:numPr>
          <w:ilvl w:val="0"/>
          <w:numId w:val="21"/>
        </w:numPr>
        <w:spacing w:line="280" w:lineRule="exact"/>
        <w:jc w:val="both"/>
        <w:rPr>
          <w:rFonts w:cs="Arial"/>
          <w:szCs w:val="20"/>
        </w:rPr>
      </w:pPr>
      <w:r>
        <w:t>werknemers onder een stelsel van werkloosheid met bedrijfstoeslag</w:t>
      </w:r>
    </w:p>
    <w:p w14:paraId="68EB1B21" w14:textId="77777777" w:rsidR="0041005F" w:rsidRPr="000A2974" w:rsidRDefault="0041005F" w:rsidP="0041005F">
      <w:pPr>
        <w:pStyle w:val="ListParagraph"/>
        <w:spacing w:line="280" w:lineRule="exact"/>
        <w:jc w:val="both"/>
        <w:rPr>
          <w:rFonts w:cs="Arial"/>
          <w:szCs w:val="20"/>
        </w:rPr>
      </w:pPr>
    </w:p>
    <w:p w14:paraId="1E7CB4FB" w14:textId="77777777" w:rsidR="0041005F" w:rsidRDefault="0041005F" w:rsidP="0041005F">
      <w:pPr>
        <w:spacing w:line="280" w:lineRule="exact"/>
        <w:jc w:val="both"/>
        <w:rPr>
          <w:rFonts w:cs="Arial"/>
          <w:szCs w:val="20"/>
        </w:rPr>
      </w:pPr>
      <w:r>
        <w:t>De ontslagmotivering is evenmin verplicht in het kader van:</w:t>
      </w:r>
    </w:p>
    <w:p w14:paraId="3137BB8E" w14:textId="08BF78EA" w:rsidR="0041005F" w:rsidRDefault="00FD4DA4" w:rsidP="0041005F">
      <w:pPr>
        <w:pStyle w:val="ListParagraph"/>
        <w:numPr>
          <w:ilvl w:val="0"/>
          <w:numId w:val="21"/>
        </w:numPr>
        <w:spacing w:line="280" w:lineRule="exact"/>
        <w:jc w:val="both"/>
        <w:rPr>
          <w:rFonts w:cs="Arial"/>
          <w:szCs w:val="20"/>
        </w:rPr>
      </w:pPr>
      <w:r>
        <w:t>e</w:t>
      </w:r>
      <w:r w:rsidR="0041005F">
        <w:t>en pensionering</w:t>
      </w:r>
    </w:p>
    <w:p w14:paraId="4222FD2B" w14:textId="348E6CE5" w:rsidR="0041005F" w:rsidRPr="00FD4DA4" w:rsidRDefault="00FD4DA4" w:rsidP="0041005F">
      <w:pPr>
        <w:pStyle w:val="ListParagraph"/>
        <w:numPr>
          <w:ilvl w:val="0"/>
          <w:numId w:val="21"/>
        </w:numPr>
        <w:spacing w:line="280" w:lineRule="exact"/>
        <w:jc w:val="both"/>
        <w:rPr>
          <w:rFonts w:cs="Arial"/>
          <w:szCs w:val="20"/>
        </w:rPr>
      </w:pPr>
      <w:r>
        <w:t>e</w:t>
      </w:r>
      <w:r w:rsidR="0041005F">
        <w:t>en sluiting van onderneming</w:t>
      </w:r>
    </w:p>
    <w:p w14:paraId="0F385CDC" w14:textId="7BFD4E0A" w:rsidR="00FA2057" w:rsidRPr="00857386" w:rsidRDefault="00FD4DA4" w:rsidP="008D4D35">
      <w:pPr>
        <w:pStyle w:val="ListParagraph"/>
        <w:numPr>
          <w:ilvl w:val="0"/>
          <w:numId w:val="21"/>
        </w:numPr>
        <w:spacing w:line="280" w:lineRule="exact"/>
        <w:jc w:val="both"/>
      </w:pPr>
      <w:r>
        <w:t xml:space="preserve">een collectief ontslag </w:t>
      </w:r>
    </w:p>
    <w:p w14:paraId="73644B31" w14:textId="77777777" w:rsidR="00630667" w:rsidRPr="006E2B35" w:rsidRDefault="0041005F" w:rsidP="00630667">
      <w:pPr>
        <w:spacing w:line="280" w:lineRule="exact"/>
        <w:rPr>
          <w:rFonts w:cs="Arial"/>
          <w:sz w:val="22"/>
          <w:szCs w:val="22"/>
        </w:rPr>
      </w:pPr>
      <w:r>
        <w:rPr>
          <w:b/>
          <w:color w:val="00A0CB"/>
          <w:sz w:val="24"/>
        </w:rPr>
        <w:lastRenderedPageBreak/>
        <w:t>Hoe kan een werknemer de reden van zijn ontslag controleren ?</w:t>
      </w:r>
    </w:p>
    <w:p w14:paraId="69A5901C" w14:textId="77777777" w:rsidR="001C7852" w:rsidRDefault="004D16C6" w:rsidP="00DB3AB9">
      <w:pPr>
        <w:spacing w:line="280" w:lineRule="exact"/>
        <w:jc w:val="both"/>
        <w:rPr>
          <w:rFonts w:cs="Arial"/>
          <w:szCs w:val="20"/>
        </w:rPr>
      </w:pPr>
      <w:r>
        <w:t>Werknemers die de redenen van hun ontslag wensen te kennen, moeten een aangetekende bri</w:t>
      </w:r>
      <w:r w:rsidR="00FD4DA4">
        <w:t xml:space="preserve">ef versturen naar de werkgever. </w:t>
      </w:r>
      <w:r>
        <w:t>Wanneer de arbeidsovereenkomst wordt beëindigd met betaling van een verbrekingsvergoeding, moet hij dit doen binnen een termijn van 2 maanden vanaf het einde van de arbeidsovereenkomst. Wanneer de arbeidsovereenkomst wordt beëindigd met kennisgeving van een opzeggingstermijn, moet hij dit doen binnen een termijn van 6 maanden na de betekening van de opzegging en tot maximum 2 maanden na het einde van de arbeidsovereenkomst.</w:t>
      </w:r>
    </w:p>
    <w:p w14:paraId="0F966D66" w14:textId="77777777" w:rsidR="00D4732F" w:rsidRDefault="00D4732F" w:rsidP="00DB3AB9">
      <w:pPr>
        <w:spacing w:line="280" w:lineRule="exact"/>
        <w:jc w:val="both"/>
        <w:rPr>
          <w:rFonts w:cs="Arial"/>
          <w:szCs w:val="20"/>
        </w:rPr>
      </w:pPr>
    </w:p>
    <w:p w14:paraId="18EF92C3" w14:textId="71B2866D" w:rsidR="00D4732F" w:rsidRPr="00A031E1" w:rsidRDefault="00D4732F" w:rsidP="00DB3AB9">
      <w:pPr>
        <w:spacing w:line="280" w:lineRule="exact"/>
        <w:jc w:val="both"/>
        <w:rPr>
          <w:rFonts w:cs="Arial"/>
          <w:szCs w:val="20"/>
        </w:rPr>
      </w:pPr>
      <w:r>
        <w:t>Enkel het kennelijk onredelijk karakter van het ontslag kan gecontroleerd worden. De vraag die hierbij gesteld wordt is</w:t>
      </w:r>
      <w:r w:rsidR="004871A0">
        <w:t>,</w:t>
      </w:r>
      <w:r>
        <w:t xml:space="preserve"> of de redenen van het ontslag verband houden met de geschiktheid of het gedrag van de werknemer </w:t>
      </w:r>
      <w:r w:rsidRPr="00F655FA">
        <w:t xml:space="preserve">of </w:t>
      </w:r>
      <w:r w:rsidR="00F655FA" w:rsidRPr="00857386">
        <w:t xml:space="preserve">met het garanderen van </w:t>
      </w:r>
      <w:r w:rsidRPr="00F655FA">
        <w:t>de goede werking van de onderneming</w:t>
      </w:r>
      <w:r>
        <w:t xml:space="preserve">. </w:t>
      </w:r>
      <w:r>
        <w:br/>
        <w:t>De controle heeft dus enkel betrekking op de redenen</w:t>
      </w:r>
      <w:r w:rsidR="001F758D">
        <w:t>,</w:t>
      </w:r>
      <w:r>
        <w:t xml:space="preserve"> en niet op de omstandigheden van het ontslag.</w:t>
      </w:r>
    </w:p>
    <w:p w14:paraId="39DDF8DD" w14:textId="77777777" w:rsidR="00630667" w:rsidRPr="00A031E1" w:rsidRDefault="00630667" w:rsidP="00630667">
      <w:pPr>
        <w:spacing w:line="280" w:lineRule="exact"/>
        <w:rPr>
          <w:rFonts w:cs="Arial"/>
          <w:sz w:val="22"/>
          <w:szCs w:val="22"/>
        </w:rPr>
      </w:pPr>
    </w:p>
    <w:p w14:paraId="13A10EB4" w14:textId="68DBF1D1" w:rsidR="00FB6C71" w:rsidRPr="006E2B35" w:rsidRDefault="0041005F" w:rsidP="007E4A20">
      <w:pPr>
        <w:spacing w:line="280" w:lineRule="exact"/>
        <w:rPr>
          <w:rFonts w:cs="Arial"/>
          <w:b/>
          <w:color w:val="00A0CB"/>
          <w:sz w:val="24"/>
        </w:rPr>
      </w:pPr>
      <w:r>
        <w:rPr>
          <w:b/>
          <w:color w:val="00A0CB"/>
          <w:sz w:val="24"/>
        </w:rPr>
        <w:t xml:space="preserve">Welke sancties </w:t>
      </w:r>
      <w:r w:rsidR="00FD4DA4">
        <w:rPr>
          <w:b/>
          <w:color w:val="00A0CB"/>
          <w:sz w:val="24"/>
        </w:rPr>
        <w:t>riskeert</w:t>
      </w:r>
      <w:r>
        <w:rPr>
          <w:b/>
          <w:color w:val="00A0CB"/>
          <w:sz w:val="24"/>
        </w:rPr>
        <w:t xml:space="preserve"> </w:t>
      </w:r>
      <w:r w:rsidR="001F758D">
        <w:rPr>
          <w:b/>
          <w:color w:val="00A0CB"/>
          <w:sz w:val="24"/>
        </w:rPr>
        <w:t>e</w:t>
      </w:r>
      <w:r>
        <w:rPr>
          <w:b/>
          <w:color w:val="00A0CB"/>
          <w:sz w:val="24"/>
        </w:rPr>
        <w:t>e</w:t>
      </w:r>
      <w:r w:rsidR="001F758D">
        <w:rPr>
          <w:b/>
          <w:color w:val="00A0CB"/>
          <w:sz w:val="24"/>
        </w:rPr>
        <w:t>n</w:t>
      </w:r>
      <w:r>
        <w:rPr>
          <w:b/>
          <w:color w:val="00A0CB"/>
          <w:sz w:val="24"/>
        </w:rPr>
        <w:t xml:space="preserve"> werkgever</w:t>
      </w:r>
      <w:r w:rsidR="00FD4DA4">
        <w:rPr>
          <w:b/>
          <w:color w:val="00A0CB"/>
          <w:sz w:val="24"/>
        </w:rPr>
        <w:t xml:space="preserve"> die</w:t>
      </w:r>
      <w:r>
        <w:rPr>
          <w:b/>
          <w:color w:val="00A0CB"/>
          <w:sz w:val="24"/>
        </w:rPr>
        <w:t xml:space="preserve"> niet ingaat op de vraag van een ontslagen werknemer?</w:t>
      </w:r>
    </w:p>
    <w:p w14:paraId="20D7FA14" w14:textId="0E547BF2" w:rsidR="00786C01" w:rsidRPr="00786C01" w:rsidRDefault="00183097" w:rsidP="00DB3AB9">
      <w:pPr>
        <w:spacing w:line="280" w:lineRule="exact"/>
        <w:jc w:val="both"/>
        <w:rPr>
          <w:rFonts w:cs="Arial"/>
          <w:szCs w:val="20"/>
        </w:rPr>
      </w:pPr>
      <w:r>
        <w:t xml:space="preserve">Werkgevers die geen gevolg geven aan deze vraag, riskeren in eerste instantie een burgerlijke boete die gelijk is aan </w:t>
      </w:r>
      <w:r w:rsidR="006F2D22">
        <w:t>twee</w:t>
      </w:r>
      <w:r w:rsidR="001F758D">
        <w:t xml:space="preserve"> </w:t>
      </w:r>
      <w:r>
        <w:t>weken loon.</w:t>
      </w:r>
    </w:p>
    <w:p w14:paraId="18A19860" w14:textId="77777777" w:rsidR="00786C01" w:rsidRPr="00786C01" w:rsidRDefault="00786C01" w:rsidP="00DB3AB9">
      <w:pPr>
        <w:spacing w:line="280" w:lineRule="exact"/>
        <w:jc w:val="both"/>
        <w:rPr>
          <w:rFonts w:cs="Arial"/>
          <w:szCs w:val="20"/>
        </w:rPr>
      </w:pPr>
    </w:p>
    <w:p w14:paraId="0A5F5CD1" w14:textId="310B62D5" w:rsidR="00FB6C71" w:rsidRDefault="00CE025B" w:rsidP="00DB3AB9">
      <w:pPr>
        <w:spacing w:line="280" w:lineRule="exact"/>
        <w:jc w:val="both"/>
        <w:rPr>
          <w:rFonts w:cs="Arial"/>
          <w:szCs w:val="20"/>
        </w:rPr>
      </w:pPr>
      <w:r>
        <w:t xml:space="preserve">Indien de werkgever zijn werknemer niet kan overtuigen van de redelijkheid van zijn ontslag, kan de werknemer voor de arbeidsrechtbank een forfaitaire vergoeding </w:t>
      </w:r>
      <w:r w:rsidR="001F758D">
        <w:t>vragen. Die vergoeding kan bestaan uit</w:t>
      </w:r>
      <w:r>
        <w:t xml:space="preserve"> minimum 3 weken en maximum 17 weken loon. De rechter bepaalt </w:t>
      </w:r>
      <w:r w:rsidR="001F758D">
        <w:t xml:space="preserve">uiteindelijk </w:t>
      </w:r>
      <w:r>
        <w:t>de vergoeding binnen d</w:t>
      </w:r>
      <w:r w:rsidR="001F758D">
        <w:t>i</w:t>
      </w:r>
      <w:r>
        <w:t>e wettelijke vork. Hij doet dit in functie van de graad van het kennelijk onredelijk karakter van het ontslag.</w:t>
      </w:r>
    </w:p>
    <w:p w14:paraId="07786B69" w14:textId="77777777" w:rsidR="00713A6A" w:rsidRDefault="00713A6A" w:rsidP="00DB3AB9">
      <w:pPr>
        <w:spacing w:line="280" w:lineRule="exact"/>
        <w:jc w:val="both"/>
        <w:rPr>
          <w:rFonts w:cs="Arial"/>
          <w:szCs w:val="20"/>
        </w:rPr>
      </w:pPr>
    </w:p>
    <w:p w14:paraId="27B87A5E" w14:textId="77777777" w:rsidR="002F2512" w:rsidRDefault="002F2512" w:rsidP="003C52F1">
      <w:pPr>
        <w:spacing w:line="280" w:lineRule="exact"/>
        <w:jc w:val="both"/>
        <w:rPr>
          <w:rFonts w:cs="Arial"/>
          <w:szCs w:val="20"/>
        </w:rPr>
      </w:pPr>
    </w:p>
    <w:p w14:paraId="76FC9C12" w14:textId="77777777" w:rsidR="00857386" w:rsidRPr="00624A03" w:rsidRDefault="00857386" w:rsidP="00857386">
      <w:pPr>
        <w:jc w:val="both"/>
        <w:rPr>
          <w:rFonts w:cs="Arial"/>
          <w:color w:val="F6A500"/>
          <w:sz w:val="28"/>
          <w:szCs w:val="28"/>
        </w:rPr>
      </w:pPr>
      <w:r w:rsidRPr="00624A03">
        <w:rPr>
          <w:rFonts w:cs="Arial"/>
          <w:color w:val="F6A500"/>
          <w:sz w:val="28"/>
          <w:szCs w:val="28"/>
        </w:rPr>
        <w:t>Over Partena Professional</w:t>
      </w:r>
    </w:p>
    <w:p w14:paraId="53FC5D8B" w14:textId="77777777" w:rsidR="00857386" w:rsidRPr="00DA1955" w:rsidRDefault="00857386" w:rsidP="00857386">
      <w:pPr>
        <w:jc w:val="both"/>
        <w:rPr>
          <w:rFonts w:cs="Arial"/>
          <w:b/>
          <w:color w:val="404040" w:themeColor="text1" w:themeTint="BF"/>
          <w:sz w:val="24"/>
        </w:rPr>
      </w:pPr>
      <w:r w:rsidRPr="00BD64B8">
        <w:rPr>
          <w:b/>
          <w:sz w:val="18"/>
          <w:szCs w:val="18"/>
        </w:rPr>
        <w:br/>
      </w:r>
      <w:r w:rsidRPr="00994357">
        <w:rPr>
          <w:szCs w:val="20"/>
        </w:rPr>
        <w:t xml:space="preserve">Partena Professional 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rPr>
          <w:t>www.partena-professional.be</w:t>
        </w:r>
      </w:hyperlink>
      <w:r>
        <w:rPr>
          <w:rStyle w:val="Hyperlink"/>
          <w:szCs w:val="20"/>
        </w:rPr>
        <w:t>.</w:t>
      </w:r>
    </w:p>
    <w:p w14:paraId="139D72D8" w14:textId="77777777" w:rsidR="00857386" w:rsidRDefault="00857386" w:rsidP="00857386">
      <w:pPr>
        <w:spacing w:line="280" w:lineRule="exact"/>
        <w:jc w:val="both"/>
        <w:rPr>
          <w:rFonts w:cs="Arial"/>
          <w:szCs w:val="20"/>
        </w:rPr>
      </w:pPr>
    </w:p>
    <w:p w14:paraId="6B3B31F3" w14:textId="77777777" w:rsidR="002F2512" w:rsidRDefault="002F2512" w:rsidP="003C52F1">
      <w:pPr>
        <w:spacing w:line="280" w:lineRule="exact"/>
        <w:jc w:val="both"/>
        <w:rPr>
          <w:rFonts w:cs="Arial"/>
          <w:szCs w:val="20"/>
        </w:rPr>
      </w:pPr>
    </w:p>
    <w:sectPr w:rsidR="002F2512"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E8E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891F2" w14:textId="77777777" w:rsidR="004871A0" w:rsidRDefault="004871A0">
      <w:r>
        <w:separator/>
      </w:r>
    </w:p>
  </w:endnote>
  <w:endnote w:type="continuationSeparator" w:id="0">
    <w:p w14:paraId="0C1872BA" w14:textId="77777777" w:rsidR="004871A0" w:rsidRDefault="0048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74C5" w14:textId="058702BF" w:rsidR="004871A0" w:rsidRPr="00CB07BB" w:rsidRDefault="004871A0">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6359FC32" wp14:editId="0E2CE881">
              <wp:simplePos x="0" y="0"/>
              <wp:positionH relativeFrom="column">
                <wp:posOffset>-36195</wp:posOffset>
              </wp:positionH>
              <wp:positionV relativeFrom="paragraph">
                <wp:posOffset>-45720</wp:posOffset>
              </wp:positionV>
              <wp:extent cx="6132195" cy="0"/>
              <wp:effectExtent l="6985" t="7620" r="13970"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5357DB91"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UyFwIAACkEAAAOAAAAZHJzL2Uyb0RvYy54bWysU02P2yAQvVfqf0DcE9tZJ02sOKuVnfSS&#10;diPt7g8ggGNUDAhInKjqf+9APtp0L1XVCwbPm8ebmcf88dhJdODWCa1KnA1TjLiimgm1K/Hb62ow&#10;xch5ohiRWvESn7jDj4uPH+a9KfhIt1oybhGQKFf0psSt96ZIEkdb3hE31IYrCDbadsTD0e4SZkkP&#10;7J1MRmk6SXptmbGacufgb30O4kXkbxpO/XPTOO6RLDFo83G1cd2GNVnMSbGzxLSCXmSQf1DREaHg&#10;0htVTTxBeyveUXWCWu1044dUd4luGkF5rAGqydI/qnlpieGxFmiOM7c2uf9HS78eNhYJVuIxRop0&#10;MKK1UBxlWWhNb1wBiEptbCiOHtWLWWv6zSGlq5aoHY8SX08G8mJGcpcSDs7ABdv+i2aAIXuvY5+O&#10;je0CJXQAHeM4Trdx8KNHFH5OsodRNgNd9BpLSHFNNNb5z1x3KGxKLEF0JCaHtfMgHaBXSLhH6ZWQ&#10;Mk5bKtSXeDYejWOC01KwEAwwZ3fbSlp0IOCX1eRpnEaLANkdzOq9YpGs5YQtL3tPhDzvAS9V4INS&#10;QM5ldzbE91k6W06X03yQjybLQZ7W9eBpVeWDySr7NK4f6qqqsx9BWpYXrWCMq6Duas4s/7vhX57J&#10;2VY3e97akNyzx36B2Os3io6zDOM7G2Gr2WljQ2vDWMGPEXx5O8Hwv58j6tcLX/wE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CJ41TIXAgAAKQQAAA4AAAAAAAAAAAAAAAAALgIAAGRycy9lMm9Eb2MueG1sUEsBAi0AFAAG&#10;AAgAAAAhABUv3LbfAAAACAEAAA8AAAAAAAAAAAAAAAAAcQQAAGRycy9kb3ducmV2LnhtbFBLBQYA&#10;AAAABAAEAPMAAAB9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6BE04446" wp14:editId="15A8201A">
              <wp:simplePos x="0" y="0"/>
              <wp:positionH relativeFrom="column">
                <wp:posOffset>5842000</wp:posOffset>
              </wp:positionH>
              <wp:positionV relativeFrom="paragraph">
                <wp:posOffset>-55245</wp:posOffset>
              </wp:positionV>
              <wp:extent cx="5715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43DC" w14:textId="08BAC3A3" w:rsidR="004871A0" w:rsidRDefault="004871A0">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57B44">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57B44">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0r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Eludodc5ON334GZGOIYuO6a6v5PVV42EXDZEbNmNUnJoGKGQXWhv+mdXJxxt&#10;QTbDB0khDNkZ6YDGWnW2dFAMBOjQpcdTZ2wqFRwm8zAJwFKBKYrSGaxtBJIfL/dKm3dMdsguCqyg&#10;8Q6c7O+0mVyPLjaWkCVvWzgneSueHQDmdAKh4aq12SRcL39kQbZO12nsxdFs7cUBpd5NuYy9WRnO&#10;k9XlarlchT9t3DDOG04pEzbMUVdh/Gd9Oyh8UsRJWVq2nFo4m5JW282yVWhPQNel+w4FOXPzn6fh&#10;6gVcXlAKozi4jTKvnKVzL67jxMvmQeoFYXabzYI4i1flc0p3XLB/p4SGAmdJlExa+i23wH2vuZG8&#10;4wYmR8u7AqcnJ5JbBa4Fda01hLfT+qwUNv2nUkC7j412erUSncRqxs0IKFbEG0kfQblKgrJAhDDu&#10;YNFI9R2jAUZHgfW3HVEMo/a9APVnYRzbWeM2cTKPYKPOLZtzCxEVQBXYYDQtl2aaT7te8W0Dkab3&#10;JuQNvJia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TOs/0rMCAAC4BQAADgAA&#10;AAAAAAAAAAAAAAAsAgAAZHJzL2Uyb0RvYy54bWxQSwECLQAUAAYACAAAACEAcc+dI90AAAAKAQAA&#10;DwAAAAAAAAAAAAAAAAALBQAAZHJzL2Rvd25yZXYueG1sUEsFBgAAAAAEAAQA8wAAABUGAAAAAA==&#10;" filled="f" stroked="f">
              <v:textbox>
                <w:txbxContent>
                  <w:p w14:paraId="6DE443DC" w14:textId="08BAC3A3" w:rsidR="004871A0" w:rsidRDefault="004871A0">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57B44">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57B44">
                      <w:rPr>
                        <w:rStyle w:val="PageNumber"/>
                        <w:rFonts w:cs="Arial"/>
                        <w:noProof/>
                        <w:sz w:val="16"/>
                      </w:rPr>
                      <w:t>2</w:t>
                    </w:r>
                    <w:r w:rsidRPr="00513D1D">
                      <w:rPr>
                        <w:rStyle w:val="PageNumber"/>
                        <w:rFonts w:cs="Arial"/>
                        <w:sz w:val="16"/>
                      </w:rPr>
                      <w:fldChar w:fldCharType="end"/>
                    </w:r>
                  </w:p>
                </w:txbxContent>
              </v:textbox>
            </v:shape>
          </w:pict>
        </mc:Fallback>
      </mc:AlternateContent>
    </w:r>
    <w:r w:rsidR="00857386">
      <w:rPr>
        <w:rFonts w:ascii="Arial" w:hAnsi="Arial"/>
        <w:sz w:val="16"/>
      </w:rPr>
      <w:t>December</w:t>
    </w:r>
    <w:r>
      <w:rPr>
        <w:rFonts w:ascii="Arial" w:hAnsi="Arial"/>
        <w:sz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78787" w14:textId="77777777" w:rsidR="004871A0" w:rsidRDefault="004871A0">
      <w:r>
        <w:separator/>
      </w:r>
    </w:p>
  </w:footnote>
  <w:footnote w:type="continuationSeparator" w:id="0">
    <w:p w14:paraId="7F5A82CE" w14:textId="77777777" w:rsidR="004871A0" w:rsidRDefault="004871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9DDA" w14:textId="77777777" w:rsidR="004871A0" w:rsidRDefault="004871A0" w:rsidP="00CC3F32">
    <w:pPr>
      <w:pStyle w:val="Header"/>
      <w:jc w:val="center"/>
    </w:pPr>
    <w:r>
      <w:rPr>
        <w:noProof/>
        <w:lang w:val="en-US" w:eastAsia="en-US" w:bidi="ar-SA"/>
      </w:rPr>
      <w:drawing>
        <wp:inline distT="0" distB="0" distL="0" distR="0" wp14:anchorId="3DD9E922" wp14:editId="6BD19BFC">
          <wp:extent cx="1872000" cy="695314"/>
          <wp:effectExtent l="19050" t="0" r="0" b="0"/>
          <wp:docPr id="7" name="Picture 7"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0457588" w14:textId="77777777" w:rsidR="004871A0" w:rsidRDefault="004871A0"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B1D72"/>
    <w:multiLevelType w:val="hybridMultilevel"/>
    <w:tmpl w:val="03C85588"/>
    <w:lvl w:ilvl="0" w:tplc="F20E82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8"/>
  </w:num>
  <w:num w:numId="5">
    <w:abstractNumId w:val="1"/>
  </w:num>
  <w:num w:numId="6">
    <w:abstractNumId w:val="7"/>
  </w:num>
  <w:num w:numId="7">
    <w:abstractNumId w:val="3"/>
  </w:num>
  <w:num w:numId="8">
    <w:abstractNumId w:val="5"/>
  </w:num>
  <w:num w:numId="9">
    <w:abstractNumId w:val="17"/>
  </w:num>
  <w:num w:numId="10">
    <w:abstractNumId w:val="11"/>
  </w:num>
  <w:num w:numId="11">
    <w:abstractNumId w:val="12"/>
  </w:num>
  <w:num w:numId="12">
    <w:abstractNumId w:val="4"/>
  </w:num>
  <w:num w:numId="13">
    <w:abstractNumId w:val="18"/>
  </w:num>
  <w:num w:numId="14">
    <w:abstractNumId w:val="9"/>
  </w:num>
  <w:num w:numId="15">
    <w:abstractNumId w:val="10"/>
  </w:num>
  <w:num w:numId="16">
    <w:abstractNumId w:val="20"/>
  </w:num>
  <w:num w:numId="17">
    <w:abstractNumId w:val="14"/>
  </w:num>
  <w:num w:numId="18">
    <w:abstractNumId w:val="15"/>
  </w:num>
  <w:num w:numId="19">
    <w:abstractNumId w:val="19"/>
  </w:num>
  <w:num w:numId="20">
    <w:abstractNumId w:val="6"/>
  </w:num>
  <w:num w:numId="21">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ssel, An">
    <w15:presenceInfo w15:providerId="AD" w15:userId="S-1-5-21-6776287-525336886-1353397897-35457"/>
  </w15:person>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0764"/>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78F"/>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E6307"/>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3097"/>
    <w:rsid w:val="00187E6F"/>
    <w:rsid w:val="001A0394"/>
    <w:rsid w:val="001A38CD"/>
    <w:rsid w:val="001A3B58"/>
    <w:rsid w:val="001A53ED"/>
    <w:rsid w:val="001B3B64"/>
    <w:rsid w:val="001B603D"/>
    <w:rsid w:val="001B6808"/>
    <w:rsid w:val="001C3351"/>
    <w:rsid w:val="001C47EF"/>
    <w:rsid w:val="001C4B35"/>
    <w:rsid w:val="001C7852"/>
    <w:rsid w:val="001D2025"/>
    <w:rsid w:val="001D3422"/>
    <w:rsid w:val="001D50CD"/>
    <w:rsid w:val="001D64C1"/>
    <w:rsid w:val="001D65EA"/>
    <w:rsid w:val="001E1168"/>
    <w:rsid w:val="001E157E"/>
    <w:rsid w:val="001E7C16"/>
    <w:rsid w:val="001F24D4"/>
    <w:rsid w:val="001F2561"/>
    <w:rsid w:val="001F3E08"/>
    <w:rsid w:val="001F758D"/>
    <w:rsid w:val="00200458"/>
    <w:rsid w:val="00205944"/>
    <w:rsid w:val="00210E83"/>
    <w:rsid w:val="002162D9"/>
    <w:rsid w:val="002163E3"/>
    <w:rsid w:val="00217391"/>
    <w:rsid w:val="0022384C"/>
    <w:rsid w:val="00224327"/>
    <w:rsid w:val="00224430"/>
    <w:rsid w:val="00224910"/>
    <w:rsid w:val="0023143A"/>
    <w:rsid w:val="00232A38"/>
    <w:rsid w:val="00237398"/>
    <w:rsid w:val="00237412"/>
    <w:rsid w:val="002430CD"/>
    <w:rsid w:val="00245611"/>
    <w:rsid w:val="002474D2"/>
    <w:rsid w:val="00254CCF"/>
    <w:rsid w:val="00260AD8"/>
    <w:rsid w:val="00262F71"/>
    <w:rsid w:val="002647B4"/>
    <w:rsid w:val="0027610F"/>
    <w:rsid w:val="00281109"/>
    <w:rsid w:val="00282A40"/>
    <w:rsid w:val="00290EF5"/>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2512"/>
    <w:rsid w:val="002F43BA"/>
    <w:rsid w:val="002F79FB"/>
    <w:rsid w:val="002F7B36"/>
    <w:rsid w:val="0030464C"/>
    <w:rsid w:val="00304C97"/>
    <w:rsid w:val="0030570C"/>
    <w:rsid w:val="00310BAF"/>
    <w:rsid w:val="00310D25"/>
    <w:rsid w:val="00314EEF"/>
    <w:rsid w:val="00323945"/>
    <w:rsid w:val="00326245"/>
    <w:rsid w:val="00326EB7"/>
    <w:rsid w:val="00327DFC"/>
    <w:rsid w:val="00332748"/>
    <w:rsid w:val="00332B52"/>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3D44"/>
    <w:rsid w:val="003800A2"/>
    <w:rsid w:val="00384EE9"/>
    <w:rsid w:val="003853C7"/>
    <w:rsid w:val="003907A4"/>
    <w:rsid w:val="00394C01"/>
    <w:rsid w:val="00395B40"/>
    <w:rsid w:val="00395F66"/>
    <w:rsid w:val="003971C5"/>
    <w:rsid w:val="003A67B7"/>
    <w:rsid w:val="003A72DF"/>
    <w:rsid w:val="003B0BC4"/>
    <w:rsid w:val="003B18DD"/>
    <w:rsid w:val="003B23A1"/>
    <w:rsid w:val="003B2EF1"/>
    <w:rsid w:val="003B39AA"/>
    <w:rsid w:val="003C5148"/>
    <w:rsid w:val="003C52F1"/>
    <w:rsid w:val="003C6862"/>
    <w:rsid w:val="003D0FC0"/>
    <w:rsid w:val="003D14B6"/>
    <w:rsid w:val="003D29E5"/>
    <w:rsid w:val="003D2D44"/>
    <w:rsid w:val="003D2EFA"/>
    <w:rsid w:val="003D4A7D"/>
    <w:rsid w:val="003D5368"/>
    <w:rsid w:val="003D5DD7"/>
    <w:rsid w:val="003D6A1E"/>
    <w:rsid w:val="003D7B4F"/>
    <w:rsid w:val="003E177F"/>
    <w:rsid w:val="003E2F70"/>
    <w:rsid w:val="003E3A65"/>
    <w:rsid w:val="003E40BC"/>
    <w:rsid w:val="003E5E28"/>
    <w:rsid w:val="003F1046"/>
    <w:rsid w:val="003F1376"/>
    <w:rsid w:val="003F6949"/>
    <w:rsid w:val="00401562"/>
    <w:rsid w:val="004028DE"/>
    <w:rsid w:val="00402CC6"/>
    <w:rsid w:val="00403541"/>
    <w:rsid w:val="0040497D"/>
    <w:rsid w:val="00407F85"/>
    <w:rsid w:val="0041005F"/>
    <w:rsid w:val="004106B1"/>
    <w:rsid w:val="00422FFB"/>
    <w:rsid w:val="00432F5D"/>
    <w:rsid w:val="00433113"/>
    <w:rsid w:val="00441D35"/>
    <w:rsid w:val="0044706F"/>
    <w:rsid w:val="00447120"/>
    <w:rsid w:val="0045395B"/>
    <w:rsid w:val="00453B04"/>
    <w:rsid w:val="0045420F"/>
    <w:rsid w:val="00454A33"/>
    <w:rsid w:val="00454DB2"/>
    <w:rsid w:val="00456B19"/>
    <w:rsid w:val="004617B3"/>
    <w:rsid w:val="004750FC"/>
    <w:rsid w:val="004773B9"/>
    <w:rsid w:val="00482546"/>
    <w:rsid w:val="004833B4"/>
    <w:rsid w:val="00483DAC"/>
    <w:rsid w:val="004871A0"/>
    <w:rsid w:val="004900ED"/>
    <w:rsid w:val="00493704"/>
    <w:rsid w:val="00494A93"/>
    <w:rsid w:val="00495CF0"/>
    <w:rsid w:val="00497757"/>
    <w:rsid w:val="004A459C"/>
    <w:rsid w:val="004A6E43"/>
    <w:rsid w:val="004A7EC0"/>
    <w:rsid w:val="004B2CAA"/>
    <w:rsid w:val="004B3726"/>
    <w:rsid w:val="004B4EF3"/>
    <w:rsid w:val="004B7187"/>
    <w:rsid w:val="004C09D6"/>
    <w:rsid w:val="004C1CAF"/>
    <w:rsid w:val="004C2A3D"/>
    <w:rsid w:val="004C515F"/>
    <w:rsid w:val="004C7CEE"/>
    <w:rsid w:val="004D16C6"/>
    <w:rsid w:val="004D56BE"/>
    <w:rsid w:val="004D5F3B"/>
    <w:rsid w:val="004E0BEC"/>
    <w:rsid w:val="004E2569"/>
    <w:rsid w:val="004E390A"/>
    <w:rsid w:val="004E60B5"/>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58C"/>
    <w:rsid w:val="00523B30"/>
    <w:rsid w:val="00524C89"/>
    <w:rsid w:val="00526FB7"/>
    <w:rsid w:val="005340AC"/>
    <w:rsid w:val="00537D37"/>
    <w:rsid w:val="005416A7"/>
    <w:rsid w:val="00542575"/>
    <w:rsid w:val="00542CE1"/>
    <w:rsid w:val="00546ED7"/>
    <w:rsid w:val="005539DF"/>
    <w:rsid w:val="00554B57"/>
    <w:rsid w:val="00560EF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3F35"/>
    <w:rsid w:val="005F507A"/>
    <w:rsid w:val="005F6469"/>
    <w:rsid w:val="00602D93"/>
    <w:rsid w:val="006061AE"/>
    <w:rsid w:val="0061036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1B8"/>
    <w:rsid w:val="00650DF9"/>
    <w:rsid w:val="0065130C"/>
    <w:rsid w:val="0065243F"/>
    <w:rsid w:val="006528ED"/>
    <w:rsid w:val="006565A3"/>
    <w:rsid w:val="00657F89"/>
    <w:rsid w:val="00661BC9"/>
    <w:rsid w:val="006637E0"/>
    <w:rsid w:val="006639B1"/>
    <w:rsid w:val="00670B73"/>
    <w:rsid w:val="00671D35"/>
    <w:rsid w:val="00672160"/>
    <w:rsid w:val="00681007"/>
    <w:rsid w:val="00690B88"/>
    <w:rsid w:val="00690F93"/>
    <w:rsid w:val="00692830"/>
    <w:rsid w:val="006928D1"/>
    <w:rsid w:val="00692AE8"/>
    <w:rsid w:val="00696071"/>
    <w:rsid w:val="006A6D08"/>
    <w:rsid w:val="006A733D"/>
    <w:rsid w:val="006B24DB"/>
    <w:rsid w:val="006B2A7B"/>
    <w:rsid w:val="006B60CA"/>
    <w:rsid w:val="006B6761"/>
    <w:rsid w:val="006B6CF2"/>
    <w:rsid w:val="006B730A"/>
    <w:rsid w:val="006B7C48"/>
    <w:rsid w:val="006D15E3"/>
    <w:rsid w:val="006D1B3F"/>
    <w:rsid w:val="006D2D2E"/>
    <w:rsid w:val="006D33D8"/>
    <w:rsid w:val="006D5884"/>
    <w:rsid w:val="006D5C7C"/>
    <w:rsid w:val="006E144F"/>
    <w:rsid w:val="006E2B35"/>
    <w:rsid w:val="006E5756"/>
    <w:rsid w:val="006E68F3"/>
    <w:rsid w:val="006F2D22"/>
    <w:rsid w:val="006F2E7B"/>
    <w:rsid w:val="006F4E11"/>
    <w:rsid w:val="006F4FDC"/>
    <w:rsid w:val="007006F2"/>
    <w:rsid w:val="007065B0"/>
    <w:rsid w:val="007133F8"/>
    <w:rsid w:val="00713A6A"/>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3C85"/>
    <w:rsid w:val="0076420A"/>
    <w:rsid w:val="00770A53"/>
    <w:rsid w:val="00772A3A"/>
    <w:rsid w:val="00774826"/>
    <w:rsid w:val="00781569"/>
    <w:rsid w:val="00781692"/>
    <w:rsid w:val="00785087"/>
    <w:rsid w:val="00786128"/>
    <w:rsid w:val="00786C01"/>
    <w:rsid w:val="00787007"/>
    <w:rsid w:val="007913C0"/>
    <w:rsid w:val="00793C31"/>
    <w:rsid w:val="00795789"/>
    <w:rsid w:val="0079583B"/>
    <w:rsid w:val="00796BD2"/>
    <w:rsid w:val="007A3644"/>
    <w:rsid w:val="007A3C41"/>
    <w:rsid w:val="007A627A"/>
    <w:rsid w:val="007B11E0"/>
    <w:rsid w:val="007B31FC"/>
    <w:rsid w:val="007B7DAA"/>
    <w:rsid w:val="007C3189"/>
    <w:rsid w:val="007C6AB8"/>
    <w:rsid w:val="007D0D54"/>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02A1"/>
    <w:rsid w:val="008231DE"/>
    <w:rsid w:val="00824EF7"/>
    <w:rsid w:val="0082747F"/>
    <w:rsid w:val="00827821"/>
    <w:rsid w:val="00831645"/>
    <w:rsid w:val="00831AAE"/>
    <w:rsid w:val="00832C63"/>
    <w:rsid w:val="00840D33"/>
    <w:rsid w:val="0084170C"/>
    <w:rsid w:val="00846235"/>
    <w:rsid w:val="00850EAC"/>
    <w:rsid w:val="00857386"/>
    <w:rsid w:val="00860314"/>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C70F4"/>
    <w:rsid w:val="008C7B0E"/>
    <w:rsid w:val="008D0DD1"/>
    <w:rsid w:val="008D15FA"/>
    <w:rsid w:val="008D4174"/>
    <w:rsid w:val="008D4D35"/>
    <w:rsid w:val="008E5A31"/>
    <w:rsid w:val="008E756B"/>
    <w:rsid w:val="008E7C93"/>
    <w:rsid w:val="008F73A0"/>
    <w:rsid w:val="00900F8B"/>
    <w:rsid w:val="0090487F"/>
    <w:rsid w:val="009103A8"/>
    <w:rsid w:val="0091077F"/>
    <w:rsid w:val="009108ED"/>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01A7"/>
    <w:rsid w:val="00964E6F"/>
    <w:rsid w:val="00965732"/>
    <w:rsid w:val="00965C11"/>
    <w:rsid w:val="0096700B"/>
    <w:rsid w:val="00970C42"/>
    <w:rsid w:val="0097120A"/>
    <w:rsid w:val="009717DA"/>
    <w:rsid w:val="009727F0"/>
    <w:rsid w:val="00972CD1"/>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1E1"/>
    <w:rsid w:val="00A035CE"/>
    <w:rsid w:val="00A06B0D"/>
    <w:rsid w:val="00A07663"/>
    <w:rsid w:val="00A07CA2"/>
    <w:rsid w:val="00A14FAF"/>
    <w:rsid w:val="00A15FF5"/>
    <w:rsid w:val="00A20313"/>
    <w:rsid w:val="00A23116"/>
    <w:rsid w:val="00A27632"/>
    <w:rsid w:val="00A27E44"/>
    <w:rsid w:val="00A32831"/>
    <w:rsid w:val="00A3623E"/>
    <w:rsid w:val="00A41DB1"/>
    <w:rsid w:val="00A4205B"/>
    <w:rsid w:val="00A44F98"/>
    <w:rsid w:val="00A45B99"/>
    <w:rsid w:val="00A503F8"/>
    <w:rsid w:val="00A50959"/>
    <w:rsid w:val="00A61B73"/>
    <w:rsid w:val="00A62820"/>
    <w:rsid w:val="00A65C7F"/>
    <w:rsid w:val="00A65E38"/>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B7175"/>
    <w:rsid w:val="00AC031F"/>
    <w:rsid w:val="00AC44F5"/>
    <w:rsid w:val="00AC6812"/>
    <w:rsid w:val="00AC7FEA"/>
    <w:rsid w:val="00AD081A"/>
    <w:rsid w:val="00AD0F86"/>
    <w:rsid w:val="00AD640B"/>
    <w:rsid w:val="00AD6A40"/>
    <w:rsid w:val="00AE1B70"/>
    <w:rsid w:val="00AE2288"/>
    <w:rsid w:val="00AE2559"/>
    <w:rsid w:val="00AE2D88"/>
    <w:rsid w:val="00AF38AD"/>
    <w:rsid w:val="00AF473E"/>
    <w:rsid w:val="00AF6BD7"/>
    <w:rsid w:val="00B0362B"/>
    <w:rsid w:val="00B068FA"/>
    <w:rsid w:val="00B073D4"/>
    <w:rsid w:val="00B107FB"/>
    <w:rsid w:val="00B1170D"/>
    <w:rsid w:val="00B13C0D"/>
    <w:rsid w:val="00B14F3B"/>
    <w:rsid w:val="00B171DC"/>
    <w:rsid w:val="00B21CCE"/>
    <w:rsid w:val="00B24DC4"/>
    <w:rsid w:val="00B25D11"/>
    <w:rsid w:val="00B31B71"/>
    <w:rsid w:val="00B322CE"/>
    <w:rsid w:val="00B40816"/>
    <w:rsid w:val="00B42202"/>
    <w:rsid w:val="00B4227F"/>
    <w:rsid w:val="00B44041"/>
    <w:rsid w:val="00B4620A"/>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07B3"/>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BF373E"/>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57B44"/>
    <w:rsid w:val="00C61245"/>
    <w:rsid w:val="00C6190D"/>
    <w:rsid w:val="00C67A95"/>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25B"/>
    <w:rsid w:val="00CE0FC7"/>
    <w:rsid w:val="00CE12FD"/>
    <w:rsid w:val="00CE2B1B"/>
    <w:rsid w:val="00CE3D84"/>
    <w:rsid w:val="00CE5156"/>
    <w:rsid w:val="00CE546F"/>
    <w:rsid w:val="00CE5FE5"/>
    <w:rsid w:val="00CE6AA4"/>
    <w:rsid w:val="00CF0EF5"/>
    <w:rsid w:val="00CF157A"/>
    <w:rsid w:val="00CF2C76"/>
    <w:rsid w:val="00CF2EDB"/>
    <w:rsid w:val="00CF453B"/>
    <w:rsid w:val="00D00401"/>
    <w:rsid w:val="00D006EF"/>
    <w:rsid w:val="00D01F57"/>
    <w:rsid w:val="00D02E78"/>
    <w:rsid w:val="00D04423"/>
    <w:rsid w:val="00D108A8"/>
    <w:rsid w:val="00D11F8C"/>
    <w:rsid w:val="00D12D75"/>
    <w:rsid w:val="00D13939"/>
    <w:rsid w:val="00D14789"/>
    <w:rsid w:val="00D1523E"/>
    <w:rsid w:val="00D24290"/>
    <w:rsid w:val="00D25FFF"/>
    <w:rsid w:val="00D32F37"/>
    <w:rsid w:val="00D335D3"/>
    <w:rsid w:val="00D34963"/>
    <w:rsid w:val="00D40592"/>
    <w:rsid w:val="00D42584"/>
    <w:rsid w:val="00D44E5F"/>
    <w:rsid w:val="00D4732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6D0"/>
    <w:rsid w:val="00D76C1A"/>
    <w:rsid w:val="00D81662"/>
    <w:rsid w:val="00D820EB"/>
    <w:rsid w:val="00D83B76"/>
    <w:rsid w:val="00D862ED"/>
    <w:rsid w:val="00D87040"/>
    <w:rsid w:val="00D8794E"/>
    <w:rsid w:val="00D912DD"/>
    <w:rsid w:val="00DA352A"/>
    <w:rsid w:val="00DA5746"/>
    <w:rsid w:val="00DB3AB9"/>
    <w:rsid w:val="00DB3B5C"/>
    <w:rsid w:val="00DB4B74"/>
    <w:rsid w:val="00DC55FF"/>
    <w:rsid w:val="00DC5972"/>
    <w:rsid w:val="00DC6348"/>
    <w:rsid w:val="00DC6CD0"/>
    <w:rsid w:val="00DD0AF2"/>
    <w:rsid w:val="00DD24EF"/>
    <w:rsid w:val="00DD4834"/>
    <w:rsid w:val="00DE13D4"/>
    <w:rsid w:val="00DE1C69"/>
    <w:rsid w:val="00DE3163"/>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324"/>
    <w:rsid w:val="00E27676"/>
    <w:rsid w:val="00E27791"/>
    <w:rsid w:val="00E325DE"/>
    <w:rsid w:val="00E330B8"/>
    <w:rsid w:val="00E3353D"/>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91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1DDE"/>
    <w:rsid w:val="00EF5132"/>
    <w:rsid w:val="00EF61FA"/>
    <w:rsid w:val="00EF6FED"/>
    <w:rsid w:val="00F05D93"/>
    <w:rsid w:val="00F067CC"/>
    <w:rsid w:val="00F071D4"/>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57E24"/>
    <w:rsid w:val="00F61417"/>
    <w:rsid w:val="00F61F2B"/>
    <w:rsid w:val="00F64E6C"/>
    <w:rsid w:val="00F655FA"/>
    <w:rsid w:val="00F6586B"/>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2057"/>
    <w:rsid w:val="00FA3047"/>
    <w:rsid w:val="00FA620B"/>
    <w:rsid w:val="00FB1BDA"/>
    <w:rsid w:val="00FB2ED7"/>
    <w:rsid w:val="00FB6C51"/>
    <w:rsid w:val="00FB6C71"/>
    <w:rsid w:val="00FB77A0"/>
    <w:rsid w:val="00FC1AC7"/>
    <w:rsid w:val="00FC323E"/>
    <w:rsid w:val="00FC44A0"/>
    <w:rsid w:val="00FC7A4F"/>
    <w:rsid w:val="00FD4DA4"/>
    <w:rsid w:val="00FD5B38"/>
    <w:rsid w:val="00FD72E0"/>
    <w:rsid w:val="00FD7DD0"/>
    <w:rsid w:val="00FE059B"/>
    <w:rsid w:val="00FE4C92"/>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25C8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nl-NL"/>
    </w:rPr>
  </w:style>
  <w:style w:type="character" w:customStyle="1" w:styleId="FooterChar">
    <w:name w:val="Footer Char"/>
    <w:link w:val="Footer"/>
    <w:uiPriority w:val="99"/>
    <w:rsid w:val="00C35F89"/>
    <w:rPr>
      <w:rFonts w:ascii="Verdana" w:hAnsi="Verdana"/>
      <w:szCs w:val="24"/>
      <w:lang w:val="nl-NL" w:eastAsia="nl-NL"/>
    </w:rPr>
  </w:style>
  <w:style w:type="paragraph" w:styleId="ListParagraph">
    <w:name w:val="List Paragraph"/>
    <w:basedOn w:val="Normal"/>
    <w:uiPriority w:val="34"/>
    <w:qFormat/>
    <w:rsid w:val="0041005F"/>
    <w:pPr>
      <w:ind w:left="720"/>
      <w:contextualSpacing/>
    </w:pPr>
  </w:style>
  <w:style w:type="character" w:styleId="CommentReference">
    <w:name w:val="annotation reference"/>
    <w:basedOn w:val="DefaultParagraphFont"/>
    <w:semiHidden/>
    <w:unhideWhenUsed/>
    <w:rsid w:val="00781569"/>
    <w:rPr>
      <w:sz w:val="16"/>
      <w:szCs w:val="16"/>
    </w:rPr>
  </w:style>
  <w:style w:type="paragraph" w:styleId="CommentText">
    <w:name w:val="annotation text"/>
    <w:basedOn w:val="Normal"/>
    <w:link w:val="CommentTextChar"/>
    <w:semiHidden/>
    <w:unhideWhenUsed/>
    <w:rsid w:val="00781569"/>
    <w:rPr>
      <w:szCs w:val="20"/>
    </w:rPr>
  </w:style>
  <w:style w:type="character" w:customStyle="1" w:styleId="CommentTextChar">
    <w:name w:val="Comment Text Char"/>
    <w:basedOn w:val="DefaultParagraphFont"/>
    <w:link w:val="CommentText"/>
    <w:semiHidden/>
    <w:rsid w:val="00781569"/>
    <w:rPr>
      <w:rFonts w:ascii="Arial" w:hAnsi="Arial"/>
    </w:rPr>
  </w:style>
  <w:style w:type="paragraph" w:styleId="CommentSubject">
    <w:name w:val="annotation subject"/>
    <w:basedOn w:val="CommentText"/>
    <w:next w:val="CommentText"/>
    <w:link w:val="CommentSubjectChar"/>
    <w:semiHidden/>
    <w:unhideWhenUsed/>
    <w:rsid w:val="00781569"/>
    <w:rPr>
      <w:b/>
      <w:bCs/>
    </w:rPr>
  </w:style>
  <w:style w:type="character" w:customStyle="1" w:styleId="CommentSubjectChar">
    <w:name w:val="Comment Subject Char"/>
    <w:basedOn w:val="CommentTextChar"/>
    <w:link w:val="CommentSubject"/>
    <w:semiHidden/>
    <w:rsid w:val="00781569"/>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nl-NL"/>
    </w:rPr>
  </w:style>
  <w:style w:type="character" w:customStyle="1" w:styleId="FooterChar">
    <w:name w:val="Footer Char"/>
    <w:link w:val="Footer"/>
    <w:uiPriority w:val="99"/>
    <w:rsid w:val="00C35F89"/>
    <w:rPr>
      <w:rFonts w:ascii="Verdana" w:hAnsi="Verdana"/>
      <w:szCs w:val="24"/>
      <w:lang w:val="nl-NL" w:eastAsia="nl-NL"/>
    </w:rPr>
  </w:style>
  <w:style w:type="paragraph" w:styleId="ListParagraph">
    <w:name w:val="List Paragraph"/>
    <w:basedOn w:val="Normal"/>
    <w:uiPriority w:val="34"/>
    <w:qFormat/>
    <w:rsid w:val="0041005F"/>
    <w:pPr>
      <w:ind w:left="720"/>
      <w:contextualSpacing/>
    </w:pPr>
  </w:style>
  <w:style w:type="character" w:styleId="CommentReference">
    <w:name w:val="annotation reference"/>
    <w:basedOn w:val="DefaultParagraphFont"/>
    <w:semiHidden/>
    <w:unhideWhenUsed/>
    <w:rsid w:val="00781569"/>
    <w:rPr>
      <w:sz w:val="16"/>
      <w:szCs w:val="16"/>
    </w:rPr>
  </w:style>
  <w:style w:type="paragraph" w:styleId="CommentText">
    <w:name w:val="annotation text"/>
    <w:basedOn w:val="Normal"/>
    <w:link w:val="CommentTextChar"/>
    <w:semiHidden/>
    <w:unhideWhenUsed/>
    <w:rsid w:val="00781569"/>
    <w:rPr>
      <w:szCs w:val="20"/>
    </w:rPr>
  </w:style>
  <w:style w:type="character" w:customStyle="1" w:styleId="CommentTextChar">
    <w:name w:val="Comment Text Char"/>
    <w:basedOn w:val="DefaultParagraphFont"/>
    <w:link w:val="CommentText"/>
    <w:semiHidden/>
    <w:rsid w:val="00781569"/>
    <w:rPr>
      <w:rFonts w:ascii="Arial" w:hAnsi="Arial"/>
    </w:rPr>
  </w:style>
  <w:style w:type="paragraph" w:styleId="CommentSubject">
    <w:name w:val="annotation subject"/>
    <w:basedOn w:val="CommentText"/>
    <w:next w:val="CommentText"/>
    <w:link w:val="CommentSubjectChar"/>
    <w:semiHidden/>
    <w:unhideWhenUsed/>
    <w:rsid w:val="00781569"/>
    <w:rPr>
      <w:b/>
      <w:bCs/>
    </w:rPr>
  </w:style>
  <w:style w:type="character" w:customStyle="1" w:styleId="CommentSubjectChar">
    <w:name w:val="Comment Subject Char"/>
    <w:basedOn w:val="CommentTextChar"/>
    <w:link w:val="CommentSubject"/>
    <w:semiHidden/>
    <w:rsid w:val="0078156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4298</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3</cp:revision>
  <cp:lastPrinted>2016-08-05T09:46:00Z</cp:lastPrinted>
  <dcterms:created xsi:type="dcterms:W3CDTF">2016-12-20T09:05:00Z</dcterms:created>
  <dcterms:modified xsi:type="dcterms:W3CDTF">2016-12-20T09:05:00Z</dcterms:modified>
</cp:coreProperties>
</file>