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9" w:rsidRPr="00AE4255" w:rsidRDefault="00B66D84" w:rsidP="00193A4E">
      <w:pPr>
        <w:pStyle w:val="A-NaamMinister"/>
        <w:jc w:val="both"/>
        <w:rPr>
          <w:rFonts w:ascii="Verdana" w:hAnsi="Verdana"/>
          <w:sz w:val="20"/>
          <w:szCs w:val="20"/>
        </w:rPr>
      </w:pPr>
      <w:bookmarkStart w:id="0" w:name="_GoBack"/>
      <w:bookmarkEnd w:id="0"/>
      <w:proofErr w:type="spellStart"/>
      <w:r>
        <w:rPr>
          <w:rFonts w:ascii="Verdana" w:hAnsi="Verdana"/>
          <w:sz w:val="20"/>
          <w:szCs w:val="20"/>
        </w:rPr>
        <w:t>annemie</w:t>
      </w:r>
      <w:proofErr w:type="spellEnd"/>
      <w:r>
        <w:rPr>
          <w:rFonts w:ascii="Verdana" w:hAnsi="Verdana"/>
          <w:sz w:val="20"/>
          <w:szCs w:val="20"/>
        </w:rPr>
        <w:t xml:space="preserve"> </w:t>
      </w:r>
      <w:proofErr w:type="spellStart"/>
      <w:r>
        <w:rPr>
          <w:rFonts w:ascii="Verdana" w:hAnsi="Verdana"/>
          <w:sz w:val="20"/>
          <w:szCs w:val="20"/>
        </w:rPr>
        <w:t>turtelboom</w:t>
      </w:r>
      <w:proofErr w:type="spellEnd"/>
    </w:p>
    <w:p w:rsidR="000976E9" w:rsidRPr="00AE4255" w:rsidRDefault="004F30D4" w:rsidP="00193A4E">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sidR="00B66D84">
        <w:rPr>
          <w:rFonts w:ascii="Verdana" w:hAnsi="Verdana"/>
          <w:sz w:val="20"/>
          <w:szCs w:val="20"/>
        </w:rPr>
        <w:t>begroting, financiën en energie</w:t>
      </w:r>
    </w:p>
    <w:p w:rsidR="000976E9" w:rsidRPr="00AE4255" w:rsidRDefault="000976E9" w:rsidP="00193A4E">
      <w:pPr>
        <w:jc w:val="both"/>
        <w:rPr>
          <w:rFonts w:ascii="Verdana" w:hAnsi="Verdana"/>
          <w:sz w:val="20"/>
          <w:szCs w:val="20"/>
        </w:rPr>
      </w:pPr>
    </w:p>
    <w:p w:rsidR="000976E9" w:rsidRPr="00AE4255" w:rsidRDefault="000976E9" w:rsidP="00193A4E">
      <w:pPr>
        <w:pStyle w:val="A-Lijn"/>
        <w:jc w:val="both"/>
        <w:rPr>
          <w:rFonts w:ascii="Verdana" w:hAnsi="Verdana"/>
          <w:sz w:val="20"/>
          <w:szCs w:val="20"/>
        </w:rPr>
      </w:pPr>
    </w:p>
    <w:p w:rsidR="000976E9" w:rsidRPr="00AE4255" w:rsidRDefault="000976E9" w:rsidP="00193A4E">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0976E9" w:rsidP="00193A4E">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rsidR="000976E9" w:rsidRPr="00301372" w:rsidRDefault="000976E9" w:rsidP="00193A4E">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9B2D2D">
        <w:rPr>
          <w:rFonts w:ascii="Verdana" w:hAnsi="Verdana"/>
          <w:b w:val="0"/>
          <w:sz w:val="20"/>
          <w:szCs w:val="20"/>
        </w:rPr>
        <w:t>46</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9B2D2D">
        <w:rPr>
          <w:rFonts w:ascii="Verdana" w:hAnsi="Verdana"/>
          <w:b w:val="0"/>
          <w:smallCaps w:val="0"/>
          <w:sz w:val="20"/>
          <w:szCs w:val="20"/>
        </w:rPr>
        <w:t>9</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9B2D2D">
            <w:rPr>
              <w:rFonts w:ascii="Verdana" w:hAnsi="Verdana"/>
              <w:b w:val="0"/>
              <w:smallCaps w:val="0"/>
              <w:sz w:val="20"/>
              <w:szCs w:val="20"/>
            </w:rPr>
            <w:t>november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9B2D2D">
            <w:rPr>
              <w:rFonts w:ascii="Verdana" w:hAnsi="Verdana"/>
              <w:b w:val="0"/>
              <w:smallCaps w:val="0"/>
              <w:sz w:val="20"/>
              <w:szCs w:val="20"/>
            </w:rPr>
            <w:t>2015</w:t>
          </w:r>
        </w:sdtContent>
      </w:sdt>
    </w:p>
    <w:p w:rsidR="000976E9" w:rsidRPr="00AE4255" w:rsidRDefault="000976E9" w:rsidP="00193A4E">
      <w:pPr>
        <w:jc w:val="both"/>
        <w:rPr>
          <w:rFonts w:ascii="Verdana" w:hAnsi="Verdana"/>
          <w:sz w:val="20"/>
          <w:szCs w:val="20"/>
        </w:rPr>
      </w:pPr>
      <w:r w:rsidRPr="00AE4255">
        <w:rPr>
          <w:rFonts w:ascii="Verdana" w:hAnsi="Verdana"/>
          <w:sz w:val="20"/>
          <w:szCs w:val="20"/>
        </w:rPr>
        <w:t xml:space="preserve">van </w:t>
      </w:r>
      <w:r w:rsidR="009B2D2D">
        <w:rPr>
          <w:rStyle w:val="AntwoordNaamMinisterChar"/>
          <w:rFonts w:ascii="Verdana" w:hAnsi="Verdana"/>
          <w:sz w:val="20"/>
          <w:szCs w:val="20"/>
        </w:rPr>
        <w:t xml:space="preserve">rob </w:t>
      </w:r>
      <w:proofErr w:type="spellStart"/>
      <w:r w:rsidR="009B2D2D">
        <w:rPr>
          <w:rStyle w:val="AntwoordNaamMinisterChar"/>
          <w:rFonts w:ascii="Verdana" w:hAnsi="Verdana"/>
          <w:sz w:val="20"/>
          <w:szCs w:val="20"/>
        </w:rPr>
        <w:t>beenders</w:t>
      </w:r>
      <w:proofErr w:type="spellEnd"/>
    </w:p>
    <w:p w:rsidR="000976E9" w:rsidRDefault="000976E9" w:rsidP="00193A4E">
      <w:pPr>
        <w:pBdr>
          <w:bottom w:val="single" w:sz="6" w:space="1" w:color="auto"/>
        </w:pBdr>
        <w:jc w:val="both"/>
        <w:rPr>
          <w:rFonts w:ascii="Verdana" w:hAnsi="Verdana"/>
          <w:sz w:val="20"/>
          <w:szCs w:val="20"/>
        </w:rPr>
      </w:pPr>
    </w:p>
    <w:p w:rsidR="007D21E5" w:rsidRPr="00AE4255" w:rsidRDefault="007D21E5" w:rsidP="00193A4E">
      <w:pPr>
        <w:pBdr>
          <w:bottom w:val="single" w:sz="6" w:space="1" w:color="auto"/>
        </w:pBdr>
        <w:jc w:val="both"/>
        <w:rPr>
          <w:rFonts w:ascii="Verdana" w:hAnsi="Verdana"/>
          <w:sz w:val="20"/>
          <w:szCs w:val="20"/>
        </w:rPr>
        <w:sectPr w:rsidR="007D21E5" w:rsidRPr="00AE4255" w:rsidSect="000976E9">
          <w:type w:val="continuous"/>
          <w:pgSz w:w="11906" w:h="16838"/>
          <w:pgMar w:top="1417" w:right="1417" w:bottom="1417" w:left="1417" w:header="708" w:footer="708" w:gutter="0"/>
          <w:cols w:space="708"/>
          <w:docGrid w:linePitch="360"/>
        </w:sectPr>
      </w:pPr>
    </w:p>
    <w:p w:rsidR="00204B53" w:rsidRDefault="00204B53" w:rsidP="00193A4E">
      <w:pPr>
        <w:jc w:val="both"/>
        <w:rPr>
          <w:rFonts w:ascii="Verdana" w:hAnsi="Verdana"/>
          <w:sz w:val="20"/>
          <w:szCs w:val="20"/>
          <w:lang w:val="nl-BE"/>
        </w:rPr>
      </w:pPr>
    </w:p>
    <w:p w:rsidR="00204B53" w:rsidRDefault="00204B53" w:rsidP="00193A4E">
      <w:pPr>
        <w:pStyle w:val="Nummering"/>
        <w:numPr>
          <w:ilvl w:val="0"/>
          <w:numId w:val="0"/>
        </w:numPr>
        <w:spacing w:after="0"/>
        <w:rPr>
          <w:lang w:val="nl-BE"/>
        </w:rPr>
      </w:pPr>
    </w:p>
    <w:p w:rsidR="00007F74" w:rsidRPr="00204B53" w:rsidRDefault="00C16793" w:rsidP="00193A4E">
      <w:pPr>
        <w:pStyle w:val="Nummering"/>
        <w:numPr>
          <w:ilvl w:val="0"/>
          <w:numId w:val="0"/>
        </w:numPr>
        <w:spacing w:after="0"/>
        <w:rPr>
          <w:lang w:val="nl-BE"/>
        </w:rPr>
      </w:pPr>
      <w:r>
        <w:rPr>
          <w:lang w:val="nl-BE"/>
        </w:rPr>
        <w:t xml:space="preserve">Het advies van de Raad van State is duidelijk: een heffing op afnamepunt is juridisch correct een heffing op verbruik schendt het non bis in idem en kan dus niet ingevoerd worden. Het voorstel om de </w:t>
      </w:r>
      <w:r w:rsidR="00411160">
        <w:rPr>
          <w:lang w:val="nl-BE"/>
        </w:rPr>
        <w:t>alleenstaanden tegemoet te komen via een heffing op verbruik is een voorstel dat ingaat tegen het advies van de Raad van State.</w:t>
      </w:r>
      <w:r w:rsidR="00007F74" w:rsidRPr="00204B53">
        <w:rPr>
          <w:lang w:val="nl-BE"/>
        </w:rPr>
        <w:t xml:space="preserve"> </w:t>
      </w:r>
    </w:p>
    <w:p w:rsidR="00007F74" w:rsidRDefault="00007F74" w:rsidP="00193A4E">
      <w:pPr>
        <w:jc w:val="both"/>
        <w:rPr>
          <w:rFonts w:ascii="Verdana" w:hAnsi="Verdana"/>
          <w:sz w:val="20"/>
          <w:szCs w:val="20"/>
          <w:lang w:val="nl-BE"/>
        </w:rPr>
      </w:pPr>
    </w:p>
    <w:p w:rsidR="009B2D2D" w:rsidRDefault="00107DE6" w:rsidP="00193A4E">
      <w:pPr>
        <w:pStyle w:val="Nummering"/>
        <w:spacing w:after="0"/>
        <w:rPr>
          <w:rFonts w:eastAsiaTheme="minorHAnsi"/>
          <w:szCs w:val="20"/>
          <w:lang w:val="nl-BE" w:eastAsia="en-US"/>
        </w:rPr>
      </w:pPr>
      <w:r>
        <w:rPr>
          <w:lang w:val="nl-BE"/>
        </w:rPr>
        <w:t xml:space="preserve">Het </w:t>
      </w:r>
      <w:r w:rsidR="00411160">
        <w:rPr>
          <w:lang w:val="nl-BE"/>
        </w:rPr>
        <w:t>transmissienet is een federale materie, die gegevens</w:t>
      </w:r>
      <w:r>
        <w:rPr>
          <w:lang w:val="nl-BE"/>
        </w:rPr>
        <w:t xml:space="preserve"> van het aantal bedrijven die op het trasmissienet zijn aangesloten, zijn dan ook</w:t>
      </w:r>
      <w:r w:rsidR="00411160">
        <w:rPr>
          <w:lang w:val="nl-BE"/>
        </w:rPr>
        <w:t xml:space="preserve"> in han</w:t>
      </w:r>
      <w:r>
        <w:rPr>
          <w:lang w:val="nl-BE"/>
        </w:rPr>
        <w:t>den van Elia. De vraag dient</w:t>
      </w:r>
      <w:r w:rsidR="00411160">
        <w:rPr>
          <w:lang w:val="nl-BE"/>
        </w:rPr>
        <w:t xml:space="preserve"> op federaal niveau gesteld te worden. </w:t>
      </w:r>
      <w:r w:rsidR="006B2678">
        <w:rPr>
          <w:lang w:val="nl-BE"/>
        </w:rPr>
        <w:t>De bedrijven die</w:t>
      </w:r>
      <w:r w:rsidR="009B2D2D">
        <w:rPr>
          <w:lang w:val="nl-BE"/>
        </w:rPr>
        <w:t xml:space="preserve"> </w:t>
      </w:r>
      <w:r w:rsidR="006B2678">
        <w:rPr>
          <w:lang w:val="nl-BE"/>
        </w:rPr>
        <w:t xml:space="preserve">via </w:t>
      </w:r>
      <w:r w:rsidR="009B2D2D">
        <w:rPr>
          <w:lang w:val="nl-BE"/>
        </w:rPr>
        <w:t>een gesloten distributienet</w:t>
      </w:r>
      <w:r w:rsidR="006B2678">
        <w:rPr>
          <w:lang w:val="nl-BE"/>
        </w:rPr>
        <w:t xml:space="preserve"> beleverd worden,</w:t>
      </w:r>
      <w:r w:rsidR="00644582">
        <w:rPr>
          <w:rFonts w:eastAsiaTheme="minorHAnsi"/>
          <w:szCs w:val="20"/>
          <w:lang w:val="nl-BE" w:eastAsia="en-US"/>
        </w:rPr>
        <w:t xml:space="preserve"> betalen wel de ene</w:t>
      </w:r>
      <w:r w:rsidR="00AA1889">
        <w:rPr>
          <w:rFonts w:eastAsiaTheme="minorHAnsi"/>
          <w:szCs w:val="20"/>
          <w:lang w:val="nl-BE" w:eastAsia="en-US"/>
        </w:rPr>
        <w:t xml:space="preserve">rgieheffing. </w:t>
      </w:r>
      <w:r w:rsidR="0079068D">
        <w:rPr>
          <w:rFonts w:eastAsiaTheme="minorHAnsi"/>
          <w:szCs w:val="20"/>
          <w:lang w:val="nl-BE" w:eastAsia="en-US"/>
        </w:rPr>
        <w:t xml:space="preserve">Bovendien betalen bedrijven op het transmissienet in belangrijke mate mee aan de quotumverplichting voor groene stroom en WKK. </w:t>
      </w:r>
    </w:p>
    <w:p w:rsidR="00193A4E" w:rsidRDefault="00193A4E" w:rsidP="00193A4E">
      <w:pPr>
        <w:pStyle w:val="Nummering"/>
        <w:numPr>
          <w:ilvl w:val="0"/>
          <w:numId w:val="0"/>
        </w:numPr>
        <w:spacing w:after="0"/>
        <w:ind w:left="425"/>
        <w:rPr>
          <w:rFonts w:eastAsiaTheme="minorHAnsi"/>
          <w:szCs w:val="20"/>
          <w:lang w:val="nl-BE" w:eastAsia="en-US"/>
        </w:rPr>
      </w:pPr>
    </w:p>
    <w:p w:rsidR="009B2D2D" w:rsidRDefault="009B2D2D" w:rsidP="00193A4E">
      <w:pPr>
        <w:pStyle w:val="Nummering"/>
        <w:spacing w:after="0"/>
        <w:rPr>
          <w:rFonts w:eastAsiaTheme="minorHAnsi"/>
          <w:lang w:val="nl-BE" w:eastAsia="en-US"/>
        </w:rPr>
      </w:pPr>
      <w:r>
        <w:rPr>
          <w:rFonts w:eastAsiaTheme="minorHAnsi"/>
          <w:lang w:val="nl-BE" w:eastAsia="en-US"/>
        </w:rPr>
        <w:t xml:space="preserve">Het is niet zo dat bedrijven een afnamepunt hebben op het transmissienet van Elia én op een gesloten net aangesloten kunnen zijn. Het is het één of het andere. Bedrijven die aangesloten zijn op een gesloten distributienet (ongeacht of dit gesloten net gekoppeld is op het transmissienet, het plaatselijk vervoernet van elektriciteit of het distributienet) en in dat net, als afnemer, aangesloten zijn op een spanning ≤70 kV, zijn </w:t>
      </w:r>
      <w:proofErr w:type="spellStart"/>
      <w:r>
        <w:rPr>
          <w:rFonts w:eastAsiaTheme="minorHAnsi"/>
          <w:lang w:val="nl-BE" w:eastAsia="en-US"/>
        </w:rPr>
        <w:t>heffingsplichtig</w:t>
      </w:r>
      <w:proofErr w:type="spellEnd"/>
      <w:r>
        <w:rPr>
          <w:rFonts w:eastAsiaTheme="minorHAnsi"/>
          <w:lang w:val="nl-BE" w:eastAsia="en-US"/>
        </w:rPr>
        <w:t>. Dit in tegenstelling tot gesloten distributienetten, die gewestelijke materie zijn voor zover en in de mate de spanning op het net ≤70kV is, waarbij uitgegaan mag worden van het feit dat afname zo goed als altijd op spanning ≤70kV plaatsvindt.</w:t>
      </w:r>
    </w:p>
    <w:p w:rsidR="00193A4E" w:rsidRPr="006B2678" w:rsidRDefault="00193A4E" w:rsidP="00193A4E">
      <w:pPr>
        <w:pStyle w:val="Nummering"/>
        <w:numPr>
          <w:ilvl w:val="0"/>
          <w:numId w:val="0"/>
        </w:numPr>
        <w:spacing w:after="0"/>
        <w:rPr>
          <w:rFonts w:eastAsiaTheme="minorHAnsi"/>
          <w:lang w:val="nl-BE" w:eastAsia="en-US"/>
        </w:rPr>
      </w:pPr>
    </w:p>
    <w:p w:rsidR="009B2D2D" w:rsidRDefault="009B2D2D" w:rsidP="00193A4E">
      <w:pPr>
        <w:pStyle w:val="Nummering"/>
        <w:spacing w:after="0"/>
        <w:rPr>
          <w:rFonts w:eastAsiaTheme="minorHAnsi"/>
          <w:lang w:eastAsia="en-US"/>
        </w:rPr>
      </w:pPr>
      <w:r>
        <w:rPr>
          <w:rFonts w:eastAsiaTheme="minorHAnsi"/>
          <w:lang w:val="nl-BE" w:eastAsia="en-US"/>
        </w:rPr>
        <w:t xml:space="preserve">De reden voor het introduceren van de regel waarbij het de afnemer op het aansluitingspunt van het gesloten net op het publieke net (transmissienet, plaatselijk vervoernet van elektriciteit dan wel distributienet) is die </w:t>
      </w:r>
      <w:proofErr w:type="spellStart"/>
      <w:r>
        <w:rPr>
          <w:rFonts w:eastAsiaTheme="minorHAnsi"/>
          <w:lang w:val="nl-BE" w:eastAsia="en-US"/>
        </w:rPr>
        <w:t>heffingsplichtig</w:t>
      </w:r>
      <w:proofErr w:type="spellEnd"/>
      <w:r>
        <w:rPr>
          <w:rFonts w:eastAsiaTheme="minorHAnsi"/>
          <w:lang w:val="nl-BE" w:eastAsia="en-US"/>
        </w:rPr>
        <w:t xml:space="preserve"> is, is nu net omdat niet altijd duidelijk is wie juist de achterliggende afnemers zijn op een gesloten distributienet. Dat net is als het ware een “blinde vlek” voor de publieke netbeheerder. Bijgevolg is niet gekend hoeveel bedrijven/afnemers zich op gesloten distributienetten bevinden. Bij de erkenning van gesloten distributienetten wordt deze informatie wel meegedeeld, maar dit gegeven kan evolueren in de tijd, aangezien de beheerder van een gesloten net bijkomende netgebruikers, en dus ook afnemers, kan aansluiten op zijn net. Noch het aantal, noch het stroomverbruik van achterliggende netgebruikers op een gesloten distributienet, is gekend, daar dit behoort tot het interne beheer van gesloten distributienetten. Wél kan het totale stroomverbruik van de erkende gesloten distributienetten weergegeven worden: in totaal werd er in 2014, verdeeld over de 7 erkende gesloten distributienetten, 3,9 </w:t>
      </w:r>
      <w:proofErr w:type="spellStart"/>
      <w:r>
        <w:rPr>
          <w:rFonts w:eastAsiaTheme="minorHAnsi"/>
          <w:lang w:val="nl-BE" w:eastAsia="en-US"/>
        </w:rPr>
        <w:t>TWh</w:t>
      </w:r>
      <w:proofErr w:type="spellEnd"/>
      <w:r>
        <w:rPr>
          <w:rFonts w:eastAsiaTheme="minorHAnsi"/>
          <w:lang w:val="nl-BE" w:eastAsia="en-US"/>
        </w:rPr>
        <w:t xml:space="preserve"> afgenomen. </w:t>
      </w:r>
      <w:proofErr w:type="spellStart"/>
      <w:r>
        <w:rPr>
          <w:rFonts w:eastAsiaTheme="minorHAnsi"/>
          <w:lang w:eastAsia="en-US"/>
        </w:rPr>
        <w:t>Dit</w:t>
      </w:r>
      <w:proofErr w:type="spellEnd"/>
      <w:r>
        <w:rPr>
          <w:rFonts w:eastAsiaTheme="minorHAnsi"/>
          <w:lang w:eastAsia="en-US"/>
        </w:rPr>
        <w:t xml:space="preserve"> </w:t>
      </w:r>
      <w:proofErr w:type="spellStart"/>
      <w:r>
        <w:rPr>
          <w:rFonts w:eastAsiaTheme="minorHAnsi"/>
          <w:lang w:eastAsia="en-US"/>
        </w:rPr>
        <w:t>stroomverbruik</w:t>
      </w:r>
      <w:proofErr w:type="spellEnd"/>
      <w:r>
        <w:rPr>
          <w:rFonts w:eastAsiaTheme="minorHAnsi"/>
          <w:lang w:eastAsia="en-US"/>
        </w:rPr>
        <w:t xml:space="preserve"> </w:t>
      </w:r>
      <w:proofErr w:type="spellStart"/>
      <w:r>
        <w:rPr>
          <w:rFonts w:eastAsiaTheme="minorHAnsi"/>
          <w:lang w:eastAsia="en-US"/>
        </w:rPr>
        <w:t>bedraagt</w:t>
      </w:r>
      <w:proofErr w:type="spellEnd"/>
      <w:r>
        <w:rPr>
          <w:rFonts w:eastAsiaTheme="minorHAnsi"/>
          <w:lang w:eastAsia="en-US"/>
        </w:rPr>
        <w:t xml:space="preserve"> 9% van het </w:t>
      </w:r>
      <w:proofErr w:type="spellStart"/>
      <w:r>
        <w:rPr>
          <w:rFonts w:eastAsiaTheme="minorHAnsi"/>
          <w:lang w:eastAsia="en-US"/>
        </w:rPr>
        <w:t>totale</w:t>
      </w:r>
      <w:proofErr w:type="spellEnd"/>
      <w:r>
        <w:rPr>
          <w:rFonts w:eastAsiaTheme="minorHAnsi"/>
          <w:lang w:eastAsia="en-US"/>
        </w:rPr>
        <w:t xml:space="preserve"> </w:t>
      </w:r>
      <w:proofErr w:type="spellStart"/>
      <w:r>
        <w:rPr>
          <w:rFonts w:eastAsiaTheme="minorHAnsi"/>
          <w:lang w:eastAsia="en-US"/>
        </w:rPr>
        <w:t>Vlaamse</w:t>
      </w:r>
      <w:proofErr w:type="spellEnd"/>
      <w:r>
        <w:rPr>
          <w:rFonts w:eastAsiaTheme="minorHAnsi"/>
          <w:lang w:eastAsia="en-US"/>
        </w:rPr>
        <w:t xml:space="preserve"> </w:t>
      </w:r>
      <w:proofErr w:type="spellStart"/>
      <w:r>
        <w:rPr>
          <w:rFonts w:eastAsiaTheme="minorHAnsi"/>
          <w:lang w:eastAsia="en-US"/>
        </w:rPr>
        <w:t>stroomverbruik</w:t>
      </w:r>
      <w:proofErr w:type="spellEnd"/>
      <w:r>
        <w:rPr>
          <w:rFonts w:eastAsiaTheme="minorHAnsi"/>
          <w:lang w:eastAsia="en-US"/>
        </w:rPr>
        <w:t>.</w:t>
      </w:r>
    </w:p>
    <w:p w:rsidR="00644582" w:rsidRDefault="00644582" w:rsidP="00193A4E">
      <w:pPr>
        <w:pStyle w:val="Nummering"/>
        <w:numPr>
          <w:ilvl w:val="0"/>
          <w:numId w:val="0"/>
        </w:numPr>
        <w:spacing w:after="0"/>
        <w:ind w:left="425" w:hanging="425"/>
        <w:rPr>
          <w:rFonts w:eastAsiaTheme="minorHAnsi"/>
          <w:lang w:eastAsia="en-US"/>
        </w:rPr>
      </w:pPr>
    </w:p>
    <w:p w:rsidR="00357454" w:rsidRPr="00DB26A3" w:rsidRDefault="00357454" w:rsidP="00193A4E">
      <w:pPr>
        <w:pStyle w:val="Nummering"/>
        <w:spacing w:after="0"/>
        <w:rPr>
          <w:rFonts w:eastAsiaTheme="minorHAnsi"/>
          <w:lang w:val="nl-BE" w:eastAsia="en-US"/>
        </w:rPr>
      </w:pPr>
      <w:r w:rsidRPr="00204B53">
        <w:rPr>
          <w:rFonts w:eastAsiaTheme="minorHAnsi"/>
          <w:lang w:val="nl-BE" w:eastAsia="en-US"/>
        </w:rPr>
        <w:t>De industrie wordt helemaal niet ontzien.</w:t>
      </w:r>
      <w:r w:rsidR="00DB26A3">
        <w:rPr>
          <w:rFonts w:eastAsiaTheme="minorHAnsi"/>
          <w:lang w:val="nl-BE" w:eastAsia="en-US"/>
        </w:rPr>
        <w:t xml:space="preserve"> Uit de</w:t>
      </w:r>
      <w:r w:rsidRPr="00204B53">
        <w:rPr>
          <w:rFonts w:eastAsiaTheme="minorHAnsi"/>
          <w:lang w:val="nl-BE" w:eastAsia="en-US"/>
        </w:rPr>
        <w:t xml:space="preserve"> tabel </w:t>
      </w:r>
      <w:r w:rsidR="00DB26A3">
        <w:rPr>
          <w:rFonts w:eastAsiaTheme="minorHAnsi"/>
          <w:lang w:val="nl-BE" w:eastAsia="en-US"/>
        </w:rPr>
        <w:t xml:space="preserve">die getoond werd in de commissievergadering van 7 december ll. </w:t>
      </w:r>
      <w:r w:rsidRPr="00204B53">
        <w:rPr>
          <w:rFonts w:eastAsiaTheme="minorHAnsi"/>
          <w:lang w:val="nl-BE" w:eastAsia="en-US"/>
        </w:rPr>
        <w:t>blijkt dat de industrie wel degelijk niet ontzien wordt noch voor de quotu</w:t>
      </w:r>
      <w:r w:rsidR="00DB26A3">
        <w:rPr>
          <w:rFonts w:eastAsiaTheme="minorHAnsi"/>
          <w:lang w:val="nl-BE" w:eastAsia="en-US"/>
        </w:rPr>
        <w:t>mwijziging noch voor de heffing</w:t>
      </w:r>
      <w:r w:rsidRPr="00DB26A3">
        <w:rPr>
          <w:rFonts w:eastAsiaTheme="minorHAnsi"/>
          <w:lang w:val="nl-BE" w:eastAsia="en-US"/>
        </w:rPr>
        <w:t xml:space="preserve">. </w:t>
      </w:r>
    </w:p>
    <w:p w:rsidR="009B2D2D" w:rsidRPr="00204B53" w:rsidRDefault="009B2D2D" w:rsidP="00193A4E">
      <w:pPr>
        <w:pStyle w:val="Nummering"/>
        <w:numPr>
          <w:ilvl w:val="0"/>
          <w:numId w:val="0"/>
        </w:numPr>
        <w:spacing w:after="0"/>
        <w:ind w:left="425"/>
        <w:rPr>
          <w:rFonts w:eastAsiaTheme="minorHAnsi"/>
          <w:lang w:val="nl-BE" w:eastAsia="en-US"/>
        </w:rPr>
      </w:pPr>
    </w:p>
    <w:p w:rsidR="009B2D2D" w:rsidRDefault="009B2D2D" w:rsidP="00193A4E">
      <w:pPr>
        <w:pStyle w:val="Nummering"/>
        <w:spacing w:after="0"/>
        <w:rPr>
          <w:rFonts w:eastAsiaTheme="minorHAnsi"/>
          <w:lang w:val="nl-BE" w:eastAsia="en-US"/>
        </w:rPr>
      </w:pPr>
      <w:r>
        <w:rPr>
          <w:rFonts w:eastAsiaTheme="minorHAnsi"/>
          <w:lang w:val="nl-BE" w:eastAsia="en-US"/>
        </w:rPr>
        <w:t>Benaderend kan gesteld worden dat 15% van de uitgereikte groenstroomcertificaten aan gezinnen wordt toegekend, en de resterende 85% aan bedrijven.</w:t>
      </w:r>
    </w:p>
    <w:p w:rsidR="00204B53" w:rsidRDefault="00204B53" w:rsidP="00193A4E">
      <w:pPr>
        <w:pStyle w:val="Nummering"/>
        <w:numPr>
          <w:ilvl w:val="0"/>
          <w:numId w:val="0"/>
        </w:numPr>
        <w:spacing w:after="0"/>
        <w:ind w:left="425"/>
        <w:rPr>
          <w:rFonts w:eastAsiaTheme="minorHAnsi"/>
          <w:lang w:val="nl-BE" w:eastAsia="en-US"/>
        </w:rPr>
      </w:pPr>
    </w:p>
    <w:p w:rsidR="00007F74" w:rsidRPr="00204B53" w:rsidRDefault="00AA1889" w:rsidP="00193A4E">
      <w:pPr>
        <w:pStyle w:val="Nummering"/>
        <w:spacing w:after="0"/>
        <w:rPr>
          <w:rFonts w:eastAsiaTheme="minorHAnsi"/>
          <w:lang w:val="nl-BE" w:eastAsia="en-US"/>
        </w:rPr>
      </w:pPr>
      <w:r w:rsidRPr="00204B53">
        <w:rPr>
          <w:rFonts w:eastAsiaTheme="minorHAnsi"/>
          <w:lang w:val="nl-BE" w:eastAsia="en-US"/>
        </w:rPr>
        <w:lastRenderedPageBreak/>
        <w:t xml:space="preserve">De berekening is gebaseerd op </w:t>
      </w:r>
      <w:r w:rsidR="00204B53">
        <w:rPr>
          <w:rFonts w:eastAsiaTheme="minorHAnsi"/>
          <w:lang w:val="nl-BE" w:eastAsia="en-US"/>
        </w:rPr>
        <w:t>gegevens</w:t>
      </w:r>
      <w:r w:rsidRPr="00204B53">
        <w:rPr>
          <w:rFonts w:eastAsiaTheme="minorHAnsi"/>
          <w:lang w:val="nl-BE" w:eastAsia="en-US"/>
        </w:rPr>
        <w:t xml:space="preserve"> van de netbeheerders over de spreiding van de certificatenkosten over huishoudens en bedrijven, </w:t>
      </w:r>
      <w:r w:rsidR="0079068D" w:rsidRPr="00204B53">
        <w:rPr>
          <w:rFonts w:eastAsiaTheme="minorHAnsi"/>
          <w:lang w:val="nl-BE" w:eastAsia="en-US"/>
        </w:rPr>
        <w:t xml:space="preserve">op data over verbruiken uit de energiebalans, </w:t>
      </w:r>
      <w:r w:rsidRPr="00204B53">
        <w:rPr>
          <w:rFonts w:eastAsiaTheme="minorHAnsi"/>
          <w:lang w:val="nl-BE" w:eastAsia="en-US"/>
        </w:rPr>
        <w:t xml:space="preserve">data over </w:t>
      </w:r>
      <w:proofErr w:type="spellStart"/>
      <w:r w:rsidRPr="00204B53">
        <w:rPr>
          <w:rFonts w:eastAsiaTheme="minorHAnsi"/>
          <w:lang w:val="nl-BE" w:eastAsia="en-US"/>
        </w:rPr>
        <w:t>certificaatplichtige</w:t>
      </w:r>
      <w:proofErr w:type="spellEnd"/>
      <w:r w:rsidRPr="00204B53">
        <w:rPr>
          <w:rFonts w:eastAsiaTheme="minorHAnsi"/>
          <w:lang w:val="nl-BE" w:eastAsia="en-US"/>
        </w:rPr>
        <w:t xml:space="preserve"> leveringen en data over het aantal aansluitingspunten en het aantal gezinnen in Vlaanderen. </w:t>
      </w:r>
    </w:p>
    <w:p w:rsidR="00007F74" w:rsidRPr="00204B53" w:rsidRDefault="00007F74" w:rsidP="00193A4E">
      <w:pPr>
        <w:pStyle w:val="Nummering"/>
        <w:numPr>
          <w:ilvl w:val="0"/>
          <w:numId w:val="0"/>
        </w:numPr>
        <w:spacing w:after="0"/>
        <w:ind w:left="425"/>
        <w:rPr>
          <w:szCs w:val="20"/>
          <w:lang w:val="nl-BE" w:eastAsia="en-US"/>
        </w:rPr>
      </w:pPr>
      <w:r w:rsidRPr="00204B53">
        <w:rPr>
          <w:szCs w:val="20"/>
          <w:lang w:val="nl-BE" w:eastAsia="en-US"/>
        </w:rPr>
        <w:t xml:space="preserve">De berekende lastenverdeling heeft betrekking op de certificatenkosten doorgerekend via nettarieven, quota en heffing. </w:t>
      </w:r>
    </w:p>
    <w:p w:rsidR="00007F74" w:rsidRDefault="00007F74" w:rsidP="00193A4E">
      <w:pPr>
        <w:pStyle w:val="Nummering"/>
        <w:numPr>
          <w:ilvl w:val="0"/>
          <w:numId w:val="0"/>
        </w:numPr>
        <w:spacing w:after="0"/>
        <w:ind w:left="425"/>
        <w:rPr>
          <w:szCs w:val="20"/>
          <w:lang w:val="nl-BE" w:eastAsia="en-US"/>
        </w:rPr>
      </w:pPr>
      <w:r w:rsidRPr="00204B53">
        <w:rPr>
          <w:szCs w:val="20"/>
          <w:lang w:val="nl-BE" w:eastAsia="en-US"/>
        </w:rPr>
        <w:t>De berekening voor de lastenverdeling gebeurde voor 2016/2017 waarbij werd gekeken naar wie welke engagementen vastlegde.</w:t>
      </w:r>
    </w:p>
    <w:p w:rsidR="00193A4E" w:rsidRPr="0033710C" w:rsidRDefault="00193A4E" w:rsidP="00193A4E">
      <w:pPr>
        <w:pStyle w:val="Nummering"/>
        <w:numPr>
          <w:ilvl w:val="0"/>
          <w:numId w:val="0"/>
        </w:numPr>
        <w:spacing w:after="0"/>
        <w:ind w:left="425"/>
        <w:rPr>
          <w:color w:val="0070C0"/>
          <w:szCs w:val="20"/>
          <w:lang w:val="nl-BE" w:eastAsia="en-US"/>
        </w:rPr>
      </w:pPr>
    </w:p>
    <w:p w:rsidR="00DB26A3" w:rsidRPr="00DA4ED5" w:rsidRDefault="00DB26A3" w:rsidP="00193A4E">
      <w:pPr>
        <w:pStyle w:val="Nummering"/>
        <w:spacing w:after="0"/>
        <w:rPr>
          <w:rFonts w:eastAsiaTheme="minorHAnsi"/>
          <w:szCs w:val="20"/>
          <w:lang w:val="nl-BE" w:eastAsia="en-US"/>
        </w:rPr>
      </w:pPr>
      <w:r w:rsidRPr="00DA4ED5">
        <w:rPr>
          <w:rFonts w:eastAsiaTheme="minorHAnsi"/>
          <w:szCs w:val="20"/>
          <w:lang w:val="nl-BE" w:eastAsia="en-US"/>
        </w:rPr>
        <w:t xml:space="preserve">De </w:t>
      </w:r>
      <w:r w:rsidR="00007F74" w:rsidRPr="00DA4ED5">
        <w:rPr>
          <w:rFonts w:eastAsiaTheme="minorHAnsi"/>
          <w:szCs w:val="20"/>
          <w:lang w:val="nl-BE" w:eastAsia="en-US"/>
        </w:rPr>
        <w:t>tabel</w:t>
      </w:r>
      <w:r w:rsidRPr="00DA4ED5">
        <w:rPr>
          <w:rFonts w:eastAsiaTheme="minorHAnsi"/>
          <w:szCs w:val="20"/>
          <w:lang w:val="nl-BE" w:eastAsia="en-US"/>
        </w:rPr>
        <w:t xml:space="preserve"> is opgenomen i</w:t>
      </w:r>
      <w:r w:rsidR="00107DE6" w:rsidRPr="00DA4ED5">
        <w:rPr>
          <w:rFonts w:eastAsiaTheme="minorHAnsi"/>
          <w:szCs w:val="20"/>
          <w:lang w:val="nl-BE" w:eastAsia="en-US"/>
        </w:rPr>
        <w:t xml:space="preserve">n de toelichting bij het amendement op het Programmadecreet. </w:t>
      </w:r>
      <w:r w:rsidR="00DA4ED5" w:rsidRPr="00DA4ED5">
        <w:rPr>
          <w:rFonts w:eastAsiaTheme="minorHAnsi"/>
          <w:szCs w:val="20"/>
          <w:lang w:val="nl-BE" w:eastAsia="en-US"/>
        </w:rPr>
        <w:t>De berekeningen van de inkomsten zijn ramingen op basis van gegevens verstrekt door de distributienetbeheerders. Voor de aflossing van de schulden zal rekening gehouden worden met de geïnde bedragen. Dit zal op een transparante manier gebeuren via de begrotin</w:t>
      </w:r>
      <w:r w:rsidR="00DA4ED5">
        <w:rPr>
          <w:rFonts w:eastAsiaTheme="minorHAnsi"/>
          <w:szCs w:val="20"/>
          <w:lang w:val="nl-BE" w:eastAsia="en-US"/>
        </w:rPr>
        <w:t>g, gezien de geïnde middelen als inkomsten ingeschreven staan</w:t>
      </w:r>
      <w:r w:rsidR="00DA4ED5" w:rsidRPr="00DA4ED5">
        <w:rPr>
          <w:rFonts w:eastAsiaTheme="minorHAnsi"/>
          <w:szCs w:val="20"/>
          <w:lang w:val="nl-BE" w:eastAsia="en-US"/>
        </w:rPr>
        <w:t xml:space="preserve"> bij het energiefonds en ook de uitgaven zullen zichtbaar zijn in de begroting.</w:t>
      </w:r>
    </w:p>
    <w:p w:rsidR="00AA1889" w:rsidRPr="00107DE6" w:rsidRDefault="00AA1889" w:rsidP="00193A4E">
      <w:pPr>
        <w:pStyle w:val="Nummering"/>
        <w:numPr>
          <w:ilvl w:val="0"/>
          <w:numId w:val="0"/>
        </w:numPr>
        <w:tabs>
          <w:tab w:val="left" w:pos="708"/>
        </w:tabs>
        <w:spacing w:after="0"/>
        <w:rPr>
          <w:rFonts w:eastAsiaTheme="minorHAnsi"/>
          <w:szCs w:val="20"/>
          <w:lang w:val="nl-NL" w:eastAsia="en-US"/>
        </w:rPr>
      </w:pPr>
    </w:p>
    <w:p w:rsidR="009B2D2D" w:rsidRDefault="009B2D2D" w:rsidP="00193A4E">
      <w:pPr>
        <w:pStyle w:val="Nummering"/>
        <w:spacing w:after="0"/>
        <w:rPr>
          <w:lang w:val="nl-BE"/>
        </w:rPr>
      </w:pPr>
      <w:r>
        <w:rPr>
          <w:lang w:val="nl-BE"/>
        </w:rPr>
        <w:t>Er zijn geen cijfers bekend over het aantal gezinnen dat zich verwarmt met elektrische verwarming. Het verbruik van dit soort verwarming zit namelijk vervat in het totale huishoudelijke verbruik dat gemeten wordt met een tweevoudige teller. Wel zijn er cijfers beschikbaar over het aantal residentiële klanten met een exclusief nachttarief, een tarief dat van toepassing is voor het verbruik van accumulatieverwarming en warmwaterboilers. Dit verbruik wordt apart gemeten. In Vlaanderen zijn er 164.500 residentiële verbruikers met exclusief nachttarief. 66% daarvan heeft een verbruik tussen 5000 kWh en 20.000 kWh. 7% heeft een verbruik van meer dan 20.000 kWh.</w:t>
      </w:r>
    </w:p>
    <w:sectPr w:rsidR="009B2D2D" w:rsidSect="000976E9">
      <w:headerReference w:type="default" r:id="rId9"/>
      <w:footerReference w:type="default" r:id="rId10"/>
      <w:headerReference w:type="first" r:id="rId11"/>
      <w:footerReference w:type="first" r:id="rId12"/>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A2" w:rsidRDefault="004257A2">
      <w:r>
        <w:separator/>
      </w:r>
    </w:p>
  </w:endnote>
  <w:endnote w:type="continuationSeparator" w:id="0">
    <w:p w:rsidR="004257A2" w:rsidRDefault="0042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8" w:type="dxa"/>
      <w:tblInd w:w="-743" w:type="dxa"/>
      <w:tblLayout w:type="fixed"/>
      <w:tblCellMar>
        <w:left w:w="0" w:type="dxa"/>
      </w:tblCellMar>
      <w:tblLook w:val="0600" w:firstRow="0" w:lastRow="0" w:firstColumn="0" w:lastColumn="0" w:noHBand="1" w:noVBand="1"/>
    </w:tblPr>
    <w:tblGrid>
      <w:gridCol w:w="3153"/>
      <w:gridCol w:w="2518"/>
      <w:gridCol w:w="2693"/>
      <w:gridCol w:w="2444"/>
    </w:tblGrid>
    <w:tr w:rsidR="005D7B29" w:rsidRPr="00C728A5" w:rsidTr="00E768F6">
      <w:trPr>
        <w:trHeight w:val="1020"/>
      </w:trPr>
      <w:tc>
        <w:tcPr>
          <w:tcW w:w="3153" w:type="dxa"/>
          <w:vAlign w:val="center"/>
        </w:tcPr>
        <w:p w:rsidR="005D7B29" w:rsidRPr="00DB300A" w:rsidRDefault="004257A2" w:rsidP="00B77610"/>
      </w:tc>
      <w:tc>
        <w:tcPr>
          <w:tcW w:w="2518" w:type="dxa"/>
          <w:vAlign w:val="center"/>
        </w:tcPr>
        <w:p w:rsidR="005D7B29" w:rsidRPr="00C728A5" w:rsidRDefault="004257A2" w:rsidP="00DF5DED">
          <w:pPr>
            <w:rPr>
              <w:i/>
            </w:rPr>
          </w:pPr>
        </w:p>
      </w:tc>
      <w:tc>
        <w:tcPr>
          <w:tcW w:w="2693" w:type="dxa"/>
          <w:vAlign w:val="center"/>
        </w:tcPr>
        <w:p w:rsidR="005D7B29" w:rsidRPr="00C728A5" w:rsidRDefault="004257A2" w:rsidP="00DF5DED">
          <w:pPr>
            <w:rPr>
              <w:i/>
            </w:rPr>
          </w:pPr>
        </w:p>
      </w:tc>
      <w:tc>
        <w:tcPr>
          <w:tcW w:w="2444" w:type="dxa"/>
          <w:vAlign w:val="center"/>
        </w:tcPr>
        <w:p w:rsidR="005D7B29" w:rsidRPr="00E66FC4" w:rsidRDefault="002F2CA9" w:rsidP="00E66FC4">
          <w:pPr>
            <w:jc w:val="right"/>
          </w:pPr>
          <w:r w:rsidRPr="00E66FC4">
            <w:fldChar w:fldCharType="begin"/>
          </w:r>
          <w:r w:rsidRPr="00E66FC4">
            <w:instrText>PAGE   \* MERGEFORMAT</w:instrText>
          </w:r>
          <w:r w:rsidRPr="00E66FC4">
            <w:fldChar w:fldCharType="separate"/>
          </w:r>
          <w:r w:rsidR="000A11F5">
            <w:rPr>
              <w:noProof/>
            </w:rPr>
            <w:t>2</w:t>
          </w:r>
          <w:r w:rsidRPr="00E66FC4">
            <w:fldChar w:fldCharType="end"/>
          </w:r>
        </w:p>
      </w:tc>
    </w:tr>
  </w:tbl>
  <w:p w:rsidR="005D7B29" w:rsidRDefault="004257A2" w:rsidP="00E66FC4">
    <w:pPr>
      <w:pStyle w:val="Witruimte6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601" w:type="dxa"/>
      <w:tblLayout w:type="fixed"/>
      <w:tblLook w:val="0600" w:firstRow="0" w:lastRow="0" w:firstColumn="0" w:lastColumn="0" w:noHBand="1" w:noVBand="1"/>
    </w:tblPr>
    <w:tblGrid>
      <w:gridCol w:w="10774"/>
    </w:tblGrid>
    <w:tr w:rsidR="005D7B29" w:rsidRPr="00B653E1" w:rsidTr="00E809CE">
      <w:trPr>
        <w:trHeight w:val="711"/>
      </w:trPr>
      <w:tc>
        <w:tcPr>
          <w:tcW w:w="10774" w:type="dxa"/>
          <w:vAlign w:val="center"/>
        </w:tcPr>
        <w:p w:rsidR="005D7B29" w:rsidRPr="001B6D1F" w:rsidRDefault="004257A2" w:rsidP="00820B1D">
          <w:pPr>
            <w:pStyle w:val="StandaardKlein"/>
          </w:pPr>
        </w:p>
      </w:tc>
    </w:tr>
  </w:tbl>
  <w:p w:rsidR="005D7B29" w:rsidRPr="001B6D1F" w:rsidRDefault="004257A2" w:rsidP="009C47E7">
    <w:pPr>
      <w:pStyle w:val="Witruimte6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A2" w:rsidRDefault="004257A2">
      <w:r>
        <w:separator/>
      </w:r>
    </w:p>
  </w:footnote>
  <w:footnote w:type="continuationSeparator" w:id="0">
    <w:p w:rsidR="004257A2" w:rsidRDefault="0042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709" w:type="dxa"/>
      <w:tblLayout w:type="fixed"/>
      <w:tblCellMar>
        <w:left w:w="0" w:type="dxa"/>
        <w:right w:w="284" w:type="dxa"/>
      </w:tblCellMar>
      <w:tblLook w:val="04A0" w:firstRow="1" w:lastRow="0" w:firstColumn="1" w:lastColumn="0" w:noHBand="0" w:noVBand="1"/>
    </w:tblPr>
    <w:tblGrid>
      <w:gridCol w:w="3970"/>
      <w:gridCol w:w="6804"/>
    </w:tblGrid>
    <w:tr w:rsidR="005D7B29" w:rsidRPr="00C728A5" w:rsidTr="00E95D01">
      <w:trPr>
        <w:trHeight w:hRule="exact" w:val="284"/>
      </w:trPr>
      <w:tc>
        <w:tcPr>
          <w:tcW w:w="3970" w:type="dxa"/>
          <w:vAlign w:val="center"/>
        </w:tcPr>
        <w:p w:rsidR="005D7B29" w:rsidRPr="00C728A5" w:rsidRDefault="004257A2" w:rsidP="00C728A5">
          <w:pPr>
            <w:tabs>
              <w:tab w:val="center" w:pos="4536"/>
              <w:tab w:val="right" w:pos="9072"/>
            </w:tabs>
            <w:jc w:val="right"/>
            <w:rPr>
              <w:sz w:val="18"/>
            </w:rPr>
          </w:pPr>
        </w:p>
      </w:tc>
      <w:tc>
        <w:tcPr>
          <w:tcW w:w="6804" w:type="dxa"/>
        </w:tcPr>
        <w:p w:rsidR="005D7B29" w:rsidRPr="00E95D01" w:rsidRDefault="004257A2" w:rsidP="009C47E7">
          <w:pPr>
            <w:jc w:val="right"/>
            <w:rPr>
              <w:b/>
              <w:sz w:val="18"/>
            </w:rPr>
          </w:pPr>
        </w:p>
      </w:tc>
    </w:tr>
    <w:tr w:rsidR="005D7B29" w:rsidRPr="00C728A5" w:rsidTr="00E95D01">
      <w:trPr>
        <w:trHeight w:hRule="exact" w:val="1280"/>
      </w:trPr>
      <w:tc>
        <w:tcPr>
          <w:tcW w:w="3970" w:type="dxa"/>
          <w:vAlign w:val="center"/>
        </w:tcPr>
        <w:p w:rsidR="005D7B29" w:rsidRPr="00C728A5" w:rsidRDefault="004257A2" w:rsidP="00E95D01">
          <w:pPr>
            <w:tabs>
              <w:tab w:val="center" w:pos="4536"/>
              <w:tab w:val="right" w:pos="9072"/>
            </w:tabs>
            <w:jc w:val="right"/>
            <w:rPr>
              <w:sz w:val="18"/>
            </w:rPr>
          </w:pPr>
        </w:p>
      </w:tc>
      <w:tc>
        <w:tcPr>
          <w:tcW w:w="6804" w:type="dxa"/>
          <w:vAlign w:val="center"/>
        </w:tcPr>
        <w:sdt>
          <w:sdtPr>
            <w:rPr>
              <w:b/>
              <w:color w:val="4F81BD" w:themeColor="accent1"/>
              <w:sz w:val="18"/>
            </w:rPr>
            <w:alias w:val="DocInfo_header_titel"/>
            <w:tag w:val="DocInfo_header_titel"/>
            <w:id w:val="1454359679"/>
            <w:showingPlcHdr/>
          </w:sdtPr>
          <w:sdtEndPr/>
          <w:sdtContent>
            <w:p w:rsidR="005D7B29" w:rsidRPr="009C47E7" w:rsidRDefault="002F2CA9" w:rsidP="00A025E7">
              <w:pPr>
                <w:jc w:val="right"/>
                <w:rPr>
                  <w:b/>
                  <w:color w:val="4F81BD" w:themeColor="accent1"/>
                  <w:sz w:val="18"/>
                </w:rPr>
              </w:pPr>
              <w:r>
                <w:rPr>
                  <w:b/>
                  <w:color w:val="4F81BD" w:themeColor="accent1"/>
                  <w:sz w:val="18"/>
                </w:rPr>
                <w:t xml:space="preserve">     </w:t>
              </w:r>
            </w:p>
          </w:sdtContent>
        </w:sdt>
      </w:tc>
    </w:tr>
  </w:tbl>
  <w:p w:rsidR="005D7B29" w:rsidRDefault="004257A2" w:rsidP="007B615A">
    <w:pPr>
      <w:pStyle w:val="Witruimte6pt"/>
    </w:pPr>
  </w:p>
  <w:p w:rsidR="005D7B29" w:rsidRDefault="004257A2" w:rsidP="007B615A">
    <w:pPr>
      <w:pStyle w:val="Witruimte6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51" w:type="dxa"/>
      <w:tblLayout w:type="fixed"/>
      <w:tblCellMar>
        <w:left w:w="0" w:type="dxa"/>
        <w:right w:w="0" w:type="dxa"/>
      </w:tblCellMar>
      <w:tblLook w:val="04A0" w:firstRow="1" w:lastRow="0" w:firstColumn="1" w:lastColumn="0" w:noHBand="0" w:noVBand="1"/>
    </w:tblPr>
    <w:tblGrid>
      <w:gridCol w:w="4679"/>
      <w:gridCol w:w="2835"/>
      <w:gridCol w:w="3402"/>
    </w:tblGrid>
    <w:tr w:rsidR="005D7B29" w:rsidRPr="002551D7" w:rsidTr="00424217">
      <w:trPr>
        <w:trHeight w:hRule="exact" w:val="284"/>
      </w:trPr>
      <w:tc>
        <w:tcPr>
          <w:tcW w:w="4679" w:type="dxa"/>
        </w:tcPr>
        <w:p w:rsidR="005D7B29" w:rsidRPr="002551D7" w:rsidRDefault="004257A2" w:rsidP="00E95D01">
          <w:pPr>
            <w:tabs>
              <w:tab w:val="center" w:pos="4536"/>
              <w:tab w:val="right" w:pos="9072"/>
            </w:tabs>
            <w:rPr>
              <w:sz w:val="18"/>
            </w:rPr>
          </w:pPr>
        </w:p>
      </w:tc>
      <w:tc>
        <w:tcPr>
          <w:tcW w:w="2835" w:type="dxa"/>
        </w:tcPr>
        <w:p w:rsidR="005D7B29" w:rsidRPr="002551D7" w:rsidRDefault="004257A2" w:rsidP="00E95D01">
          <w:pPr>
            <w:tabs>
              <w:tab w:val="center" w:pos="4536"/>
              <w:tab w:val="right" w:pos="9072"/>
            </w:tabs>
            <w:rPr>
              <w:sz w:val="18"/>
            </w:rPr>
          </w:pPr>
        </w:p>
      </w:tc>
      <w:tc>
        <w:tcPr>
          <w:tcW w:w="3402" w:type="dxa"/>
        </w:tcPr>
        <w:p w:rsidR="005D7B29" w:rsidRPr="002551D7" w:rsidRDefault="004257A2" w:rsidP="00E95D01">
          <w:pPr>
            <w:tabs>
              <w:tab w:val="center" w:pos="4536"/>
              <w:tab w:val="right" w:pos="9072"/>
            </w:tabs>
            <w:rPr>
              <w:sz w:val="18"/>
            </w:rPr>
          </w:pPr>
        </w:p>
      </w:tc>
    </w:tr>
    <w:tr w:rsidR="005D7B29" w:rsidRPr="002551D7" w:rsidTr="00424217">
      <w:trPr>
        <w:trHeight w:hRule="exact" w:val="1422"/>
      </w:trPr>
      <w:sdt>
        <w:sdtPr>
          <w:rPr>
            <w:noProof/>
            <w:sz w:val="18"/>
            <w:lang w:eastAsia="nl-BE"/>
          </w:rPr>
          <w:alias w:val="DocInfo_header_imgLogo"/>
          <w:tag w:val="DocInfo_header_imgLogo"/>
          <w:id w:val="235371996"/>
          <w:picture/>
        </w:sdtPr>
        <w:sdtEndPr/>
        <w:sdtContent>
          <w:tc>
            <w:tcPr>
              <w:tcW w:w="4679" w:type="dxa"/>
              <w:vAlign w:val="bottom"/>
            </w:tcPr>
            <w:p w:rsidR="005D7B29" w:rsidRPr="002551D7" w:rsidRDefault="002F2CA9" w:rsidP="00B77610">
              <w:pPr>
                <w:tabs>
                  <w:tab w:val="center" w:pos="4536"/>
                  <w:tab w:val="right" w:pos="9072"/>
                </w:tabs>
                <w:rPr>
                  <w:sz w:val="18"/>
                </w:rPr>
              </w:pPr>
              <w:r>
                <w:rPr>
                  <w:noProof/>
                  <w:sz w:val="18"/>
                  <w:lang w:val="nl-BE" w:eastAsia="nl-BE"/>
                </w:rPr>
                <w:drawing>
                  <wp:inline distT="0" distB="0" distL="0" distR="0" wp14:anchorId="2B7AFBBE" wp14:editId="28187C3F">
                    <wp:extent cx="127000" cy="127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000" cy="127000"/>
                            </a:xfrm>
                            <a:prstGeom prst="rect">
                              <a:avLst/>
                            </a:prstGeom>
                          </pic:spPr>
                        </pic:pic>
                      </a:graphicData>
                    </a:graphic>
                  </wp:inline>
                </w:drawing>
              </w:r>
            </w:p>
          </w:tc>
        </w:sdtContent>
      </w:sdt>
      <w:tc>
        <w:tcPr>
          <w:tcW w:w="2835" w:type="dxa"/>
        </w:tcPr>
        <w:p w:rsidR="005D7B29" w:rsidRPr="002551D7" w:rsidRDefault="004257A2" w:rsidP="00E95D01">
          <w:pPr>
            <w:tabs>
              <w:tab w:val="center" w:pos="4536"/>
              <w:tab w:val="right" w:pos="9072"/>
            </w:tabs>
            <w:rPr>
              <w:sz w:val="18"/>
            </w:rPr>
          </w:pPr>
        </w:p>
      </w:tc>
      <w:tc>
        <w:tcPr>
          <w:tcW w:w="3402" w:type="dxa"/>
        </w:tcPr>
        <w:p w:rsidR="005D7B29" w:rsidRPr="002551D7" w:rsidRDefault="004257A2" w:rsidP="00B77610">
          <w:pPr>
            <w:tabs>
              <w:tab w:val="center" w:pos="4536"/>
              <w:tab w:val="right" w:pos="9072"/>
            </w:tabs>
            <w:jc w:val="right"/>
            <w:rPr>
              <w:sz w:val="18"/>
            </w:rPr>
          </w:pPr>
          <w:sdt>
            <w:sdtPr>
              <w:rPr>
                <w:sz w:val="18"/>
              </w:rPr>
              <w:alias w:val="DocInfo_header_imgKwadrant"/>
              <w:tag w:val="DocInfo_header_imgKwadrant"/>
              <w:id w:val="-1097023794"/>
              <w:picture/>
            </w:sdtPr>
            <w:sdtEndPr/>
            <w:sdtContent>
              <w:r w:rsidR="002F2CA9">
                <w:rPr>
                  <w:noProof/>
                  <w:sz w:val="18"/>
                  <w:lang w:val="nl-BE" w:eastAsia="nl-BE"/>
                </w:rPr>
                <w:drawing>
                  <wp:inline distT="0" distB="0" distL="0" distR="0" wp14:anchorId="4E6336A8" wp14:editId="4F34A698">
                    <wp:extent cx="127000" cy="127000"/>
                    <wp:effectExtent l="0" t="0" r="635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000" cy="127000"/>
                            </a:xfrm>
                            <a:prstGeom prst="rect">
                              <a:avLst/>
                            </a:prstGeom>
                          </pic:spPr>
                        </pic:pic>
                      </a:graphicData>
                    </a:graphic>
                  </wp:inline>
                </w:drawing>
              </w:r>
            </w:sdtContent>
          </w:sdt>
        </w:p>
      </w:tc>
    </w:tr>
  </w:tbl>
  <w:p w:rsidR="005D7B29" w:rsidRPr="007B615A" w:rsidRDefault="004257A2" w:rsidP="00E95D01">
    <w:pPr>
      <w:pStyle w:val="Witruimte6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0E86CFE"/>
    <w:multiLevelType w:val="hybridMultilevel"/>
    <w:tmpl w:val="569A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7F74"/>
    <w:rsid w:val="00065839"/>
    <w:rsid w:val="000976E9"/>
    <w:rsid w:val="000A11F5"/>
    <w:rsid w:val="000C4E8C"/>
    <w:rsid w:val="000F3532"/>
    <w:rsid w:val="00107DE6"/>
    <w:rsid w:val="00121853"/>
    <w:rsid w:val="00193A4E"/>
    <w:rsid w:val="00204B53"/>
    <w:rsid w:val="00210C07"/>
    <w:rsid w:val="002346BF"/>
    <w:rsid w:val="002F2CA9"/>
    <w:rsid w:val="00301372"/>
    <w:rsid w:val="00326A58"/>
    <w:rsid w:val="003440E7"/>
    <w:rsid w:val="00357454"/>
    <w:rsid w:val="003A470F"/>
    <w:rsid w:val="00411160"/>
    <w:rsid w:val="004257A2"/>
    <w:rsid w:val="004C0604"/>
    <w:rsid w:val="004F30D4"/>
    <w:rsid w:val="0056360C"/>
    <w:rsid w:val="00571C63"/>
    <w:rsid w:val="005A2334"/>
    <w:rsid w:val="005D5073"/>
    <w:rsid w:val="005E38CA"/>
    <w:rsid w:val="00644582"/>
    <w:rsid w:val="006563FB"/>
    <w:rsid w:val="00685F4A"/>
    <w:rsid w:val="0069528B"/>
    <w:rsid w:val="006B2678"/>
    <w:rsid w:val="0071248C"/>
    <w:rsid w:val="00715C53"/>
    <w:rsid w:val="007252C7"/>
    <w:rsid w:val="0075030D"/>
    <w:rsid w:val="0079068D"/>
    <w:rsid w:val="007C07F4"/>
    <w:rsid w:val="007D21E5"/>
    <w:rsid w:val="008D1BFB"/>
    <w:rsid w:val="008D5DB4"/>
    <w:rsid w:val="009252B2"/>
    <w:rsid w:val="00932B48"/>
    <w:rsid w:val="009347E0"/>
    <w:rsid w:val="009B2D2D"/>
    <w:rsid w:val="009D7043"/>
    <w:rsid w:val="00A51FBA"/>
    <w:rsid w:val="00AA1889"/>
    <w:rsid w:val="00AE4255"/>
    <w:rsid w:val="00AF015F"/>
    <w:rsid w:val="00B45EB2"/>
    <w:rsid w:val="00B66D84"/>
    <w:rsid w:val="00BE425A"/>
    <w:rsid w:val="00C16793"/>
    <w:rsid w:val="00C91441"/>
    <w:rsid w:val="00CD5921"/>
    <w:rsid w:val="00D02FE6"/>
    <w:rsid w:val="00D71D99"/>
    <w:rsid w:val="00D754F2"/>
    <w:rsid w:val="00DA4ED5"/>
    <w:rsid w:val="00DB26A3"/>
    <w:rsid w:val="00DB41C0"/>
    <w:rsid w:val="00DC4DB6"/>
    <w:rsid w:val="00E55200"/>
    <w:rsid w:val="00E72996"/>
    <w:rsid w:val="00E85C8D"/>
    <w:rsid w:val="00ED4AD8"/>
    <w:rsid w:val="00F14412"/>
    <w:rsid w:val="00F966E9"/>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F14412"/>
    <w:rPr>
      <w:rFonts w:ascii="Tahoma" w:hAnsi="Tahoma" w:cs="Tahoma"/>
      <w:sz w:val="16"/>
      <w:szCs w:val="16"/>
    </w:rPr>
  </w:style>
  <w:style w:type="character" w:customStyle="1" w:styleId="BallontekstChar">
    <w:name w:val="Ballontekst Char"/>
    <w:basedOn w:val="Standaardalinea-lettertype"/>
    <w:link w:val="Ballontekst"/>
    <w:rsid w:val="00F14412"/>
    <w:rPr>
      <w:rFonts w:ascii="Tahoma" w:hAnsi="Tahoma" w:cs="Tahoma"/>
      <w:sz w:val="16"/>
      <w:szCs w:val="16"/>
      <w:lang w:val="nl-NL" w:eastAsia="nl-NL"/>
    </w:rPr>
  </w:style>
  <w:style w:type="character" w:customStyle="1" w:styleId="NummeringChar">
    <w:name w:val="Nummering Char"/>
    <w:link w:val="Nummering"/>
    <w:locked/>
    <w:rsid w:val="009B2D2D"/>
    <w:rPr>
      <w:rFonts w:ascii="Verdana" w:hAnsi="Verdana"/>
      <w:szCs w:val="24"/>
      <w:lang w:val="en-US" w:eastAsia="nl-NL"/>
    </w:rPr>
  </w:style>
  <w:style w:type="paragraph" w:customStyle="1" w:styleId="Nummering">
    <w:name w:val="Nummering"/>
    <w:basedOn w:val="Lijstalinea"/>
    <w:link w:val="NummeringChar"/>
    <w:qFormat/>
    <w:rsid w:val="009B2D2D"/>
    <w:pPr>
      <w:numPr>
        <w:numId w:val="5"/>
      </w:numPr>
      <w:spacing w:after="120"/>
      <w:contextualSpacing w:val="0"/>
      <w:jc w:val="both"/>
    </w:pPr>
    <w:rPr>
      <w:rFonts w:ascii="Verdana" w:hAnsi="Verdana"/>
      <w:sz w:val="20"/>
      <w:lang w:val="en-US"/>
    </w:rPr>
  </w:style>
  <w:style w:type="paragraph" w:styleId="Lijstalinea">
    <w:name w:val="List Paragraph"/>
    <w:basedOn w:val="Standaard"/>
    <w:link w:val="LijstalineaChar"/>
    <w:uiPriority w:val="34"/>
    <w:qFormat/>
    <w:rsid w:val="009B2D2D"/>
    <w:pPr>
      <w:ind w:left="720"/>
      <w:contextualSpacing/>
    </w:pPr>
  </w:style>
  <w:style w:type="character" w:styleId="Verwijzingopmerking">
    <w:name w:val="annotation reference"/>
    <w:basedOn w:val="Standaardalinea-lettertype"/>
    <w:semiHidden/>
    <w:unhideWhenUsed/>
    <w:rsid w:val="00AA1889"/>
    <w:rPr>
      <w:sz w:val="16"/>
      <w:szCs w:val="16"/>
    </w:rPr>
  </w:style>
  <w:style w:type="paragraph" w:styleId="Tekstopmerking">
    <w:name w:val="annotation text"/>
    <w:basedOn w:val="Standaard"/>
    <w:link w:val="TekstopmerkingChar"/>
    <w:semiHidden/>
    <w:unhideWhenUsed/>
    <w:rsid w:val="00AA1889"/>
    <w:rPr>
      <w:sz w:val="20"/>
      <w:szCs w:val="20"/>
    </w:rPr>
  </w:style>
  <w:style w:type="character" w:customStyle="1" w:styleId="TekstopmerkingChar">
    <w:name w:val="Tekst opmerking Char"/>
    <w:basedOn w:val="Standaardalinea-lettertype"/>
    <w:link w:val="Tekstopmerking"/>
    <w:semiHidden/>
    <w:rsid w:val="00AA1889"/>
    <w:rPr>
      <w:lang w:val="nl-NL" w:eastAsia="nl-NL"/>
    </w:rPr>
  </w:style>
  <w:style w:type="paragraph" w:styleId="Onderwerpvanopmerking">
    <w:name w:val="annotation subject"/>
    <w:basedOn w:val="Tekstopmerking"/>
    <w:next w:val="Tekstopmerking"/>
    <w:link w:val="OnderwerpvanopmerkingChar"/>
    <w:semiHidden/>
    <w:unhideWhenUsed/>
    <w:rsid w:val="00AA1889"/>
    <w:rPr>
      <w:b/>
      <w:bCs/>
    </w:rPr>
  </w:style>
  <w:style w:type="character" w:customStyle="1" w:styleId="OnderwerpvanopmerkingChar">
    <w:name w:val="Onderwerp van opmerking Char"/>
    <w:basedOn w:val="TekstopmerkingChar"/>
    <w:link w:val="Onderwerpvanopmerking"/>
    <w:semiHidden/>
    <w:rsid w:val="00AA1889"/>
    <w:rPr>
      <w:b/>
      <w:bCs/>
      <w:lang w:val="nl-NL" w:eastAsia="nl-NL"/>
    </w:rPr>
  </w:style>
  <w:style w:type="paragraph" w:styleId="Normaalweb">
    <w:name w:val="Normal (Web)"/>
    <w:basedOn w:val="Standaard"/>
    <w:uiPriority w:val="99"/>
    <w:semiHidden/>
    <w:unhideWhenUsed/>
    <w:rsid w:val="00AA1889"/>
    <w:pPr>
      <w:spacing w:before="100" w:beforeAutospacing="1" w:after="100" w:afterAutospacing="1"/>
      <w:jc w:val="both"/>
    </w:pPr>
    <w:rPr>
      <w:sz w:val="24"/>
      <w:lang w:eastAsia="nl-BE"/>
    </w:rPr>
  </w:style>
  <w:style w:type="paragraph" w:customStyle="1" w:styleId="StandaardKlein">
    <w:name w:val="StandaardKlein"/>
    <w:basedOn w:val="Standaard"/>
    <w:uiPriority w:val="1"/>
    <w:qFormat/>
    <w:rsid w:val="00007F74"/>
    <w:pPr>
      <w:spacing w:before="60" w:line="200" w:lineRule="atLeast"/>
      <w:jc w:val="both"/>
    </w:pPr>
    <w:rPr>
      <w:rFonts w:asciiTheme="minorHAnsi" w:eastAsiaTheme="minorHAnsi" w:hAnsiTheme="minorHAnsi" w:cstheme="minorBidi"/>
      <w:sz w:val="18"/>
      <w:szCs w:val="18"/>
      <w:lang w:val="nl-BE" w:eastAsia="en-US"/>
    </w:rPr>
  </w:style>
  <w:style w:type="character" w:customStyle="1" w:styleId="LijstalineaChar">
    <w:name w:val="Lijstalinea Char"/>
    <w:basedOn w:val="Standaardalinea-lettertype"/>
    <w:link w:val="Lijstalinea"/>
    <w:uiPriority w:val="34"/>
    <w:rsid w:val="00007F74"/>
    <w:rPr>
      <w:sz w:val="22"/>
      <w:szCs w:val="24"/>
      <w:lang w:val="nl-NL" w:eastAsia="nl-NL"/>
    </w:rPr>
  </w:style>
  <w:style w:type="paragraph" w:customStyle="1" w:styleId="Witruimte6pt">
    <w:name w:val="Witruimte_6pt"/>
    <w:basedOn w:val="Standaard"/>
    <w:uiPriority w:val="99"/>
    <w:rsid w:val="00007F74"/>
    <w:pPr>
      <w:spacing w:before="120" w:line="120" w:lineRule="exact"/>
      <w:jc w:val="both"/>
    </w:pPr>
    <w:rPr>
      <w:rFonts w:asciiTheme="minorHAnsi" w:eastAsiaTheme="minorHAnsi" w:hAnsiTheme="minorHAnsi" w:cstheme="minorBidi"/>
      <w:noProof/>
      <w:color w:val="A6A6A6" w:themeColor="background1" w:themeShade="A6"/>
      <w:sz w:val="12"/>
      <w:szCs w:val="22"/>
      <w:lang w:val="nl-BE" w:eastAsia="en-US"/>
    </w:rPr>
  </w:style>
  <w:style w:type="paragraph" w:styleId="Koptekst">
    <w:name w:val="header"/>
    <w:basedOn w:val="Standaard"/>
    <w:link w:val="KoptekstChar"/>
    <w:unhideWhenUsed/>
    <w:rsid w:val="00193A4E"/>
    <w:pPr>
      <w:tabs>
        <w:tab w:val="center" w:pos="4536"/>
        <w:tab w:val="right" w:pos="9072"/>
      </w:tabs>
    </w:pPr>
  </w:style>
  <w:style w:type="character" w:customStyle="1" w:styleId="KoptekstChar">
    <w:name w:val="Koptekst Char"/>
    <w:basedOn w:val="Standaardalinea-lettertype"/>
    <w:link w:val="Koptekst"/>
    <w:rsid w:val="00193A4E"/>
    <w:rPr>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F14412"/>
    <w:rPr>
      <w:rFonts w:ascii="Tahoma" w:hAnsi="Tahoma" w:cs="Tahoma"/>
      <w:sz w:val="16"/>
      <w:szCs w:val="16"/>
    </w:rPr>
  </w:style>
  <w:style w:type="character" w:customStyle="1" w:styleId="BallontekstChar">
    <w:name w:val="Ballontekst Char"/>
    <w:basedOn w:val="Standaardalinea-lettertype"/>
    <w:link w:val="Ballontekst"/>
    <w:rsid w:val="00F14412"/>
    <w:rPr>
      <w:rFonts w:ascii="Tahoma" w:hAnsi="Tahoma" w:cs="Tahoma"/>
      <w:sz w:val="16"/>
      <w:szCs w:val="16"/>
      <w:lang w:val="nl-NL" w:eastAsia="nl-NL"/>
    </w:rPr>
  </w:style>
  <w:style w:type="character" w:customStyle="1" w:styleId="NummeringChar">
    <w:name w:val="Nummering Char"/>
    <w:link w:val="Nummering"/>
    <w:locked/>
    <w:rsid w:val="009B2D2D"/>
    <w:rPr>
      <w:rFonts w:ascii="Verdana" w:hAnsi="Verdana"/>
      <w:szCs w:val="24"/>
      <w:lang w:val="en-US" w:eastAsia="nl-NL"/>
    </w:rPr>
  </w:style>
  <w:style w:type="paragraph" w:customStyle="1" w:styleId="Nummering">
    <w:name w:val="Nummering"/>
    <w:basedOn w:val="Lijstalinea"/>
    <w:link w:val="NummeringChar"/>
    <w:qFormat/>
    <w:rsid w:val="009B2D2D"/>
    <w:pPr>
      <w:numPr>
        <w:numId w:val="5"/>
      </w:numPr>
      <w:spacing w:after="120"/>
      <w:contextualSpacing w:val="0"/>
      <w:jc w:val="both"/>
    </w:pPr>
    <w:rPr>
      <w:rFonts w:ascii="Verdana" w:hAnsi="Verdana"/>
      <w:sz w:val="20"/>
      <w:lang w:val="en-US"/>
    </w:rPr>
  </w:style>
  <w:style w:type="paragraph" w:styleId="Lijstalinea">
    <w:name w:val="List Paragraph"/>
    <w:basedOn w:val="Standaard"/>
    <w:link w:val="LijstalineaChar"/>
    <w:uiPriority w:val="34"/>
    <w:qFormat/>
    <w:rsid w:val="009B2D2D"/>
    <w:pPr>
      <w:ind w:left="720"/>
      <w:contextualSpacing/>
    </w:pPr>
  </w:style>
  <w:style w:type="character" w:styleId="Verwijzingopmerking">
    <w:name w:val="annotation reference"/>
    <w:basedOn w:val="Standaardalinea-lettertype"/>
    <w:semiHidden/>
    <w:unhideWhenUsed/>
    <w:rsid w:val="00AA1889"/>
    <w:rPr>
      <w:sz w:val="16"/>
      <w:szCs w:val="16"/>
    </w:rPr>
  </w:style>
  <w:style w:type="paragraph" w:styleId="Tekstopmerking">
    <w:name w:val="annotation text"/>
    <w:basedOn w:val="Standaard"/>
    <w:link w:val="TekstopmerkingChar"/>
    <w:semiHidden/>
    <w:unhideWhenUsed/>
    <w:rsid w:val="00AA1889"/>
    <w:rPr>
      <w:sz w:val="20"/>
      <w:szCs w:val="20"/>
    </w:rPr>
  </w:style>
  <w:style w:type="character" w:customStyle="1" w:styleId="TekstopmerkingChar">
    <w:name w:val="Tekst opmerking Char"/>
    <w:basedOn w:val="Standaardalinea-lettertype"/>
    <w:link w:val="Tekstopmerking"/>
    <w:semiHidden/>
    <w:rsid w:val="00AA1889"/>
    <w:rPr>
      <w:lang w:val="nl-NL" w:eastAsia="nl-NL"/>
    </w:rPr>
  </w:style>
  <w:style w:type="paragraph" w:styleId="Onderwerpvanopmerking">
    <w:name w:val="annotation subject"/>
    <w:basedOn w:val="Tekstopmerking"/>
    <w:next w:val="Tekstopmerking"/>
    <w:link w:val="OnderwerpvanopmerkingChar"/>
    <w:semiHidden/>
    <w:unhideWhenUsed/>
    <w:rsid w:val="00AA1889"/>
    <w:rPr>
      <w:b/>
      <w:bCs/>
    </w:rPr>
  </w:style>
  <w:style w:type="character" w:customStyle="1" w:styleId="OnderwerpvanopmerkingChar">
    <w:name w:val="Onderwerp van opmerking Char"/>
    <w:basedOn w:val="TekstopmerkingChar"/>
    <w:link w:val="Onderwerpvanopmerking"/>
    <w:semiHidden/>
    <w:rsid w:val="00AA1889"/>
    <w:rPr>
      <w:b/>
      <w:bCs/>
      <w:lang w:val="nl-NL" w:eastAsia="nl-NL"/>
    </w:rPr>
  </w:style>
  <w:style w:type="paragraph" w:styleId="Normaalweb">
    <w:name w:val="Normal (Web)"/>
    <w:basedOn w:val="Standaard"/>
    <w:uiPriority w:val="99"/>
    <w:semiHidden/>
    <w:unhideWhenUsed/>
    <w:rsid w:val="00AA1889"/>
    <w:pPr>
      <w:spacing w:before="100" w:beforeAutospacing="1" w:after="100" w:afterAutospacing="1"/>
      <w:jc w:val="both"/>
    </w:pPr>
    <w:rPr>
      <w:sz w:val="24"/>
      <w:lang w:eastAsia="nl-BE"/>
    </w:rPr>
  </w:style>
  <w:style w:type="paragraph" w:customStyle="1" w:styleId="StandaardKlein">
    <w:name w:val="StandaardKlein"/>
    <w:basedOn w:val="Standaard"/>
    <w:uiPriority w:val="1"/>
    <w:qFormat/>
    <w:rsid w:val="00007F74"/>
    <w:pPr>
      <w:spacing w:before="60" w:line="200" w:lineRule="atLeast"/>
      <w:jc w:val="both"/>
    </w:pPr>
    <w:rPr>
      <w:rFonts w:asciiTheme="minorHAnsi" w:eastAsiaTheme="minorHAnsi" w:hAnsiTheme="minorHAnsi" w:cstheme="minorBidi"/>
      <w:sz w:val="18"/>
      <w:szCs w:val="18"/>
      <w:lang w:val="nl-BE" w:eastAsia="en-US"/>
    </w:rPr>
  </w:style>
  <w:style w:type="character" w:customStyle="1" w:styleId="LijstalineaChar">
    <w:name w:val="Lijstalinea Char"/>
    <w:basedOn w:val="Standaardalinea-lettertype"/>
    <w:link w:val="Lijstalinea"/>
    <w:uiPriority w:val="34"/>
    <w:rsid w:val="00007F74"/>
    <w:rPr>
      <w:sz w:val="22"/>
      <w:szCs w:val="24"/>
      <w:lang w:val="nl-NL" w:eastAsia="nl-NL"/>
    </w:rPr>
  </w:style>
  <w:style w:type="paragraph" w:customStyle="1" w:styleId="Witruimte6pt">
    <w:name w:val="Witruimte_6pt"/>
    <w:basedOn w:val="Standaard"/>
    <w:uiPriority w:val="99"/>
    <w:rsid w:val="00007F74"/>
    <w:pPr>
      <w:spacing w:before="120" w:line="120" w:lineRule="exact"/>
      <w:jc w:val="both"/>
    </w:pPr>
    <w:rPr>
      <w:rFonts w:asciiTheme="minorHAnsi" w:eastAsiaTheme="minorHAnsi" w:hAnsiTheme="minorHAnsi" w:cstheme="minorBidi"/>
      <w:noProof/>
      <w:color w:val="A6A6A6" w:themeColor="background1" w:themeShade="A6"/>
      <w:sz w:val="12"/>
      <w:szCs w:val="22"/>
      <w:lang w:val="nl-BE" w:eastAsia="en-US"/>
    </w:rPr>
  </w:style>
  <w:style w:type="paragraph" w:styleId="Koptekst">
    <w:name w:val="header"/>
    <w:basedOn w:val="Standaard"/>
    <w:link w:val="KoptekstChar"/>
    <w:unhideWhenUsed/>
    <w:rsid w:val="00193A4E"/>
    <w:pPr>
      <w:tabs>
        <w:tab w:val="center" w:pos="4536"/>
        <w:tab w:val="right" w:pos="9072"/>
      </w:tabs>
    </w:pPr>
  </w:style>
  <w:style w:type="character" w:customStyle="1" w:styleId="KoptekstChar">
    <w:name w:val="Koptekst Char"/>
    <w:basedOn w:val="Standaardalinea-lettertype"/>
    <w:link w:val="Koptekst"/>
    <w:rsid w:val="00193A4E"/>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6506">
      <w:bodyDiv w:val="1"/>
      <w:marLeft w:val="0"/>
      <w:marRight w:val="0"/>
      <w:marTop w:val="0"/>
      <w:marBottom w:val="0"/>
      <w:divBdr>
        <w:top w:val="none" w:sz="0" w:space="0" w:color="auto"/>
        <w:left w:val="none" w:sz="0" w:space="0" w:color="auto"/>
        <w:bottom w:val="none" w:sz="0" w:space="0" w:color="auto"/>
        <w:right w:val="none" w:sz="0" w:space="0" w:color="auto"/>
      </w:divBdr>
    </w:div>
    <w:div w:id="923345097">
      <w:bodyDiv w:val="1"/>
      <w:marLeft w:val="0"/>
      <w:marRight w:val="0"/>
      <w:marTop w:val="0"/>
      <w:marBottom w:val="0"/>
      <w:divBdr>
        <w:top w:val="none" w:sz="0" w:space="0" w:color="auto"/>
        <w:left w:val="none" w:sz="0" w:space="0" w:color="auto"/>
        <w:bottom w:val="none" w:sz="0" w:space="0" w:color="auto"/>
        <w:right w:val="none" w:sz="0" w:space="0" w:color="auto"/>
      </w:divBdr>
    </w:div>
    <w:div w:id="14302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2B3AE0"/>
    <w:rsid w:val="00450697"/>
    <w:rsid w:val="0073067D"/>
    <w:rsid w:val="007351FD"/>
    <w:rsid w:val="00764034"/>
    <w:rsid w:val="009C69EE"/>
    <w:rsid w:val="00AA0477"/>
    <w:rsid w:val="00C3444C"/>
    <w:rsid w:val="00C97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CA74-26FB-45A5-8956-E76C5C3E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2</Pages>
  <Words>762</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Gorik Van Holen</cp:lastModifiedBy>
  <cp:revision>2</cp:revision>
  <cp:lastPrinted>2014-08-26T13:40:00Z</cp:lastPrinted>
  <dcterms:created xsi:type="dcterms:W3CDTF">2015-12-16T18:36:00Z</dcterms:created>
  <dcterms:modified xsi:type="dcterms:W3CDTF">2015-12-16T18:36:00Z</dcterms:modified>
</cp:coreProperties>
</file>