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8FE90" w14:textId="101B1045" w:rsidR="00077190" w:rsidRPr="007964AD" w:rsidRDefault="00787A37" w:rsidP="00077190">
      <w:pPr>
        <w:rPr>
          <w:rFonts w:ascii="Helvetica Neue Light" w:hAnsi="Helvetica Neue Light"/>
          <w:sz w:val="26"/>
          <w:szCs w:val="26"/>
          <w:lang w:val="fr-FR"/>
        </w:rPr>
      </w:pPr>
      <w:bookmarkStart w:id="0" w:name="_GoBack"/>
      <w:r>
        <w:rPr>
          <w:rFonts w:ascii="Helvetica Neue Light" w:hAnsi="Helvetica Neue Light"/>
          <w:sz w:val="26"/>
          <w:szCs w:val="26"/>
          <w:lang w:val="fr-FR"/>
        </w:rPr>
        <w:t>Communiqué de presse</w:t>
      </w:r>
    </w:p>
    <w:p w14:paraId="6DCAD1D2" w14:textId="705EDD65" w:rsidR="00077190" w:rsidRPr="007964AD" w:rsidRDefault="00077190" w:rsidP="00077190">
      <w:pPr>
        <w:rPr>
          <w:rFonts w:ascii="Helvetica Neue Light" w:hAnsi="Helvetica Neue Light"/>
          <w:sz w:val="26"/>
          <w:szCs w:val="26"/>
          <w:lang w:val="fr-FR"/>
        </w:rPr>
      </w:pPr>
      <w:r>
        <w:rPr>
          <w:rFonts w:ascii="Helvetica Neue Light" w:hAnsi="Helvetica Neue Light"/>
          <w:sz w:val="26"/>
          <w:szCs w:val="26"/>
          <w:lang w:val="fr-FR"/>
        </w:rPr>
        <w:t xml:space="preserve">20 </w:t>
      </w:r>
      <w:r w:rsidR="00787A37">
        <w:rPr>
          <w:rFonts w:ascii="Helvetica Neue Light" w:hAnsi="Helvetica Neue Light"/>
          <w:sz w:val="26"/>
          <w:szCs w:val="26"/>
          <w:lang w:val="fr-FR"/>
        </w:rPr>
        <w:t>septembre</w:t>
      </w:r>
      <w:r w:rsidRPr="007964AD">
        <w:rPr>
          <w:rFonts w:ascii="Helvetica Neue Light" w:hAnsi="Helvetica Neue Light"/>
          <w:sz w:val="26"/>
          <w:szCs w:val="26"/>
          <w:lang w:val="fr-FR"/>
        </w:rPr>
        <w:t xml:space="preserve"> 2012</w:t>
      </w:r>
    </w:p>
    <w:p w14:paraId="18E05AA1" w14:textId="77777777" w:rsidR="00077190" w:rsidRDefault="00077190" w:rsidP="00077190">
      <w:pPr>
        <w:rPr>
          <w:rFonts w:ascii="Helvetica Neue Light" w:eastAsia="Times New Roman" w:hAnsi="Helvetica Neue Light"/>
          <w:noProof/>
          <w:sz w:val="36"/>
          <w:szCs w:val="36"/>
          <w:lang w:val="fr-FR" w:eastAsia="en-US"/>
        </w:rPr>
      </w:pPr>
    </w:p>
    <w:p w14:paraId="02E7577C" w14:textId="77777777" w:rsidR="00E858BA" w:rsidRPr="00E858BA" w:rsidRDefault="00E858BA" w:rsidP="00E858BA">
      <w:pPr>
        <w:rPr>
          <w:rFonts w:ascii="Helvetica Neue Light" w:eastAsia="Times New Roman" w:hAnsi="Helvetica Neue Light"/>
          <w:noProof/>
          <w:sz w:val="36"/>
          <w:szCs w:val="36"/>
          <w:lang w:val="fr-FR" w:eastAsia="en-US"/>
        </w:rPr>
      </w:pPr>
      <w:r w:rsidRPr="00E858BA">
        <w:rPr>
          <w:rFonts w:ascii="Helvetica Neue Light" w:eastAsia="Times New Roman" w:hAnsi="Helvetica Neue Light"/>
          <w:noProof/>
          <w:sz w:val="36"/>
          <w:szCs w:val="36"/>
          <w:lang w:val="fr-FR" w:eastAsia="en-US"/>
        </w:rPr>
        <w:t>TBWA CONÇOIT UNE CAMPAGNE à DOUBLE SENS POUR KBC</w:t>
      </w:r>
    </w:p>
    <w:p w14:paraId="0013F1FD" w14:textId="77777777" w:rsidR="00E858BA" w:rsidRDefault="00E858BA" w:rsidP="00E858BA">
      <w:pPr>
        <w:pStyle w:val="TBWA"/>
        <w:jc w:val="both"/>
        <w:rPr>
          <w:color w:val="auto"/>
          <w:lang w:val="fr-FR"/>
        </w:rPr>
      </w:pPr>
    </w:p>
    <w:p w14:paraId="18372466" w14:textId="77777777" w:rsidR="00E858BA" w:rsidRPr="00E858BA" w:rsidRDefault="00E858BA" w:rsidP="00E858BA">
      <w:pPr>
        <w:pStyle w:val="TBWA"/>
        <w:jc w:val="both"/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</w:pPr>
      <w:r w:rsidRPr="00E858BA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 xml:space="preserve">Ce qui intéresse principalement les gens dans leur portefeuille d’assurances, c’est le mot “portefeuille”. KBC a couplé cette idée avec la constatation que de nombreux consommateurs ne sont pas au courant qu’ils sont doublement assurés et ce, involontairement. Ils paient donc trop. </w:t>
      </w:r>
    </w:p>
    <w:p w14:paraId="4551C241" w14:textId="77777777" w:rsidR="00E858BA" w:rsidRDefault="00E858BA" w:rsidP="00E858BA">
      <w:pPr>
        <w:pStyle w:val="TBWA"/>
        <w:jc w:val="both"/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</w:pPr>
      <w:r w:rsidRPr="00E858BA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 xml:space="preserve">Ce thème de campagne avait déjà été utilisé il y a deux ans, et avait bien fonctionné. Ce qu’il nécessite aujourd’hui, c’est une nouvelle interprétation. </w:t>
      </w:r>
    </w:p>
    <w:p w14:paraId="52A17266" w14:textId="77777777" w:rsidR="00E858BA" w:rsidRDefault="00E858BA" w:rsidP="00E858BA">
      <w:pPr>
        <w:pStyle w:val="TBWA"/>
        <w:jc w:val="both"/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</w:pPr>
    </w:p>
    <w:p w14:paraId="167C0AFC" w14:textId="46B5C5F3" w:rsidR="00E858BA" w:rsidRDefault="00E858BA" w:rsidP="00E858BA">
      <w:pPr>
        <w:pStyle w:val="TBWA"/>
        <w:jc w:val="both"/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</w:pPr>
      <w:r w:rsidRPr="00E858BA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>Cette année, TBWA veut donc jouer de manière originale avec l’affichage. Grâce à un plan média bien pensé, les affiches sont placées au-dessus, en-dessous, à côté et les unes contre les autres. Le principe ? Une affiche</w:t>
      </w:r>
      <w:r w:rsidR="006332B4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 xml:space="preserve"> accuse l’autre d’être inutile : </w:t>
      </w:r>
      <w:r w:rsidRPr="00E858BA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>« </w:t>
      </w:r>
      <w:r w:rsidR="006332B4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>être doublement assuré, c’est tout simplement inutile. Comme l’affiche de droite »</w:t>
      </w:r>
      <w:r w:rsidRPr="00E858BA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 xml:space="preserve">. Ce concept humoristique se décline également sur des More o’ferrall, dans les gares et sous forme de posters double-face affichés sur les portes des magasins. À la TV aussi, deux spots passent l’un après l’autre, de manière à ce que le premier paraisse redondant et </w:t>
      </w:r>
      <w:r w:rsidR="006332B4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>inutile</w:t>
      </w:r>
      <w:r w:rsidRPr="00E858BA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 xml:space="preserve">. Enfin, sur la route, c’est l’affichage sur les bus qui interroge : êtes-vous prêt à payer deux fois pour un seul trajet ? </w:t>
      </w:r>
    </w:p>
    <w:p w14:paraId="330797A7" w14:textId="77777777" w:rsidR="00E858BA" w:rsidRPr="00E858BA" w:rsidRDefault="00E858BA" w:rsidP="00E858BA">
      <w:pPr>
        <w:pStyle w:val="TBWA"/>
        <w:jc w:val="both"/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</w:pPr>
    </w:p>
    <w:p w14:paraId="2FBE1551" w14:textId="52B3345A" w:rsidR="00E858BA" w:rsidRPr="00E858BA" w:rsidRDefault="00E858BA" w:rsidP="00E858BA">
      <w:pPr>
        <w:pStyle w:val="TBWA"/>
        <w:jc w:val="both"/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</w:pPr>
      <w:r w:rsidRPr="00E858BA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 xml:space="preserve">Bref, où que vous regardiez, difficile de l’ignorer ! Où que vous regardez, il sera difficile de ne pas les remarquer. </w:t>
      </w:r>
      <w:r w:rsidR="00662ECF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 xml:space="preserve">Et qui sait, peut-être </w:t>
      </w:r>
      <w:r w:rsidRPr="00E858BA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 xml:space="preserve">serez-vous </w:t>
      </w:r>
      <w:r w:rsidR="00662ECF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 xml:space="preserve">tenté de rendre une visite à </w:t>
      </w:r>
      <w:r w:rsidRPr="00E858BA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 xml:space="preserve">un assureur KBC </w:t>
      </w:r>
      <w:r w:rsidR="00662ECF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>avec votre dossier de</w:t>
      </w:r>
      <w:r w:rsidRPr="00E858BA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 xml:space="preserve"> compagnies d’assurances</w:t>
      </w:r>
      <w:r w:rsidR="00662ECF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> ?</w:t>
      </w:r>
      <w:r w:rsidRPr="00E858BA">
        <w:rPr>
          <w:rFonts w:ascii="Helvetica Neue Light" w:eastAsia="Times New Roman" w:hAnsi="Helvetica Neue Light"/>
          <w:noProof/>
          <w:color w:val="auto"/>
          <w:sz w:val="26"/>
          <w:szCs w:val="26"/>
          <w:lang w:val="fr-FR" w:eastAsia="en-US"/>
        </w:rPr>
        <w:t xml:space="preserve"> </w:t>
      </w:r>
    </w:p>
    <w:p w14:paraId="2F070D98" w14:textId="77777777" w:rsidR="00077190" w:rsidRDefault="00077190" w:rsidP="00E82779">
      <w:pPr>
        <w:pStyle w:val="TBWA"/>
        <w:rPr>
          <w:rFonts w:cs="Helvetica"/>
          <w:color w:val="auto"/>
          <w:lang w:val="fr-FR" w:eastAsia="en-US"/>
        </w:rPr>
      </w:pPr>
    </w:p>
    <w:p w14:paraId="5AA742F7" w14:textId="77777777" w:rsidR="00C808D9" w:rsidRPr="00C808D9" w:rsidRDefault="00C808D9" w:rsidP="00C808D9">
      <w:pPr>
        <w:jc w:val="both"/>
        <w:rPr>
          <w:rFonts w:ascii="Helvetica Neue Light" w:hAnsi="Helvetica Neue Light"/>
          <w:b/>
          <w:sz w:val="26"/>
          <w:szCs w:val="26"/>
          <w:lang w:val="fr-FR"/>
        </w:rPr>
      </w:pPr>
      <w:r w:rsidRPr="00C808D9">
        <w:rPr>
          <w:rFonts w:ascii="Helvetica Neue Light" w:hAnsi="Helvetica Neue Light"/>
          <w:b/>
          <w:sz w:val="26"/>
          <w:szCs w:val="26"/>
          <w:lang w:val="fr-FR"/>
        </w:rPr>
        <w:t xml:space="preserve">Pour plus d’infos, merci de prendre contact avec Jan </w:t>
      </w:r>
      <w:proofErr w:type="spellStart"/>
      <w:r w:rsidRPr="00C808D9">
        <w:rPr>
          <w:rFonts w:ascii="Helvetica Neue Light" w:hAnsi="Helvetica Neue Light"/>
          <w:b/>
          <w:sz w:val="26"/>
          <w:szCs w:val="26"/>
          <w:lang w:val="fr-FR"/>
        </w:rPr>
        <w:t>Macken</w:t>
      </w:r>
      <w:proofErr w:type="spellEnd"/>
      <w:r w:rsidRPr="00C808D9">
        <w:rPr>
          <w:rFonts w:ascii="Helvetica Neue Light" w:hAnsi="Helvetica Neue Light"/>
          <w:b/>
          <w:sz w:val="26"/>
          <w:szCs w:val="26"/>
          <w:lang w:val="fr-FR"/>
        </w:rPr>
        <w:t xml:space="preserve"> de chez TBWA au 02/6797500 -  </w:t>
      </w:r>
      <w:hyperlink r:id="rId8" w:history="1">
        <w:r w:rsidRPr="00C808D9">
          <w:rPr>
            <w:rStyle w:val="Hyperlink"/>
            <w:rFonts w:ascii="Helvetica Neue Light" w:hAnsi="Helvetica Neue Light"/>
            <w:b/>
            <w:sz w:val="26"/>
            <w:szCs w:val="26"/>
            <w:lang w:val="fr-FR"/>
          </w:rPr>
          <w:t>Jan.macken@tbwa.be</w:t>
        </w:r>
      </w:hyperlink>
      <w:r w:rsidRPr="00C808D9">
        <w:rPr>
          <w:rFonts w:ascii="Helvetica Neue Light" w:hAnsi="Helvetica Neue Light"/>
          <w:b/>
          <w:sz w:val="26"/>
          <w:szCs w:val="26"/>
          <w:lang w:val="fr-FR"/>
        </w:rPr>
        <w:t xml:space="preserve"> </w:t>
      </w:r>
    </w:p>
    <w:p w14:paraId="0F7A1C95" w14:textId="77777777" w:rsidR="00C808D9" w:rsidRDefault="00C808D9" w:rsidP="00E82779">
      <w:pPr>
        <w:pStyle w:val="TBWA"/>
        <w:rPr>
          <w:rFonts w:cs="Helvetica"/>
          <w:color w:val="auto"/>
          <w:lang w:val="fr-FR" w:eastAsia="en-US"/>
        </w:rPr>
      </w:pPr>
    </w:p>
    <w:p w14:paraId="3CA14035" w14:textId="77777777" w:rsidR="00077190" w:rsidRDefault="00077190" w:rsidP="00E82779">
      <w:pPr>
        <w:pStyle w:val="TBWA"/>
        <w:rPr>
          <w:rFonts w:cs="Helvetica"/>
          <w:color w:val="auto"/>
          <w:lang w:val="fr-FR" w:eastAsia="en-US"/>
        </w:rPr>
      </w:pPr>
    </w:p>
    <w:p w14:paraId="12F58167" w14:textId="24CE8CF9" w:rsidR="00F71A1D" w:rsidRPr="00DE22B4" w:rsidRDefault="00AF6F55" w:rsidP="00DE22B4">
      <w:pPr>
        <w:pStyle w:val="TBWA"/>
        <w:jc w:val="both"/>
        <w:rPr>
          <w:color w:val="auto"/>
          <w:lang w:val="fr-FR"/>
        </w:rPr>
      </w:pPr>
      <w:r w:rsidRPr="00DE22B4">
        <w:rPr>
          <w:b/>
          <w:color w:val="FF0000"/>
          <w:lang w:val="fr-FR"/>
        </w:rPr>
        <w:t xml:space="preserve"> </w:t>
      </w:r>
    </w:p>
    <w:bookmarkEnd w:id="0"/>
    <w:sectPr w:rsidR="00F71A1D" w:rsidRPr="00DE22B4" w:rsidSect="00477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53C3D" w14:textId="77777777" w:rsidR="00BB515E" w:rsidRDefault="00BB515E" w:rsidP="0061795A">
      <w:r>
        <w:separator/>
      </w:r>
    </w:p>
  </w:endnote>
  <w:endnote w:type="continuationSeparator" w:id="0">
    <w:p w14:paraId="4460C08C" w14:textId="77777777" w:rsidR="00BB515E" w:rsidRDefault="00BB515E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61CD" w14:textId="77777777" w:rsidR="00BB515E" w:rsidRDefault="00BB51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DFFAA" w14:textId="77777777" w:rsidR="00BB515E" w:rsidRPr="00477F70" w:rsidRDefault="00BB515E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29D600F0" w14:textId="77777777" w:rsidR="00BB515E" w:rsidRPr="00477F70" w:rsidRDefault="00BB515E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A99BB" w14:textId="77777777" w:rsidR="00BB515E" w:rsidRPr="00477F70" w:rsidRDefault="00BB515E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3C488542" w14:textId="77777777" w:rsidR="00BB515E" w:rsidRPr="00477F70" w:rsidRDefault="00BB515E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214B9" w14:textId="77777777" w:rsidR="00BB515E" w:rsidRDefault="00BB515E" w:rsidP="0061795A">
      <w:r>
        <w:separator/>
      </w:r>
    </w:p>
  </w:footnote>
  <w:footnote w:type="continuationSeparator" w:id="0">
    <w:p w14:paraId="25948648" w14:textId="77777777" w:rsidR="00BB515E" w:rsidRDefault="00BB515E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571C" w14:textId="77777777" w:rsidR="00BB515E" w:rsidRDefault="00BB515E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5B58D" w14:textId="77777777" w:rsidR="00BB515E" w:rsidRDefault="00BB515E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B2404" w14:textId="77777777" w:rsidR="00BB515E" w:rsidRPr="001C6E34" w:rsidRDefault="00BB515E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077190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8519DFF" w14:textId="77777777" w:rsidR="00BB515E" w:rsidRPr="001C6E34" w:rsidRDefault="00BB515E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69DF89F7" wp14:editId="3FBCB3C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67506" cy="261153"/>
          <wp:effectExtent l="0" t="0" r="127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7506" cy="26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114CA" w14:textId="77777777" w:rsidR="00BB515E" w:rsidRPr="00477F70" w:rsidRDefault="00BB515E" w:rsidP="00477F70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54AAEF7" wp14:editId="5D271E5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67506" cy="261153"/>
          <wp:effectExtent l="0" t="0" r="127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7506" cy="26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79"/>
    <w:rsid w:val="00061A67"/>
    <w:rsid w:val="00077190"/>
    <w:rsid w:val="00121240"/>
    <w:rsid w:val="001423C1"/>
    <w:rsid w:val="001C6E34"/>
    <w:rsid w:val="00203FD9"/>
    <w:rsid w:val="00204365"/>
    <w:rsid w:val="00224B0A"/>
    <w:rsid w:val="00295847"/>
    <w:rsid w:val="002A77AA"/>
    <w:rsid w:val="00332519"/>
    <w:rsid w:val="003F54D5"/>
    <w:rsid w:val="00446525"/>
    <w:rsid w:val="004774D4"/>
    <w:rsid w:val="00477F70"/>
    <w:rsid w:val="0048020D"/>
    <w:rsid w:val="00496AA6"/>
    <w:rsid w:val="0057625F"/>
    <w:rsid w:val="005D12D3"/>
    <w:rsid w:val="0061795A"/>
    <w:rsid w:val="006332B4"/>
    <w:rsid w:val="00662ECF"/>
    <w:rsid w:val="00666192"/>
    <w:rsid w:val="006E2266"/>
    <w:rsid w:val="006E2A0C"/>
    <w:rsid w:val="00740375"/>
    <w:rsid w:val="00787A37"/>
    <w:rsid w:val="007C632C"/>
    <w:rsid w:val="009F000D"/>
    <w:rsid w:val="00A72E9D"/>
    <w:rsid w:val="00A73A16"/>
    <w:rsid w:val="00A858C9"/>
    <w:rsid w:val="00AD7614"/>
    <w:rsid w:val="00AF6F55"/>
    <w:rsid w:val="00B213ED"/>
    <w:rsid w:val="00BB515E"/>
    <w:rsid w:val="00BB7BB0"/>
    <w:rsid w:val="00BC09F3"/>
    <w:rsid w:val="00C66B16"/>
    <w:rsid w:val="00C808D9"/>
    <w:rsid w:val="00DE22B4"/>
    <w:rsid w:val="00E82779"/>
    <w:rsid w:val="00E858BA"/>
    <w:rsid w:val="00F13790"/>
    <w:rsid w:val="00F71A1D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E7F4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C80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C80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n.macken@tbwa.b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Group:TBWA%20Group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F95EF9-CAC4-C54E-84EE-71BBDC67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Group Blanco.dotx</Template>
  <TotalTime>4</TotalTime>
  <Pages>1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Vleminckx</dc:creator>
  <cp:keywords/>
  <dc:description/>
  <cp:lastModifiedBy>Admin</cp:lastModifiedBy>
  <cp:revision>7</cp:revision>
  <cp:lastPrinted>2011-08-10T13:45:00Z</cp:lastPrinted>
  <dcterms:created xsi:type="dcterms:W3CDTF">2012-09-19T15:55:00Z</dcterms:created>
  <dcterms:modified xsi:type="dcterms:W3CDTF">2012-09-20T08:15:00Z</dcterms:modified>
</cp:coreProperties>
</file>