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5E7" w:rsidP="001214D6" w:rsidRDefault="00200C4B" w14:paraId="2E3E992D" w14:textId="47B94AA8">
      <w:pPr>
        <w:spacing w:after="0" w:line="240" w:lineRule="auto"/>
        <w:ind w:left="-284" w:right="-291"/>
        <w:jc w:val="center"/>
        <w:rPr>
          <w:rFonts w:ascii="Arial" w:hAnsi="Arial" w:eastAsia="Arial" w:cs="Arial"/>
          <w:b/>
          <w:sz w:val="28"/>
          <w:szCs w:val="28"/>
          <w:lang w:val="es-CO" w:eastAsia="es-MX"/>
        </w:rPr>
      </w:pPr>
      <w:r w:rsidRPr="00200C4B">
        <w:rPr>
          <w:rFonts w:ascii="Arial" w:hAnsi="Arial" w:eastAsia="Arial" w:cs="Arial"/>
          <w:b/>
          <w:sz w:val="28"/>
          <w:szCs w:val="28"/>
          <w:lang w:val="es-CO" w:eastAsia="es-MX"/>
        </w:rPr>
        <w:t>Ahora más que nunca, los modelos de seguridad Zero Trust son vitales en América Latina</w:t>
      </w:r>
    </w:p>
    <w:p w:rsidRPr="00200C4B" w:rsidR="00200C4B" w:rsidP="7340E193" w:rsidRDefault="00000000" w14:paraId="407A78C8" w14:noSpellErr="1" w14:textId="792FD7BE">
      <w:pPr>
        <w:pStyle w:val="zw-paragraph"/>
        <w:spacing w:before="240" w:beforeAutospacing="off" w:after="240" w:afterAutospacing="off"/>
        <w:jc w:val="both"/>
        <w:rPr>
          <w:rFonts w:ascii="Arial" w:hAnsi="Arial" w:cs="Arial"/>
          <w:sz w:val="22"/>
          <w:szCs w:val="22"/>
        </w:rPr>
      </w:pPr>
      <w:r w:rsidRPr="7340E193" w:rsidR="00200C4B">
        <w:rPr>
          <w:rFonts w:ascii="Arial" w:hAnsi="Arial" w:eastAsia="Arial" w:cs="Arial"/>
          <w:b w:val="1"/>
          <w:bCs w:val="1"/>
          <w:color w:val="000000" w:themeColor="text1" w:themeTint="FF" w:themeShade="FF"/>
          <w:sz w:val="22"/>
          <w:szCs w:val="22"/>
        </w:rPr>
        <w:t>Octu</w:t>
      </w:r>
      <w:r w:rsidRPr="7340E193" w:rsidR="002D45E7">
        <w:rPr>
          <w:rFonts w:ascii="Arial" w:hAnsi="Arial" w:eastAsia="Arial" w:cs="Arial"/>
          <w:b w:val="1"/>
          <w:bCs w:val="1"/>
          <w:color w:val="000000" w:themeColor="text1" w:themeTint="FF" w:themeShade="FF"/>
          <w:sz w:val="22"/>
          <w:szCs w:val="22"/>
        </w:rPr>
        <w:t>bre</w:t>
      </w:r>
      <w:r w:rsidRPr="7340E193" w:rsidR="00000000">
        <w:rPr>
          <w:rFonts w:ascii="Arial" w:hAnsi="Arial" w:eastAsia="Arial" w:cs="Arial"/>
          <w:b w:val="1"/>
          <w:bCs w:val="1"/>
          <w:color w:val="000000" w:themeColor="text1" w:themeTint="FF" w:themeShade="FF"/>
          <w:sz w:val="22"/>
          <w:szCs w:val="22"/>
        </w:rPr>
        <w:t xml:space="preserve"> de 2025 </w:t>
      </w:r>
      <w:r w:rsidRPr="7340E193" w:rsidR="00EF2B8F">
        <w:rPr>
          <w:rFonts w:ascii="Arial" w:hAnsi="Arial" w:eastAsia="Arial" w:cs="Arial"/>
          <w:b w:val="1"/>
          <w:bCs w:val="1"/>
          <w:color w:val="000000" w:themeColor="text1" w:themeTint="FF" w:themeShade="FF"/>
          <w:sz w:val="22"/>
          <w:szCs w:val="22"/>
        </w:rPr>
        <w:t>–</w:t>
      </w:r>
      <w:r w:rsidRPr="7340E193" w:rsidR="00812EBE">
        <w:rPr>
          <w:rFonts w:ascii="Arial" w:hAnsi="Arial" w:eastAsia="Arial" w:cs="Arial"/>
          <w:b w:val="1"/>
          <w:bCs w:val="1"/>
          <w:color w:val="000000" w:themeColor="text1" w:themeTint="FF" w:themeShade="FF"/>
          <w:sz w:val="22"/>
          <w:szCs w:val="22"/>
        </w:rPr>
        <w:t xml:space="preserve"> </w:t>
      </w:r>
      <w:r w:rsidRPr="7340E193" w:rsidR="00200C4B">
        <w:rPr>
          <w:rFonts w:ascii="Arial" w:hAnsi="Arial" w:cs="Arial"/>
          <w:color w:val="000000" w:themeColor="text1" w:themeTint="FF" w:themeShade="FF"/>
          <w:sz w:val="22"/>
          <w:szCs w:val="22"/>
        </w:rPr>
        <w:t>Este octubre marca el vigésimo año consecutivo de la celebración del Mes de la Concientización sobre Ciberseguridad, lo que hace muy oportuno recordar la importancia de adoptar una arquitectura de confianza cero (Zero Trust).</w:t>
      </w:r>
    </w:p>
    <w:p w:rsidRPr="00200C4B" w:rsidR="00200C4B" w:rsidP="00200C4B" w:rsidRDefault="00200C4B" w14:paraId="357857C4"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Desde la pandemia, cada vez más empresas en América Latina han adoptado el trabajo remoto, los servicios en la nube y una mayor digitalización. Aunque esto representa un avance positivo en términos de productividad, también ha ampliado la superficie de ataque de estas compañías.</w:t>
      </w:r>
    </w:p>
    <w:p w:rsidRPr="00200C4B" w:rsidR="00200C4B" w:rsidP="00200C4B" w:rsidRDefault="00200C4B" w14:paraId="64CBBC23"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 xml:space="preserve">Dicha ampliación, combinada con una infraestructura de ciberseguridad aún en desarrollo y una escasez de profesionales calificados, ha dado lugar a una avalancha de ataques a la infraestructura tecnológica en toda la región. De hecho, según el Informe Anual del </w:t>
      </w:r>
      <w:hyperlink w:history="1" r:id="rId8">
        <w:proofErr w:type="spellStart"/>
        <w:r w:rsidRPr="00200C4B">
          <w:rPr>
            <w:rStyle w:val="Hipervnculo"/>
            <w:rFonts w:ascii="Arial" w:hAnsi="Arial" w:cs="Arial"/>
            <w:sz w:val="22"/>
            <w:szCs w:val="22"/>
          </w:rPr>
          <w:t>LatAm</w:t>
        </w:r>
        <w:proofErr w:type="spellEnd"/>
        <w:r w:rsidRPr="00200C4B">
          <w:rPr>
            <w:rStyle w:val="Hipervnculo"/>
            <w:rFonts w:ascii="Arial" w:hAnsi="Arial" w:cs="Arial"/>
            <w:sz w:val="22"/>
            <w:szCs w:val="22"/>
          </w:rPr>
          <w:t xml:space="preserve"> </w:t>
        </w:r>
        <w:proofErr w:type="spellStart"/>
        <w:r w:rsidRPr="00200C4B">
          <w:rPr>
            <w:rStyle w:val="Hipervnculo"/>
            <w:rFonts w:ascii="Arial" w:hAnsi="Arial" w:cs="Arial"/>
            <w:sz w:val="22"/>
            <w:szCs w:val="22"/>
          </w:rPr>
          <w:t>Cyber</w:t>
        </w:r>
        <w:proofErr w:type="spellEnd"/>
        <w:r w:rsidRPr="00200C4B">
          <w:rPr>
            <w:rStyle w:val="Hipervnculo"/>
            <w:rFonts w:ascii="Arial" w:hAnsi="Arial" w:cs="Arial"/>
            <w:sz w:val="22"/>
            <w:szCs w:val="22"/>
          </w:rPr>
          <w:t xml:space="preserve"> Summit</w:t>
        </w:r>
      </w:hyperlink>
      <w:r w:rsidRPr="00200C4B">
        <w:rPr>
          <w:rFonts w:ascii="Arial" w:hAnsi="Arial" w:cs="Arial"/>
          <w:color w:val="000000"/>
          <w:sz w:val="22"/>
          <w:szCs w:val="22"/>
        </w:rPr>
        <w:t>, actualmente se reportan más de 1.600 ciberataques por segundo en América Latina. Brasil, México y Colombia son los más afectados, aunque todos los países de la región sufren las consecuencias.</w:t>
      </w:r>
    </w:p>
    <w:p w:rsidRPr="00200C4B" w:rsidR="00200C4B" w:rsidP="00200C4B" w:rsidRDefault="00200C4B" w14:paraId="76E13563" w14:textId="13371622">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En resumen, las nuevas presiones regulatorias, los sistemas de seguridad obsoletos y la falta de talento especializado</w:t>
      </w:r>
      <w:r>
        <w:rPr>
          <w:rFonts w:ascii="Arial" w:hAnsi="Arial" w:cs="Arial"/>
          <w:color w:val="000000"/>
          <w:sz w:val="22"/>
          <w:szCs w:val="22"/>
        </w:rPr>
        <w:t xml:space="preserve"> </w:t>
      </w:r>
      <w:r w:rsidRPr="00200C4B">
        <w:rPr>
          <w:rFonts w:ascii="Arial" w:hAnsi="Arial" w:cs="Arial"/>
          <w:color w:val="000000"/>
          <w:sz w:val="22"/>
          <w:szCs w:val="22"/>
        </w:rPr>
        <w:t>han creado una tormenta perfecta en América Latina. Es momento de adoptar, sin demora, la arquitectura de confianza cero.</w:t>
      </w:r>
    </w:p>
    <w:p w:rsidRPr="00200C4B" w:rsidR="00200C4B" w:rsidP="00200C4B" w:rsidRDefault="00200C4B" w14:paraId="38CA0722" w14:textId="77777777">
      <w:pPr>
        <w:pStyle w:val="zw-paragraph"/>
        <w:spacing w:before="281" w:beforeAutospacing="0" w:after="281" w:afterAutospacing="0"/>
        <w:jc w:val="both"/>
        <w:rPr>
          <w:rFonts w:ascii="Arial" w:hAnsi="Arial" w:cs="Arial"/>
          <w:sz w:val="22"/>
          <w:szCs w:val="22"/>
        </w:rPr>
      </w:pPr>
      <w:r w:rsidRPr="00200C4B">
        <w:rPr>
          <w:rFonts w:ascii="Arial" w:hAnsi="Arial" w:cs="Arial"/>
          <w:b/>
          <w:bCs/>
          <w:color w:val="000000"/>
          <w:sz w:val="22"/>
          <w:szCs w:val="22"/>
        </w:rPr>
        <w:t>Nuevas presiones regulatorias</w:t>
      </w:r>
    </w:p>
    <w:p w:rsidRPr="00200C4B" w:rsidR="00200C4B" w:rsidP="00200C4B" w:rsidRDefault="00200C4B" w14:paraId="39807A0B"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Desde que el Reglamento General de Protección de Datos (GDPR) de la Unión Europea entró en vigor en mayo de 2018, una serie de leyes de protección de datos similares han sido promulgadas en América Latina.</w:t>
      </w:r>
    </w:p>
    <w:p w:rsidRPr="00200C4B" w:rsidR="00200C4B" w:rsidP="00200C4B" w:rsidRDefault="00200C4B" w14:paraId="10D6D7E8"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 xml:space="preserve">La </w:t>
      </w:r>
      <w:proofErr w:type="spellStart"/>
      <w:r w:rsidRPr="00200C4B">
        <w:rPr>
          <w:rFonts w:ascii="Arial" w:hAnsi="Arial" w:cs="Arial"/>
          <w:color w:val="000000"/>
          <w:sz w:val="22"/>
          <w:szCs w:val="22"/>
        </w:rPr>
        <w:t>Lei</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Geral</w:t>
      </w:r>
      <w:proofErr w:type="spellEnd"/>
      <w:r w:rsidRPr="00200C4B">
        <w:rPr>
          <w:rFonts w:ascii="Arial" w:hAnsi="Arial" w:cs="Arial"/>
          <w:color w:val="000000"/>
          <w:sz w:val="22"/>
          <w:szCs w:val="22"/>
        </w:rPr>
        <w:t xml:space="preserve"> de </w:t>
      </w:r>
      <w:proofErr w:type="spellStart"/>
      <w:r w:rsidRPr="00200C4B">
        <w:rPr>
          <w:rFonts w:ascii="Arial" w:hAnsi="Arial" w:cs="Arial"/>
          <w:color w:val="000000"/>
          <w:sz w:val="22"/>
          <w:szCs w:val="22"/>
        </w:rPr>
        <w:t>Proteção</w:t>
      </w:r>
      <w:proofErr w:type="spellEnd"/>
      <w:r w:rsidRPr="00200C4B">
        <w:rPr>
          <w:rFonts w:ascii="Arial" w:hAnsi="Arial" w:cs="Arial"/>
          <w:color w:val="000000"/>
          <w:sz w:val="22"/>
          <w:szCs w:val="22"/>
        </w:rPr>
        <w:t xml:space="preserve"> de Dados (</w:t>
      </w:r>
      <w:hyperlink w:history="1" r:id="rId9">
        <w:r w:rsidRPr="00200C4B">
          <w:rPr>
            <w:rStyle w:val="Hipervnculo"/>
            <w:rFonts w:ascii="Arial" w:hAnsi="Arial" w:cs="Arial"/>
            <w:sz w:val="22"/>
            <w:szCs w:val="22"/>
          </w:rPr>
          <w:t>LGPD</w:t>
        </w:r>
      </w:hyperlink>
      <w:r w:rsidRPr="00200C4B">
        <w:rPr>
          <w:rFonts w:ascii="Arial" w:hAnsi="Arial" w:cs="Arial"/>
          <w:color w:val="000000"/>
          <w:sz w:val="22"/>
          <w:szCs w:val="22"/>
        </w:rPr>
        <w:t>) de Brasil entró en vigor en septiembre de 2020; la nueva Ley Federal de Protección de Datos Personales en Posesión de los Particulares (LFPDPPP) de México comenzó a aplicarse en marzo pasado; y la nueva Ley de Protección de Datos Personales N.º 21.719 de Chile estará plenamente vigente en diciembre de 2026. Además, Perú, Uruguay, Argentina y Costa Rica también cuentan con leyes de protección de datos —ya en vigor o próximas a entrar en aplicación—.</w:t>
      </w:r>
    </w:p>
    <w:p w:rsidRPr="00200C4B" w:rsidR="00200C4B" w:rsidP="00200C4B" w:rsidRDefault="00200C4B" w14:paraId="1D25A5F1"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Estas nuevas normativas están transformando la manera en que muchas empresas perciben la ciberseguridad. Más allá del daño reputacional, la pérdida de datos sensibles o los costos operativos, las compañías con debilidades en su postura de seguridad ahora enfrentan fuertes sanciones si sufren brechas y manejan incorrectamente los datos de sus clientes. Por ello, resulta esencial que cuenten con una gobernanza de datos adecuada, una gestión de riesgos efectiva y planes sólidos de respuesta ante incidentes.</w:t>
      </w:r>
    </w:p>
    <w:p w:rsidRPr="00200C4B" w:rsidR="00200C4B" w:rsidP="00200C4B" w:rsidRDefault="00200C4B" w14:paraId="485BCD0A" w14:textId="77777777">
      <w:pPr>
        <w:pStyle w:val="zw-paragraph"/>
        <w:spacing w:before="281" w:beforeAutospacing="0" w:after="281" w:afterAutospacing="0"/>
        <w:jc w:val="both"/>
        <w:rPr>
          <w:rFonts w:ascii="Arial" w:hAnsi="Arial" w:cs="Arial"/>
          <w:sz w:val="22"/>
          <w:szCs w:val="22"/>
        </w:rPr>
      </w:pPr>
      <w:r w:rsidRPr="00200C4B">
        <w:rPr>
          <w:rFonts w:ascii="Arial" w:hAnsi="Arial" w:cs="Arial"/>
          <w:b/>
          <w:bCs/>
          <w:color w:val="000000"/>
          <w:sz w:val="22"/>
          <w:szCs w:val="22"/>
        </w:rPr>
        <w:t>Sistemas obsoletos</w:t>
      </w:r>
    </w:p>
    <w:p w:rsidRPr="00200C4B" w:rsidR="00200C4B" w:rsidP="00200C4B" w:rsidRDefault="00200C4B" w14:paraId="04D5E535"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Aunque varios países latinoamericanos —como Brasil, México, Colombia y Chile— están mejorando rápidamente su infraestructura tecnológica para hacer frente a las amenazas emergentes, otros aún dependen de sistemas de TI obsoletos.</w:t>
      </w:r>
    </w:p>
    <w:p w:rsidRPr="00200C4B" w:rsidR="00200C4B" w:rsidP="00200C4B" w:rsidRDefault="00200C4B" w14:paraId="1CC6DD4D"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lastRenderedPageBreak/>
        <w:t xml:space="preserve">Muchos de estos sistemas heredados usan software anticuado que no soporta autenticación </w:t>
      </w:r>
      <w:proofErr w:type="spellStart"/>
      <w:r w:rsidRPr="00200C4B">
        <w:rPr>
          <w:rFonts w:ascii="Arial" w:hAnsi="Arial" w:cs="Arial"/>
          <w:color w:val="000000"/>
          <w:sz w:val="22"/>
          <w:szCs w:val="22"/>
        </w:rPr>
        <w:t>multifactor</w:t>
      </w:r>
      <w:proofErr w:type="spellEnd"/>
      <w:r w:rsidRPr="00200C4B">
        <w:rPr>
          <w:rFonts w:ascii="Arial" w:hAnsi="Arial" w:cs="Arial"/>
          <w:color w:val="000000"/>
          <w:sz w:val="22"/>
          <w:szCs w:val="22"/>
        </w:rPr>
        <w:t xml:space="preserve">, cifrado ni monitoreo de amenazas en tiempo real. Además, numerosas organizaciones carecen de planes adecuados de recuperación ante desastres y respuesta a incidentes, lo que incrementa su exposición a </w:t>
      </w:r>
      <w:proofErr w:type="spellStart"/>
      <w:r w:rsidRPr="00200C4B">
        <w:rPr>
          <w:rFonts w:ascii="Arial" w:hAnsi="Arial" w:cs="Arial"/>
          <w:color w:val="000000"/>
          <w:sz w:val="22"/>
          <w:szCs w:val="22"/>
        </w:rPr>
        <w:t>ransomware</w:t>
      </w:r>
      <w:proofErr w:type="spellEnd"/>
      <w:r w:rsidRPr="00200C4B">
        <w:rPr>
          <w:rFonts w:ascii="Arial" w:hAnsi="Arial" w:cs="Arial"/>
          <w:color w:val="000000"/>
          <w:sz w:val="22"/>
          <w:szCs w:val="22"/>
        </w:rPr>
        <w:t>, ataques a la cadena de suministro y filtraciones de datos.</w:t>
      </w:r>
    </w:p>
    <w:p w:rsidRPr="00200C4B" w:rsidR="00200C4B" w:rsidP="00200C4B" w:rsidRDefault="00200C4B" w14:paraId="14248B8C"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En países como Argentina y Brasil, los sistemas tecnológicos del sector público dependen excesivamente de estas plataformas antiguas. Para agravar la situación, muchas entidades gubernamentales y hospitales públicos manejan información altamente sensible, lo que incrementa el riesgo.</w:t>
      </w:r>
    </w:p>
    <w:p w:rsidRPr="00200C4B" w:rsidR="00200C4B" w:rsidP="00200C4B" w:rsidRDefault="00200C4B" w14:paraId="590A32A7" w14:textId="77777777">
      <w:pPr>
        <w:pStyle w:val="zw-paragraph"/>
        <w:spacing w:before="281" w:beforeAutospacing="0" w:after="281" w:afterAutospacing="0"/>
        <w:jc w:val="both"/>
        <w:rPr>
          <w:rFonts w:ascii="Arial" w:hAnsi="Arial" w:cs="Arial"/>
          <w:sz w:val="22"/>
          <w:szCs w:val="22"/>
        </w:rPr>
      </w:pPr>
      <w:r w:rsidRPr="00200C4B">
        <w:rPr>
          <w:rFonts w:ascii="Arial" w:hAnsi="Arial" w:cs="Arial"/>
          <w:b/>
          <w:bCs/>
          <w:color w:val="000000"/>
          <w:sz w:val="22"/>
          <w:szCs w:val="22"/>
        </w:rPr>
        <w:t>Una gran escasez de talento en ciberseguridad</w:t>
      </w:r>
    </w:p>
    <w:p w:rsidRPr="00200C4B" w:rsidR="00200C4B" w:rsidP="00200C4B" w:rsidRDefault="00200C4B" w14:paraId="774624BB"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 xml:space="preserve">Actualmente, muchos países latinoamericanos enfrentan una falta crítica de profesionales en ciberseguridad. Según el </w:t>
      </w:r>
      <w:hyperlink w:history="1" r:id="rId10">
        <w:proofErr w:type="spellStart"/>
        <w:r w:rsidRPr="00200C4B">
          <w:rPr>
            <w:rStyle w:val="Hipervnculo"/>
            <w:rFonts w:ascii="Arial" w:hAnsi="Arial" w:cs="Arial"/>
            <w:sz w:val="22"/>
            <w:szCs w:val="22"/>
          </w:rPr>
          <w:t>Cybersecurity</w:t>
        </w:r>
        <w:proofErr w:type="spellEnd"/>
        <w:r w:rsidRPr="00200C4B">
          <w:rPr>
            <w:rStyle w:val="Hipervnculo"/>
            <w:rFonts w:ascii="Arial" w:hAnsi="Arial" w:cs="Arial"/>
            <w:sz w:val="22"/>
            <w:szCs w:val="22"/>
          </w:rPr>
          <w:t xml:space="preserve"> </w:t>
        </w:r>
        <w:proofErr w:type="spellStart"/>
        <w:r w:rsidRPr="00200C4B">
          <w:rPr>
            <w:rStyle w:val="Hipervnculo"/>
            <w:rFonts w:ascii="Arial" w:hAnsi="Arial" w:cs="Arial"/>
            <w:sz w:val="22"/>
            <w:szCs w:val="22"/>
          </w:rPr>
          <w:t>Workforce</w:t>
        </w:r>
        <w:proofErr w:type="spellEnd"/>
        <w:r w:rsidRPr="00200C4B">
          <w:rPr>
            <w:rStyle w:val="Hipervnculo"/>
            <w:rFonts w:ascii="Arial" w:hAnsi="Arial" w:cs="Arial"/>
            <w:sz w:val="22"/>
            <w:szCs w:val="22"/>
          </w:rPr>
          <w:t xml:space="preserve"> </w:t>
        </w:r>
        <w:proofErr w:type="spellStart"/>
        <w:r w:rsidRPr="00200C4B">
          <w:rPr>
            <w:rStyle w:val="Hipervnculo"/>
            <w:rFonts w:ascii="Arial" w:hAnsi="Arial" w:cs="Arial"/>
            <w:sz w:val="22"/>
            <w:szCs w:val="22"/>
          </w:rPr>
          <w:t>Study</w:t>
        </w:r>
        <w:proofErr w:type="spellEnd"/>
      </w:hyperlink>
      <w:r w:rsidRPr="00200C4B">
        <w:rPr>
          <w:rFonts w:ascii="Arial" w:hAnsi="Arial" w:cs="Arial"/>
          <w:color w:val="000000"/>
          <w:sz w:val="22"/>
          <w:szCs w:val="22"/>
        </w:rPr>
        <w:t xml:space="preserve"> del año pasado de ISC2, México y Brasil juntos presentan una escasez de más de 328.000 especialistas. El </w:t>
      </w:r>
      <w:proofErr w:type="spellStart"/>
      <w:r w:rsidRPr="00200C4B">
        <w:rPr>
          <w:rFonts w:ascii="Arial" w:hAnsi="Arial" w:cs="Arial"/>
          <w:color w:val="000000"/>
          <w:sz w:val="22"/>
          <w:szCs w:val="22"/>
        </w:rPr>
        <w:t>LatAm</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Cyber</w:t>
      </w:r>
      <w:proofErr w:type="spellEnd"/>
      <w:r w:rsidRPr="00200C4B">
        <w:rPr>
          <w:rFonts w:ascii="Arial" w:hAnsi="Arial" w:cs="Arial"/>
          <w:color w:val="000000"/>
          <w:sz w:val="22"/>
          <w:szCs w:val="22"/>
        </w:rPr>
        <w:t xml:space="preserve"> Summit </w:t>
      </w:r>
      <w:proofErr w:type="spellStart"/>
      <w:r w:rsidRPr="00200C4B">
        <w:rPr>
          <w:rFonts w:ascii="Arial" w:hAnsi="Arial" w:cs="Arial"/>
          <w:color w:val="000000"/>
          <w:sz w:val="22"/>
          <w:szCs w:val="22"/>
        </w:rPr>
        <w:t>Annual</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Report</w:t>
      </w:r>
      <w:proofErr w:type="spellEnd"/>
      <w:r w:rsidRPr="00200C4B">
        <w:rPr>
          <w:rFonts w:ascii="Arial" w:hAnsi="Arial" w:cs="Arial"/>
          <w:color w:val="000000"/>
          <w:sz w:val="22"/>
          <w:szCs w:val="22"/>
        </w:rPr>
        <w:t xml:space="preserve"> eleva esta cifra a 516.000 personas. En cualquier caso, el déficit es significativo, especialmente en México y Brasil.</w:t>
      </w:r>
    </w:p>
    <w:p w:rsidRPr="00200C4B" w:rsidR="00200C4B" w:rsidP="00200C4B" w:rsidRDefault="00200C4B" w14:paraId="58FC01A2"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Esta carencia dificulta que las empresas detecten amenazas, cumplan con las nuevas regulaciones y protejan los datos dentro de sus organizaciones.</w:t>
      </w:r>
    </w:p>
    <w:p w:rsidRPr="00200C4B" w:rsidR="00200C4B" w:rsidP="00200C4B" w:rsidRDefault="00200C4B" w14:paraId="56D78CAD" w14:textId="77777777">
      <w:pPr>
        <w:pStyle w:val="zw-paragraph"/>
        <w:spacing w:before="281" w:beforeAutospacing="0" w:after="281" w:afterAutospacing="0"/>
        <w:jc w:val="both"/>
        <w:rPr>
          <w:rFonts w:ascii="Arial" w:hAnsi="Arial" w:cs="Arial"/>
          <w:sz w:val="22"/>
          <w:szCs w:val="22"/>
        </w:rPr>
      </w:pPr>
      <w:r w:rsidRPr="00200C4B">
        <w:rPr>
          <w:rFonts w:ascii="Arial" w:hAnsi="Arial" w:cs="Arial"/>
          <w:b/>
          <w:bCs/>
          <w:color w:val="000000"/>
          <w:sz w:val="22"/>
          <w:szCs w:val="22"/>
        </w:rPr>
        <w:t>La solución: adoptar la arquitectura Zero Trust</w:t>
      </w:r>
    </w:p>
    <w:p w:rsidRPr="00200C4B" w:rsidR="00200C4B" w:rsidP="00200C4B" w:rsidRDefault="00200C4B" w14:paraId="263CA71C"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Dada la creciente superficie de ataque en América Latina, es fundamental que las organizaciones mantengan sus operaciones libres de violaciones de datos y ciberataques. La forma más efectiva de hacerlo es mediante la adopción de una infraestructura Zero Trust, en la que todos los usuarios, dispositivos y entidades que intenten acceder a la red corporativa se consideren no confiables por defecto.</w:t>
      </w:r>
    </w:p>
    <w:p w:rsidRPr="00200C4B" w:rsidR="00200C4B" w:rsidP="00200C4B" w:rsidRDefault="00200C4B" w14:paraId="7FE3A3FA"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El acceso solo debe otorgarse una vez que la identidad del usuario, dispositivo o entidad haya sido verificada y autenticada.</w:t>
      </w:r>
    </w:p>
    <w:p w:rsidRPr="00200C4B" w:rsidR="00200C4B" w:rsidP="00200C4B" w:rsidRDefault="00200C4B" w14:paraId="5B16A09C"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Además del principio “nunca confíes, siempre verifica”, Zero Trust implica un monitoreo continuo del tráfico de red, así como del comportamiento de usuarios y entidades. Todos los usuarios deben regirse bajo el principio del menor privilegio, es decir, solo tener acceso al mínimo necesario para cumplir sus tareas y por el tiempo indispensable.</w:t>
      </w:r>
    </w:p>
    <w:p w:rsidRPr="00200C4B" w:rsidR="00200C4B" w:rsidP="00200C4B" w:rsidRDefault="00200C4B" w14:paraId="0E1C6501" w14:textId="77777777">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Aunque no es un componente central del modelo, también se recomienda aplicar la minimización de datos: recolectar, procesar y almacenar únicamente la información estrictamente necesaria. Esto ayuda a reducir la superficie de ataque, fortalecer el cumplimiento normativo y alinear la estrategia Zero Trust con las nuevas leyes de protección de datos.</w:t>
      </w:r>
    </w:p>
    <w:p w:rsidRPr="00200C4B" w:rsidR="00200C4B" w:rsidP="00200C4B" w:rsidRDefault="00200C4B" w14:paraId="725B9327" w14:textId="77777777">
      <w:pPr>
        <w:pStyle w:val="zw-paragraph"/>
        <w:spacing w:before="281" w:beforeAutospacing="0" w:after="281" w:afterAutospacing="0"/>
        <w:jc w:val="both"/>
        <w:rPr>
          <w:rFonts w:ascii="Arial" w:hAnsi="Arial" w:cs="Arial"/>
          <w:sz w:val="22"/>
          <w:szCs w:val="22"/>
        </w:rPr>
      </w:pPr>
      <w:r w:rsidRPr="00200C4B">
        <w:rPr>
          <w:rFonts w:ascii="Arial" w:hAnsi="Arial" w:cs="Arial"/>
          <w:b/>
          <w:bCs/>
          <w:color w:val="000000"/>
          <w:sz w:val="22"/>
          <w:szCs w:val="22"/>
        </w:rPr>
        <w:t>Conclusiones</w:t>
      </w:r>
    </w:p>
    <w:p w:rsidRPr="00200C4B" w:rsidR="00200C4B" w:rsidP="00200C4B" w:rsidRDefault="00200C4B" w14:paraId="391EC76B" w14:textId="77777777">
      <w:pPr>
        <w:pStyle w:val="zw-paragraph"/>
        <w:spacing w:before="240" w:beforeAutospacing="0" w:after="240" w:afterAutospacing="0"/>
        <w:jc w:val="both"/>
        <w:rPr>
          <w:rFonts w:ascii="Arial" w:hAnsi="Arial" w:cs="Arial"/>
          <w:color w:val="000000"/>
          <w:sz w:val="22"/>
          <w:szCs w:val="22"/>
        </w:rPr>
      </w:pPr>
      <w:r w:rsidRPr="00200C4B">
        <w:rPr>
          <w:rFonts w:ascii="Arial" w:hAnsi="Arial" w:cs="Arial"/>
          <w:color w:val="000000"/>
          <w:sz w:val="22"/>
          <w:szCs w:val="22"/>
        </w:rPr>
        <w:t>Según el</w:t>
      </w:r>
      <w:hyperlink w:history="1" r:id="rId11">
        <w:r w:rsidRPr="00200C4B">
          <w:rPr>
            <w:rStyle w:val="Hipervnculo"/>
            <w:rFonts w:ascii="Arial" w:hAnsi="Arial" w:cs="Arial"/>
            <w:sz w:val="22"/>
            <w:szCs w:val="22"/>
          </w:rPr>
          <w:t> Informe del Banco Mundial</w:t>
        </w:r>
      </w:hyperlink>
      <w:r w:rsidRPr="00200C4B">
        <w:rPr>
          <w:rFonts w:ascii="Arial" w:hAnsi="Arial" w:cs="Arial"/>
          <w:color w:val="000000"/>
          <w:sz w:val="22"/>
          <w:szCs w:val="22"/>
        </w:rPr>
        <w:t xml:space="preserve"> sobre Economía de la Ciberseguridad en Mercados Emergentes, América Latina es la región del mundo con mayor crecimiento en ciberataques reportados: ha experimentado un aumento anual del 25% en la última </w:t>
      </w:r>
      <w:r w:rsidRPr="00200C4B">
        <w:rPr>
          <w:rFonts w:ascii="Arial" w:hAnsi="Arial" w:cs="Arial"/>
          <w:color w:val="000000"/>
          <w:sz w:val="22"/>
          <w:szCs w:val="22"/>
        </w:rPr>
        <w:lastRenderedPageBreak/>
        <w:t xml:space="preserve">década. Además, es la región menos protegida, con una puntuación promedio de </w:t>
      </w:r>
      <w:hyperlink w:history="1" r:id="rId12">
        <w:r w:rsidRPr="00200C4B">
          <w:rPr>
            <w:rStyle w:val="Hipervnculo"/>
            <w:rFonts w:ascii="Arial" w:hAnsi="Arial" w:cs="Arial"/>
            <w:sz w:val="22"/>
            <w:szCs w:val="22"/>
          </w:rPr>
          <w:t>10,2 sobre 20</w:t>
        </w:r>
      </w:hyperlink>
      <w:r w:rsidRPr="00200C4B">
        <w:rPr>
          <w:rFonts w:ascii="Arial" w:hAnsi="Arial" w:cs="Arial"/>
          <w:color w:val="000000"/>
          <w:sz w:val="22"/>
          <w:szCs w:val="22"/>
        </w:rPr>
        <w:t xml:space="preserve"> en ciberseguridad.</w:t>
      </w:r>
    </w:p>
    <w:p w:rsidRPr="00200C4B" w:rsidR="001F68D2" w:rsidP="00200C4B" w:rsidRDefault="00200C4B" w14:paraId="22A0FED4" w14:textId="3531232A">
      <w:pPr>
        <w:pStyle w:val="zw-paragraph"/>
        <w:spacing w:before="240" w:beforeAutospacing="0" w:after="240" w:afterAutospacing="0"/>
        <w:jc w:val="both"/>
        <w:rPr>
          <w:rFonts w:ascii="Arial" w:hAnsi="Arial" w:cs="Arial"/>
          <w:sz w:val="22"/>
          <w:szCs w:val="22"/>
        </w:rPr>
      </w:pPr>
      <w:r w:rsidRPr="00200C4B">
        <w:rPr>
          <w:rFonts w:ascii="Arial" w:hAnsi="Arial" w:cs="Arial"/>
          <w:color w:val="000000"/>
          <w:sz w:val="22"/>
          <w:szCs w:val="22"/>
        </w:rPr>
        <w:t xml:space="preserve">Esta situación, agravada por la </w:t>
      </w:r>
      <w:proofErr w:type="spellStart"/>
      <w:r w:rsidRPr="00200C4B">
        <w:rPr>
          <w:rFonts w:ascii="Arial" w:hAnsi="Arial" w:cs="Arial"/>
          <w:color w:val="000000"/>
          <w:sz w:val="22"/>
          <w:szCs w:val="22"/>
        </w:rPr>
        <w:t>falta</w:t>
      </w:r>
      <w:proofErr w:type="spellEnd"/>
      <w:r w:rsidRPr="00200C4B">
        <w:rPr>
          <w:rFonts w:ascii="Arial" w:hAnsi="Arial" w:cs="Arial"/>
          <w:color w:val="000000"/>
          <w:sz w:val="22"/>
          <w:szCs w:val="22"/>
        </w:rPr>
        <w:t xml:space="preserve"> de </w:t>
      </w:r>
      <w:proofErr w:type="spellStart"/>
      <w:r w:rsidRPr="00200C4B">
        <w:rPr>
          <w:rFonts w:ascii="Arial" w:hAnsi="Arial" w:cs="Arial"/>
          <w:color w:val="000000"/>
          <w:sz w:val="22"/>
          <w:szCs w:val="22"/>
        </w:rPr>
        <w:t>talento</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especializado</w:t>
      </w:r>
      <w:proofErr w:type="spellEnd"/>
      <w:r w:rsidRPr="00200C4B">
        <w:rPr>
          <w:rFonts w:ascii="Arial" w:hAnsi="Arial" w:cs="Arial"/>
          <w:color w:val="000000"/>
          <w:sz w:val="22"/>
          <w:szCs w:val="22"/>
        </w:rPr>
        <w:t xml:space="preserve">, las </w:t>
      </w:r>
      <w:proofErr w:type="spellStart"/>
      <w:r w:rsidRPr="00200C4B">
        <w:rPr>
          <w:rFonts w:ascii="Arial" w:hAnsi="Arial" w:cs="Arial"/>
          <w:color w:val="000000"/>
          <w:sz w:val="22"/>
          <w:szCs w:val="22"/>
        </w:rPr>
        <w:t>nuevas</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presiones</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regulatorias</w:t>
      </w:r>
      <w:proofErr w:type="spellEnd"/>
      <w:r w:rsidRPr="00200C4B">
        <w:rPr>
          <w:rFonts w:ascii="Arial" w:hAnsi="Arial" w:cs="Arial"/>
          <w:color w:val="000000"/>
          <w:sz w:val="22"/>
          <w:szCs w:val="22"/>
        </w:rPr>
        <w:t xml:space="preserve"> y </w:t>
      </w:r>
      <w:proofErr w:type="spellStart"/>
      <w:r w:rsidRPr="00200C4B">
        <w:rPr>
          <w:rFonts w:ascii="Arial" w:hAnsi="Arial" w:cs="Arial"/>
          <w:color w:val="000000"/>
          <w:sz w:val="22"/>
          <w:szCs w:val="22"/>
        </w:rPr>
        <w:t>una</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infraestructura</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aún</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en</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desarrollo</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hace</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que</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sea</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más</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urgente</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que</w:t>
      </w:r>
      <w:proofErr w:type="spellEnd"/>
      <w:r w:rsidRPr="00200C4B">
        <w:rPr>
          <w:rFonts w:ascii="Arial" w:hAnsi="Arial" w:cs="Arial"/>
          <w:color w:val="000000"/>
          <w:sz w:val="22"/>
          <w:szCs w:val="22"/>
        </w:rPr>
        <w:t xml:space="preserve"> nunca para las organizaciones en América Latina </w:t>
      </w:r>
      <w:proofErr w:type="spellStart"/>
      <w:r w:rsidRPr="00200C4B">
        <w:rPr>
          <w:rFonts w:ascii="Arial" w:hAnsi="Arial" w:cs="Arial"/>
          <w:color w:val="000000"/>
          <w:sz w:val="22"/>
          <w:szCs w:val="22"/>
        </w:rPr>
        <w:t>adoptar</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el</w:t>
      </w:r>
      <w:proofErr w:type="spellEnd"/>
      <w:r w:rsidRPr="00200C4B">
        <w:rPr>
          <w:rFonts w:ascii="Arial" w:hAnsi="Arial" w:cs="Arial"/>
          <w:color w:val="000000"/>
          <w:sz w:val="22"/>
          <w:szCs w:val="22"/>
        </w:rPr>
        <w:t xml:space="preserve"> </w:t>
      </w:r>
      <w:proofErr w:type="spellStart"/>
      <w:r w:rsidRPr="00200C4B">
        <w:rPr>
          <w:rFonts w:ascii="Arial" w:hAnsi="Arial" w:cs="Arial"/>
          <w:color w:val="000000"/>
          <w:sz w:val="22"/>
          <w:szCs w:val="22"/>
        </w:rPr>
        <w:t>modelo</w:t>
      </w:r>
      <w:proofErr w:type="spellEnd"/>
      <w:r w:rsidRPr="00200C4B">
        <w:rPr>
          <w:rFonts w:ascii="Arial" w:hAnsi="Arial" w:cs="Arial"/>
          <w:color w:val="000000"/>
          <w:sz w:val="22"/>
          <w:szCs w:val="22"/>
        </w:rPr>
        <w:t xml:space="preserve"> Zero Trust.</w:t>
      </w:r>
    </w:p>
    <w:p w:rsidRPr="00812EBE" w:rsidR="00812EBE" w:rsidP="00200C4B" w:rsidRDefault="00812EBE" w14:paraId="7B16EDF4" w14:textId="77777777">
      <w:pPr>
        <w:shd w:val="clear" w:color="auto" w:fill="FFFFFF"/>
        <w:ind w:right="-7"/>
        <w:jc w:val="both"/>
        <w:rPr>
          <w:rFonts w:ascii="Arial" w:hAnsi="Arial" w:eastAsia="Arial" w:cs="Arial"/>
          <w:b/>
          <w:sz w:val="20"/>
          <w:szCs w:val="20"/>
        </w:rPr>
      </w:pPr>
      <w:proofErr w:type="spellStart"/>
      <w:r w:rsidRPr="00812EBE">
        <w:rPr>
          <w:rFonts w:ascii="Arial" w:hAnsi="Arial" w:eastAsia="Arial" w:cs="Arial"/>
          <w:b/>
          <w:sz w:val="20"/>
          <w:szCs w:val="20"/>
        </w:rPr>
        <w:t>Acerca</w:t>
      </w:r>
      <w:proofErr w:type="spellEnd"/>
      <w:r w:rsidRPr="00812EBE">
        <w:rPr>
          <w:rFonts w:ascii="Arial" w:hAnsi="Arial" w:eastAsia="Arial" w:cs="Arial"/>
          <w:b/>
          <w:sz w:val="20"/>
          <w:szCs w:val="20"/>
        </w:rPr>
        <w:t xml:space="preserve"> de ManageEngine</w:t>
      </w:r>
    </w:p>
    <w:p w:rsidRPr="00AF2F6C" w:rsidR="00AF2F6C" w:rsidP="00200C4B" w:rsidRDefault="00812EBE" w14:paraId="67FF0324" w14:textId="35224CC5">
      <w:pPr>
        <w:shd w:val="clear" w:color="auto" w:fill="FFFFFF"/>
        <w:ind w:right="-7"/>
        <w:jc w:val="both"/>
        <w:rPr>
          <w:rFonts w:ascii="Arial" w:hAnsi="Arial" w:cs="Arial"/>
        </w:rPr>
      </w:pPr>
      <w:r w:rsidRPr="000A3938">
        <w:rPr>
          <w:rFonts w:ascii="Arial" w:hAnsi="Arial" w:eastAsia="Arial" w:cs="Arial"/>
          <w:sz w:val="18"/>
          <w:szCs w:val="18"/>
        </w:rPr>
        <w:t xml:space="preserve">ManageEngine es la </w:t>
      </w:r>
      <w:proofErr w:type="spellStart"/>
      <w:r w:rsidRPr="000A3938">
        <w:rPr>
          <w:rFonts w:ascii="Arial" w:hAnsi="Arial" w:eastAsia="Arial" w:cs="Arial"/>
          <w:sz w:val="18"/>
          <w:szCs w:val="18"/>
        </w:rPr>
        <w:t>división</w:t>
      </w:r>
      <w:proofErr w:type="spellEnd"/>
      <w:r w:rsidRPr="000A3938">
        <w:rPr>
          <w:rFonts w:ascii="Arial" w:hAnsi="Arial" w:eastAsia="Arial" w:cs="Arial"/>
          <w:sz w:val="18"/>
          <w:szCs w:val="18"/>
        </w:rPr>
        <w:t xml:space="preserve"> de </w:t>
      </w:r>
      <w:proofErr w:type="spellStart"/>
      <w:r w:rsidRPr="000A3938">
        <w:rPr>
          <w:rFonts w:ascii="Arial" w:hAnsi="Arial" w:eastAsia="Arial" w:cs="Arial"/>
          <w:sz w:val="18"/>
          <w:szCs w:val="18"/>
        </w:rPr>
        <w:t>gestión</w:t>
      </w:r>
      <w:proofErr w:type="spellEnd"/>
      <w:r w:rsidRPr="000A3938">
        <w:rPr>
          <w:rFonts w:ascii="Arial" w:hAnsi="Arial" w:eastAsia="Arial" w:cs="Arial"/>
          <w:sz w:val="18"/>
          <w:szCs w:val="18"/>
        </w:rPr>
        <w:t xml:space="preserve"> de TI </w:t>
      </w:r>
      <w:proofErr w:type="spellStart"/>
      <w:r w:rsidRPr="000A3938">
        <w:rPr>
          <w:rFonts w:ascii="Arial" w:hAnsi="Arial" w:eastAsia="Arial" w:cs="Arial"/>
          <w:sz w:val="18"/>
          <w:szCs w:val="18"/>
        </w:rPr>
        <w:t>empresarial</w:t>
      </w:r>
      <w:proofErr w:type="spellEnd"/>
      <w:r w:rsidRPr="000A3938">
        <w:rPr>
          <w:rFonts w:ascii="Arial" w:hAnsi="Arial" w:eastAsia="Arial" w:cs="Arial"/>
          <w:sz w:val="18"/>
          <w:szCs w:val="18"/>
        </w:rPr>
        <w:t xml:space="preserve"> de Zoho Corporation. Las </w:t>
      </w:r>
      <w:proofErr w:type="spellStart"/>
      <w:r w:rsidRPr="000A3938">
        <w:rPr>
          <w:rFonts w:ascii="Arial" w:hAnsi="Arial" w:eastAsia="Arial" w:cs="Arial"/>
          <w:sz w:val="18"/>
          <w:szCs w:val="18"/>
        </w:rPr>
        <w:t>empresas</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establecidas</w:t>
      </w:r>
      <w:proofErr w:type="spellEnd"/>
      <w:r w:rsidRPr="000A3938">
        <w:rPr>
          <w:rFonts w:ascii="Arial" w:hAnsi="Arial" w:eastAsia="Arial" w:cs="Arial"/>
          <w:sz w:val="18"/>
          <w:szCs w:val="18"/>
        </w:rPr>
        <w:t xml:space="preserve"> y </w:t>
      </w:r>
      <w:proofErr w:type="spellStart"/>
      <w:r w:rsidRPr="000A3938">
        <w:rPr>
          <w:rFonts w:ascii="Arial" w:hAnsi="Arial" w:eastAsia="Arial" w:cs="Arial"/>
          <w:sz w:val="18"/>
          <w:szCs w:val="18"/>
        </w:rPr>
        <w:t>emergentes</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incluyendo</w:t>
      </w:r>
      <w:proofErr w:type="spellEnd"/>
      <w:r w:rsidRPr="000A3938">
        <w:rPr>
          <w:rFonts w:ascii="Arial" w:hAnsi="Arial" w:eastAsia="Arial" w:cs="Arial"/>
          <w:sz w:val="18"/>
          <w:szCs w:val="18"/>
        </w:rPr>
        <w:t xml:space="preserve"> 9 de </w:t>
      </w:r>
      <w:proofErr w:type="spellStart"/>
      <w:r w:rsidRPr="000A3938">
        <w:rPr>
          <w:rFonts w:ascii="Arial" w:hAnsi="Arial" w:eastAsia="Arial" w:cs="Arial"/>
          <w:sz w:val="18"/>
          <w:szCs w:val="18"/>
        </w:rPr>
        <w:t>cada</w:t>
      </w:r>
      <w:proofErr w:type="spellEnd"/>
      <w:r w:rsidRPr="000A3938">
        <w:rPr>
          <w:rFonts w:ascii="Arial" w:hAnsi="Arial" w:eastAsia="Arial" w:cs="Arial"/>
          <w:sz w:val="18"/>
          <w:szCs w:val="18"/>
        </w:rPr>
        <w:t xml:space="preserve"> 10 </w:t>
      </w:r>
      <w:proofErr w:type="spellStart"/>
      <w:r w:rsidRPr="000A3938">
        <w:rPr>
          <w:rFonts w:ascii="Arial" w:hAnsi="Arial" w:eastAsia="Arial" w:cs="Arial"/>
          <w:sz w:val="18"/>
          <w:szCs w:val="18"/>
        </w:rPr>
        <w:t>organizaciones</w:t>
      </w:r>
      <w:proofErr w:type="spellEnd"/>
      <w:r w:rsidRPr="000A3938">
        <w:rPr>
          <w:rFonts w:ascii="Arial" w:hAnsi="Arial" w:eastAsia="Arial" w:cs="Arial"/>
          <w:sz w:val="18"/>
          <w:szCs w:val="18"/>
        </w:rPr>
        <w:t xml:space="preserve"> de la </w:t>
      </w:r>
      <w:proofErr w:type="spellStart"/>
      <w:r w:rsidRPr="000A3938">
        <w:rPr>
          <w:rFonts w:ascii="Arial" w:hAnsi="Arial" w:eastAsia="Arial" w:cs="Arial"/>
          <w:sz w:val="18"/>
          <w:szCs w:val="18"/>
        </w:rPr>
        <w:t>lista</w:t>
      </w:r>
      <w:proofErr w:type="spellEnd"/>
      <w:r w:rsidRPr="000A3938">
        <w:rPr>
          <w:rFonts w:ascii="Arial" w:hAnsi="Arial" w:eastAsia="Arial" w:cs="Arial"/>
          <w:sz w:val="18"/>
          <w:szCs w:val="18"/>
        </w:rPr>
        <w:t xml:space="preserve"> Fortune 100- </w:t>
      </w:r>
      <w:proofErr w:type="spellStart"/>
      <w:r w:rsidRPr="000A3938">
        <w:rPr>
          <w:rFonts w:ascii="Arial" w:hAnsi="Arial" w:eastAsia="Arial" w:cs="Arial"/>
          <w:sz w:val="18"/>
          <w:szCs w:val="18"/>
        </w:rPr>
        <w:t>confían</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en</w:t>
      </w:r>
      <w:proofErr w:type="spellEnd"/>
      <w:r w:rsidRPr="000A3938">
        <w:rPr>
          <w:rFonts w:ascii="Arial" w:hAnsi="Arial" w:eastAsia="Arial" w:cs="Arial"/>
          <w:sz w:val="18"/>
          <w:szCs w:val="18"/>
        </w:rPr>
        <w:t xml:space="preserve"> las </w:t>
      </w:r>
      <w:proofErr w:type="spellStart"/>
      <w:r w:rsidRPr="000A3938">
        <w:rPr>
          <w:rFonts w:ascii="Arial" w:hAnsi="Arial" w:eastAsia="Arial" w:cs="Arial"/>
          <w:sz w:val="18"/>
          <w:szCs w:val="18"/>
        </w:rPr>
        <w:t>herramientas</w:t>
      </w:r>
      <w:proofErr w:type="spellEnd"/>
      <w:r w:rsidRPr="000A3938">
        <w:rPr>
          <w:rFonts w:ascii="Arial" w:hAnsi="Arial" w:eastAsia="Arial" w:cs="Arial"/>
          <w:sz w:val="18"/>
          <w:szCs w:val="18"/>
        </w:rPr>
        <w:t xml:space="preserve"> de </w:t>
      </w:r>
      <w:proofErr w:type="spellStart"/>
      <w:r w:rsidRPr="000A3938">
        <w:rPr>
          <w:rFonts w:ascii="Arial" w:hAnsi="Arial" w:eastAsia="Arial" w:cs="Arial"/>
          <w:sz w:val="18"/>
          <w:szCs w:val="18"/>
        </w:rPr>
        <w:t>gestión</w:t>
      </w:r>
      <w:proofErr w:type="spellEnd"/>
      <w:r w:rsidRPr="000A3938">
        <w:rPr>
          <w:rFonts w:ascii="Arial" w:hAnsi="Arial" w:eastAsia="Arial" w:cs="Arial"/>
          <w:sz w:val="18"/>
          <w:szCs w:val="18"/>
        </w:rPr>
        <w:t xml:space="preserve"> de TI </w:t>
      </w:r>
      <w:proofErr w:type="spellStart"/>
      <w:r w:rsidRPr="000A3938">
        <w:rPr>
          <w:rFonts w:ascii="Arial" w:hAnsi="Arial" w:eastAsia="Arial" w:cs="Arial"/>
          <w:sz w:val="18"/>
          <w:szCs w:val="18"/>
        </w:rPr>
        <w:t>en</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tiempo</w:t>
      </w:r>
      <w:proofErr w:type="spellEnd"/>
      <w:r w:rsidRPr="000A3938">
        <w:rPr>
          <w:rFonts w:ascii="Arial" w:hAnsi="Arial" w:eastAsia="Arial" w:cs="Arial"/>
          <w:sz w:val="18"/>
          <w:szCs w:val="18"/>
        </w:rPr>
        <w:t xml:space="preserve"> real de ManageEngine para </w:t>
      </w:r>
      <w:proofErr w:type="spellStart"/>
      <w:r w:rsidRPr="000A3938">
        <w:rPr>
          <w:rFonts w:ascii="Arial" w:hAnsi="Arial" w:eastAsia="Arial" w:cs="Arial"/>
          <w:sz w:val="18"/>
          <w:szCs w:val="18"/>
        </w:rPr>
        <w:t>asegurar</w:t>
      </w:r>
      <w:proofErr w:type="spellEnd"/>
      <w:r w:rsidRPr="000A3938">
        <w:rPr>
          <w:rFonts w:ascii="Arial" w:hAnsi="Arial" w:eastAsia="Arial" w:cs="Arial"/>
          <w:sz w:val="18"/>
          <w:szCs w:val="18"/>
        </w:rPr>
        <w:t xml:space="preserve"> un </w:t>
      </w:r>
      <w:proofErr w:type="spellStart"/>
      <w:r w:rsidRPr="000A3938">
        <w:rPr>
          <w:rFonts w:ascii="Arial" w:hAnsi="Arial" w:eastAsia="Arial" w:cs="Arial"/>
          <w:sz w:val="18"/>
          <w:szCs w:val="18"/>
        </w:rPr>
        <w:t>rendimiento</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óptimo</w:t>
      </w:r>
      <w:proofErr w:type="spellEnd"/>
      <w:r w:rsidRPr="000A3938">
        <w:rPr>
          <w:rFonts w:ascii="Arial" w:hAnsi="Arial" w:eastAsia="Arial" w:cs="Arial"/>
          <w:sz w:val="18"/>
          <w:szCs w:val="18"/>
        </w:rPr>
        <w:t xml:space="preserve"> de </w:t>
      </w:r>
      <w:proofErr w:type="spellStart"/>
      <w:r w:rsidRPr="000A3938">
        <w:rPr>
          <w:rFonts w:ascii="Arial" w:hAnsi="Arial" w:eastAsia="Arial" w:cs="Arial"/>
          <w:sz w:val="18"/>
          <w:szCs w:val="18"/>
        </w:rPr>
        <w:t>su</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infraestructura</w:t>
      </w:r>
      <w:proofErr w:type="spellEnd"/>
      <w:r w:rsidRPr="000A3938">
        <w:rPr>
          <w:rFonts w:ascii="Arial" w:hAnsi="Arial" w:eastAsia="Arial" w:cs="Arial"/>
          <w:sz w:val="18"/>
          <w:szCs w:val="18"/>
        </w:rPr>
        <w:t xml:space="preserve"> de TI, </w:t>
      </w:r>
      <w:proofErr w:type="spellStart"/>
      <w:r w:rsidRPr="000A3938">
        <w:rPr>
          <w:rFonts w:ascii="Arial" w:hAnsi="Arial" w:eastAsia="Arial" w:cs="Arial"/>
          <w:sz w:val="18"/>
          <w:szCs w:val="18"/>
        </w:rPr>
        <w:t>incluyendo</w:t>
      </w:r>
      <w:proofErr w:type="spellEnd"/>
      <w:r w:rsidRPr="000A3938">
        <w:rPr>
          <w:rFonts w:ascii="Arial" w:hAnsi="Arial" w:eastAsia="Arial" w:cs="Arial"/>
          <w:sz w:val="18"/>
          <w:szCs w:val="18"/>
        </w:rPr>
        <w:t xml:space="preserve"> redes, </w:t>
      </w:r>
      <w:proofErr w:type="spellStart"/>
      <w:r w:rsidRPr="000A3938">
        <w:rPr>
          <w:rFonts w:ascii="Arial" w:hAnsi="Arial" w:eastAsia="Arial" w:cs="Arial"/>
          <w:sz w:val="18"/>
          <w:szCs w:val="18"/>
        </w:rPr>
        <w:t>servidores</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aplicaciones</w:t>
      </w:r>
      <w:proofErr w:type="spellEnd"/>
      <w:r w:rsidRPr="000A3938">
        <w:rPr>
          <w:rFonts w:ascii="Arial" w:hAnsi="Arial" w:eastAsia="Arial" w:cs="Arial"/>
          <w:sz w:val="18"/>
          <w:szCs w:val="18"/>
        </w:rPr>
        <w:t xml:space="preserve">, puntos finales y </w:t>
      </w:r>
      <w:proofErr w:type="spellStart"/>
      <w:r w:rsidRPr="000A3938">
        <w:rPr>
          <w:rFonts w:ascii="Arial" w:hAnsi="Arial" w:eastAsia="Arial" w:cs="Arial"/>
          <w:sz w:val="18"/>
          <w:szCs w:val="18"/>
        </w:rPr>
        <w:t>más</w:t>
      </w:r>
      <w:proofErr w:type="spellEnd"/>
      <w:r w:rsidRPr="000A3938">
        <w:rPr>
          <w:rFonts w:ascii="Arial" w:hAnsi="Arial" w:eastAsia="Arial" w:cs="Arial"/>
          <w:sz w:val="18"/>
          <w:szCs w:val="18"/>
        </w:rPr>
        <w:t xml:space="preserve">. ManageEngine </w:t>
      </w:r>
      <w:proofErr w:type="spellStart"/>
      <w:r w:rsidRPr="000A3938">
        <w:rPr>
          <w:rFonts w:ascii="Arial" w:hAnsi="Arial" w:eastAsia="Arial" w:cs="Arial"/>
          <w:sz w:val="18"/>
          <w:szCs w:val="18"/>
        </w:rPr>
        <w:t>tiene</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oficinas</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en</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todo</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el</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mundo</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incluyendo</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los</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Estados</w:t>
      </w:r>
      <w:proofErr w:type="spellEnd"/>
      <w:r w:rsidRPr="000A3938">
        <w:rPr>
          <w:rFonts w:ascii="Arial" w:hAnsi="Arial" w:eastAsia="Arial" w:cs="Arial"/>
          <w:sz w:val="18"/>
          <w:szCs w:val="18"/>
        </w:rPr>
        <w:t xml:space="preserve"> Unidos, </w:t>
      </w:r>
      <w:proofErr w:type="spellStart"/>
      <w:r w:rsidRPr="000A3938">
        <w:rPr>
          <w:rFonts w:ascii="Arial" w:hAnsi="Arial" w:eastAsia="Arial" w:cs="Arial"/>
          <w:sz w:val="18"/>
          <w:szCs w:val="18"/>
        </w:rPr>
        <w:t>los</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Emiratos</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Árabes</w:t>
      </w:r>
      <w:proofErr w:type="spellEnd"/>
      <w:r w:rsidRPr="000A3938">
        <w:rPr>
          <w:rFonts w:ascii="Arial" w:hAnsi="Arial" w:eastAsia="Arial" w:cs="Arial"/>
          <w:sz w:val="18"/>
          <w:szCs w:val="18"/>
        </w:rPr>
        <w:t xml:space="preserve"> Unidos, </w:t>
      </w:r>
      <w:proofErr w:type="spellStart"/>
      <w:r w:rsidRPr="000A3938">
        <w:rPr>
          <w:rFonts w:ascii="Arial" w:hAnsi="Arial" w:eastAsia="Arial" w:cs="Arial"/>
          <w:sz w:val="18"/>
          <w:szCs w:val="18"/>
        </w:rPr>
        <w:t>los</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Países</w:t>
      </w:r>
      <w:proofErr w:type="spellEnd"/>
      <w:r w:rsidRPr="000A3938">
        <w:rPr>
          <w:rFonts w:ascii="Arial" w:hAnsi="Arial" w:eastAsia="Arial" w:cs="Arial"/>
          <w:sz w:val="18"/>
          <w:szCs w:val="18"/>
        </w:rPr>
        <w:t xml:space="preserve"> Bajos, la India, Colombia, México, </w:t>
      </w:r>
      <w:proofErr w:type="spellStart"/>
      <w:r w:rsidRPr="000A3938">
        <w:rPr>
          <w:rFonts w:ascii="Arial" w:hAnsi="Arial" w:eastAsia="Arial" w:cs="Arial"/>
          <w:sz w:val="18"/>
          <w:szCs w:val="18"/>
        </w:rPr>
        <w:t>Brasil</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Singapur</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Japón</w:t>
      </w:r>
      <w:proofErr w:type="spellEnd"/>
      <w:r w:rsidRPr="000A3938">
        <w:rPr>
          <w:rFonts w:ascii="Arial" w:hAnsi="Arial" w:eastAsia="Arial" w:cs="Arial"/>
          <w:sz w:val="18"/>
          <w:szCs w:val="18"/>
        </w:rPr>
        <w:t xml:space="preserve">, China y Australia, </w:t>
      </w:r>
      <w:proofErr w:type="spellStart"/>
      <w:r w:rsidRPr="000A3938">
        <w:rPr>
          <w:rFonts w:ascii="Arial" w:hAnsi="Arial" w:eastAsia="Arial" w:cs="Arial"/>
          <w:sz w:val="18"/>
          <w:szCs w:val="18"/>
        </w:rPr>
        <w:t>así</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como</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más</w:t>
      </w:r>
      <w:proofErr w:type="spellEnd"/>
      <w:r w:rsidRPr="000A3938">
        <w:rPr>
          <w:rFonts w:ascii="Arial" w:hAnsi="Arial" w:eastAsia="Arial" w:cs="Arial"/>
          <w:sz w:val="18"/>
          <w:szCs w:val="18"/>
        </w:rPr>
        <w:t xml:space="preserve"> de 200 </w:t>
      </w:r>
      <w:proofErr w:type="spellStart"/>
      <w:r w:rsidRPr="000A3938">
        <w:rPr>
          <w:rFonts w:ascii="Arial" w:hAnsi="Arial" w:eastAsia="Arial" w:cs="Arial"/>
          <w:sz w:val="18"/>
          <w:szCs w:val="18"/>
        </w:rPr>
        <w:t>socios</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globales</w:t>
      </w:r>
      <w:proofErr w:type="spellEnd"/>
      <w:r w:rsidRPr="000A3938">
        <w:rPr>
          <w:rFonts w:ascii="Arial" w:hAnsi="Arial" w:eastAsia="Arial" w:cs="Arial"/>
          <w:sz w:val="18"/>
          <w:szCs w:val="18"/>
        </w:rPr>
        <w:t xml:space="preserve"> para </w:t>
      </w:r>
      <w:proofErr w:type="spellStart"/>
      <w:r w:rsidRPr="000A3938">
        <w:rPr>
          <w:rFonts w:ascii="Arial" w:hAnsi="Arial" w:eastAsia="Arial" w:cs="Arial"/>
          <w:sz w:val="18"/>
          <w:szCs w:val="18"/>
        </w:rPr>
        <w:t>ayudar</w:t>
      </w:r>
      <w:proofErr w:type="spellEnd"/>
      <w:r w:rsidRPr="000A3938">
        <w:rPr>
          <w:rFonts w:ascii="Arial" w:hAnsi="Arial" w:eastAsia="Arial" w:cs="Arial"/>
          <w:sz w:val="18"/>
          <w:szCs w:val="18"/>
        </w:rPr>
        <w:t xml:space="preserve"> a las </w:t>
      </w:r>
      <w:proofErr w:type="spellStart"/>
      <w:r w:rsidRPr="000A3938">
        <w:rPr>
          <w:rFonts w:ascii="Arial" w:hAnsi="Arial" w:eastAsia="Arial" w:cs="Arial"/>
          <w:sz w:val="18"/>
          <w:szCs w:val="18"/>
        </w:rPr>
        <w:t>organizaciones</w:t>
      </w:r>
      <w:proofErr w:type="spellEnd"/>
      <w:r w:rsidRPr="000A3938">
        <w:rPr>
          <w:rFonts w:ascii="Arial" w:hAnsi="Arial" w:eastAsia="Arial" w:cs="Arial"/>
          <w:sz w:val="18"/>
          <w:szCs w:val="18"/>
        </w:rPr>
        <w:t xml:space="preserve"> </w:t>
      </w:r>
      <w:proofErr w:type="gramStart"/>
      <w:r w:rsidRPr="000A3938">
        <w:rPr>
          <w:rFonts w:ascii="Arial" w:hAnsi="Arial" w:eastAsia="Arial" w:cs="Arial"/>
          <w:sz w:val="18"/>
          <w:szCs w:val="18"/>
        </w:rPr>
        <w:t>a</w:t>
      </w:r>
      <w:proofErr w:type="gramEnd"/>
      <w:r w:rsidRPr="000A3938">
        <w:rPr>
          <w:rFonts w:ascii="Arial" w:hAnsi="Arial" w:eastAsia="Arial" w:cs="Arial"/>
          <w:sz w:val="18"/>
          <w:szCs w:val="18"/>
        </w:rPr>
        <w:t xml:space="preserve"> </w:t>
      </w:r>
      <w:proofErr w:type="spellStart"/>
      <w:r w:rsidRPr="000A3938">
        <w:rPr>
          <w:rFonts w:ascii="Arial" w:hAnsi="Arial" w:eastAsia="Arial" w:cs="Arial"/>
          <w:sz w:val="18"/>
          <w:szCs w:val="18"/>
        </w:rPr>
        <w:t>alinear</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estrechamente</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su</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negocio</w:t>
      </w:r>
      <w:proofErr w:type="spellEnd"/>
      <w:r w:rsidRPr="000A3938">
        <w:rPr>
          <w:rFonts w:ascii="Arial" w:hAnsi="Arial" w:eastAsia="Arial" w:cs="Arial"/>
          <w:sz w:val="18"/>
          <w:szCs w:val="18"/>
        </w:rPr>
        <w:t xml:space="preserve"> y TI. Para </w:t>
      </w:r>
      <w:proofErr w:type="spellStart"/>
      <w:r w:rsidRPr="000A3938">
        <w:rPr>
          <w:rFonts w:ascii="Arial" w:hAnsi="Arial" w:eastAsia="Arial" w:cs="Arial"/>
          <w:sz w:val="18"/>
          <w:szCs w:val="18"/>
        </w:rPr>
        <w:t>más</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información</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visite</w:t>
      </w:r>
      <w:proofErr w:type="spellEnd"/>
      <w:r w:rsidRPr="000A3938">
        <w:rPr>
          <w:rFonts w:ascii="Arial" w:hAnsi="Arial" w:cs="Arial"/>
          <w:sz w:val="18"/>
          <w:szCs w:val="18"/>
        </w:rPr>
        <w:fldChar w:fldCharType="begin"/>
      </w:r>
      <w:r w:rsidRPr="000A3938">
        <w:rPr>
          <w:rFonts w:ascii="Arial" w:hAnsi="Arial" w:cs="Arial"/>
          <w:sz w:val="18"/>
          <w:szCs w:val="18"/>
        </w:rPr>
        <w:instrText>HYPERLINK "https://www.manageengine.com/latam/" \h</w:instrText>
      </w:r>
      <w:r w:rsidRPr="000A3938">
        <w:rPr>
          <w:rFonts w:ascii="Arial" w:hAnsi="Arial" w:cs="Arial"/>
          <w:sz w:val="18"/>
          <w:szCs w:val="18"/>
        </w:rPr>
      </w:r>
      <w:r w:rsidRPr="000A3938">
        <w:rPr>
          <w:rFonts w:ascii="Arial" w:hAnsi="Arial" w:cs="Arial"/>
          <w:sz w:val="18"/>
          <w:szCs w:val="18"/>
        </w:rPr>
        <w:fldChar w:fldCharType="separate"/>
      </w:r>
      <w:r w:rsidRPr="000A3938">
        <w:rPr>
          <w:rFonts w:ascii="Arial" w:hAnsi="Arial" w:eastAsia="Arial" w:cs="Arial"/>
          <w:sz w:val="18"/>
          <w:szCs w:val="18"/>
        </w:rPr>
        <w:t xml:space="preserve"> </w:t>
      </w:r>
      <w:r w:rsidRPr="000A3938">
        <w:rPr>
          <w:rFonts w:ascii="Arial" w:hAnsi="Arial" w:cs="Arial"/>
          <w:sz w:val="18"/>
          <w:szCs w:val="18"/>
        </w:rPr>
        <w:fldChar w:fldCharType="end"/>
      </w:r>
      <w:hyperlink r:id="rId13">
        <w:r w:rsidRPr="000A3938">
          <w:rPr>
            <w:rFonts w:ascii="Arial" w:hAnsi="Arial" w:eastAsia="Arial" w:cs="Arial"/>
            <w:color w:val="0000FF"/>
            <w:sz w:val="18"/>
            <w:szCs w:val="18"/>
            <w:u w:val="single"/>
          </w:rPr>
          <w:t>manageengine.com/</w:t>
        </w:r>
        <w:proofErr w:type="spellStart"/>
        <w:r w:rsidRPr="000A3938">
          <w:rPr>
            <w:rFonts w:ascii="Arial" w:hAnsi="Arial" w:eastAsia="Arial" w:cs="Arial"/>
            <w:color w:val="0000FF"/>
            <w:sz w:val="18"/>
            <w:szCs w:val="18"/>
            <w:u w:val="single"/>
          </w:rPr>
          <w:t>latam</w:t>
        </w:r>
        <w:proofErr w:type="spellEnd"/>
      </w:hyperlink>
      <w:r w:rsidRPr="000A3938">
        <w:rPr>
          <w:rFonts w:ascii="Arial" w:hAnsi="Arial" w:eastAsia="Arial" w:cs="Arial"/>
          <w:sz w:val="18"/>
          <w:szCs w:val="18"/>
        </w:rPr>
        <w:t xml:space="preserve">, </w:t>
      </w:r>
      <w:proofErr w:type="spellStart"/>
      <w:r w:rsidRPr="000A3938">
        <w:rPr>
          <w:rFonts w:ascii="Arial" w:hAnsi="Arial" w:eastAsia="Arial" w:cs="Arial"/>
          <w:sz w:val="18"/>
          <w:szCs w:val="18"/>
        </w:rPr>
        <w:t>siga</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el</w:t>
      </w:r>
      <w:proofErr w:type="spellEnd"/>
      <w:r w:rsidRPr="000A3938">
        <w:rPr>
          <w:rFonts w:ascii="Arial" w:hAnsi="Arial" w:cs="Arial"/>
          <w:sz w:val="18"/>
          <w:szCs w:val="18"/>
        </w:rPr>
        <w:fldChar w:fldCharType="begin"/>
      </w:r>
      <w:r w:rsidRPr="000A3938">
        <w:rPr>
          <w:rFonts w:ascii="Arial" w:hAnsi="Arial" w:cs="Arial"/>
          <w:sz w:val="18"/>
          <w:szCs w:val="18"/>
        </w:rPr>
        <w:instrText>HYPERLINK "http://blogs.manageengine.com/espanol" \h</w:instrText>
      </w:r>
      <w:r w:rsidRPr="000A3938">
        <w:rPr>
          <w:rFonts w:ascii="Arial" w:hAnsi="Arial" w:cs="Arial"/>
          <w:sz w:val="18"/>
          <w:szCs w:val="18"/>
        </w:rPr>
      </w:r>
      <w:r w:rsidRPr="000A3938">
        <w:rPr>
          <w:rFonts w:ascii="Arial" w:hAnsi="Arial" w:cs="Arial"/>
          <w:sz w:val="18"/>
          <w:szCs w:val="18"/>
        </w:rPr>
        <w:fldChar w:fldCharType="separate"/>
      </w:r>
      <w:r w:rsidRPr="000A3938">
        <w:rPr>
          <w:rFonts w:ascii="Arial" w:hAnsi="Arial" w:eastAsia="Arial" w:cs="Arial"/>
          <w:sz w:val="18"/>
          <w:szCs w:val="18"/>
        </w:rPr>
        <w:t xml:space="preserve"> </w:t>
      </w:r>
      <w:r w:rsidRPr="000A3938">
        <w:rPr>
          <w:rFonts w:ascii="Arial" w:hAnsi="Arial" w:cs="Arial"/>
          <w:sz w:val="18"/>
          <w:szCs w:val="18"/>
        </w:rPr>
        <w:fldChar w:fldCharType="end"/>
      </w:r>
      <w:hyperlink r:id="rId14">
        <w:r w:rsidRPr="000A3938">
          <w:rPr>
            <w:rFonts w:ascii="Arial" w:hAnsi="Arial" w:eastAsia="Arial" w:cs="Arial"/>
            <w:color w:val="0000FF"/>
            <w:sz w:val="18"/>
            <w:szCs w:val="18"/>
            <w:u w:val="single"/>
          </w:rPr>
          <w:t xml:space="preserve">blog de la </w:t>
        </w:r>
        <w:proofErr w:type="spellStart"/>
        <w:r w:rsidRPr="000A3938">
          <w:rPr>
            <w:rFonts w:ascii="Arial" w:hAnsi="Arial" w:eastAsia="Arial" w:cs="Arial"/>
            <w:color w:val="0000FF"/>
            <w:sz w:val="18"/>
            <w:szCs w:val="18"/>
            <w:u w:val="single"/>
          </w:rPr>
          <w:t>empresa</w:t>
        </w:r>
        <w:proofErr w:type="spellEnd"/>
      </w:hyperlink>
      <w:r w:rsidRPr="000A3938">
        <w:rPr>
          <w:rFonts w:ascii="Arial" w:hAnsi="Arial" w:eastAsia="Arial" w:cs="Arial"/>
          <w:sz w:val="18"/>
          <w:szCs w:val="18"/>
        </w:rPr>
        <w:t xml:space="preserve"> y </w:t>
      </w:r>
      <w:proofErr w:type="spellStart"/>
      <w:r w:rsidRPr="000A3938">
        <w:rPr>
          <w:rFonts w:ascii="Arial" w:hAnsi="Arial" w:eastAsia="Arial" w:cs="Arial"/>
          <w:sz w:val="18"/>
          <w:szCs w:val="18"/>
        </w:rPr>
        <w:t>conéctese</w:t>
      </w:r>
      <w:proofErr w:type="spellEnd"/>
      <w:r w:rsidRPr="000A3938">
        <w:rPr>
          <w:rFonts w:ascii="Arial" w:hAnsi="Arial" w:eastAsia="Arial" w:cs="Arial"/>
          <w:sz w:val="18"/>
          <w:szCs w:val="18"/>
        </w:rPr>
        <w:t xml:space="preserve"> </w:t>
      </w:r>
      <w:proofErr w:type="spellStart"/>
      <w:r w:rsidRPr="000A3938">
        <w:rPr>
          <w:rFonts w:ascii="Arial" w:hAnsi="Arial" w:eastAsia="Arial" w:cs="Arial"/>
          <w:sz w:val="18"/>
          <w:szCs w:val="18"/>
        </w:rPr>
        <w:t>en</w:t>
      </w:r>
      <w:proofErr w:type="spellEnd"/>
      <w:hyperlink r:id="rId15">
        <w:r w:rsidRPr="000A3938">
          <w:rPr>
            <w:rFonts w:ascii="Arial" w:hAnsi="Arial" w:eastAsia="Arial" w:cs="Arial"/>
            <w:sz w:val="18"/>
            <w:szCs w:val="18"/>
          </w:rPr>
          <w:t xml:space="preserve"> </w:t>
        </w:r>
      </w:hyperlink>
      <w:hyperlink r:id="rId16">
        <w:r w:rsidRPr="000A3938">
          <w:rPr>
            <w:rFonts w:ascii="Arial" w:hAnsi="Arial" w:eastAsia="Arial" w:cs="Arial"/>
            <w:color w:val="0000FF"/>
            <w:sz w:val="18"/>
            <w:szCs w:val="18"/>
            <w:u w:val="single"/>
          </w:rPr>
          <w:t>Instagram</w:t>
        </w:r>
      </w:hyperlink>
      <w:r w:rsidRPr="000A3938">
        <w:rPr>
          <w:rFonts w:ascii="Arial" w:hAnsi="Arial" w:eastAsia="Arial" w:cs="Arial"/>
          <w:sz w:val="18"/>
          <w:szCs w:val="18"/>
        </w:rPr>
        <w:t>,</w:t>
      </w:r>
      <w:hyperlink r:id="rId17">
        <w:r w:rsidRPr="000A3938">
          <w:rPr>
            <w:rFonts w:ascii="Arial" w:hAnsi="Arial" w:eastAsia="Arial" w:cs="Arial"/>
            <w:sz w:val="18"/>
            <w:szCs w:val="18"/>
          </w:rPr>
          <w:t xml:space="preserve"> </w:t>
        </w:r>
      </w:hyperlink>
      <w:hyperlink r:id="rId18">
        <w:r w:rsidRPr="000A3938">
          <w:rPr>
            <w:rFonts w:ascii="Arial" w:hAnsi="Arial" w:eastAsia="Arial" w:cs="Arial"/>
            <w:color w:val="0000FF"/>
            <w:sz w:val="18"/>
            <w:szCs w:val="18"/>
            <w:u w:val="single"/>
          </w:rPr>
          <w:t>LinkedIn</w:t>
        </w:r>
      </w:hyperlink>
      <w:r w:rsidRPr="000A3938">
        <w:rPr>
          <w:rFonts w:ascii="Arial" w:hAnsi="Arial" w:eastAsia="Arial" w:cs="Arial"/>
          <w:sz w:val="18"/>
          <w:szCs w:val="18"/>
        </w:rPr>
        <w:t>,</w:t>
      </w:r>
      <w:hyperlink r:id="rId19">
        <w:r w:rsidRPr="000A3938">
          <w:rPr>
            <w:rFonts w:ascii="Arial" w:hAnsi="Arial" w:eastAsia="Arial" w:cs="Arial"/>
            <w:sz w:val="18"/>
            <w:szCs w:val="18"/>
          </w:rPr>
          <w:t xml:space="preserve"> </w:t>
        </w:r>
      </w:hyperlink>
      <w:hyperlink r:id="rId20">
        <w:r w:rsidRPr="000A3938">
          <w:rPr>
            <w:rFonts w:ascii="Arial" w:hAnsi="Arial" w:eastAsia="Arial" w:cs="Arial"/>
            <w:color w:val="0000FF"/>
            <w:sz w:val="18"/>
            <w:szCs w:val="18"/>
            <w:u w:val="single"/>
          </w:rPr>
          <w:t>Facebook</w:t>
        </w:r>
      </w:hyperlink>
      <w:r w:rsidRPr="000A3938">
        <w:rPr>
          <w:rFonts w:ascii="Arial" w:hAnsi="Arial" w:eastAsia="Arial" w:cs="Arial"/>
          <w:sz w:val="18"/>
          <w:szCs w:val="18"/>
        </w:rPr>
        <w:t xml:space="preserve">  y</w:t>
      </w:r>
      <w:hyperlink r:id="rId21">
        <w:r w:rsidRPr="000A3938">
          <w:rPr>
            <w:rFonts w:ascii="Arial" w:hAnsi="Arial" w:eastAsia="Arial" w:cs="Arial"/>
            <w:sz w:val="18"/>
            <w:szCs w:val="18"/>
          </w:rPr>
          <w:t xml:space="preserve"> </w:t>
        </w:r>
      </w:hyperlink>
      <w:hyperlink r:id="rId22">
        <w:r w:rsidRPr="000A3938">
          <w:rPr>
            <w:rFonts w:ascii="Arial" w:hAnsi="Arial" w:eastAsia="Arial" w:cs="Arial"/>
            <w:color w:val="0000FF"/>
            <w:sz w:val="18"/>
            <w:szCs w:val="18"/>
            <w:u w:val="single"/>
          </w:rPr>
          <w:t>Twitter</w:t>
        </w:r>
      </w:hyperlink>
      <w:r w:rsidR="000A3938">
        <w:rPr>
          <w:rFonts w:ascii="Arial" w:hAnsi="Arial" w:eastAsia="Arial" w:cs="Arial"/>
          <w:sz w:val="18"/>
          <w:szCs w:val="18"/>
        </w:rPr>
        <w:t>.</w:t>
      </w:r>
    </w:p>
    <w:sectPr w:rsidRPr="00AF2F6C" w:rsidR="00AF2F6C" w:rsidSect="00034616">
      <w:headerReference w:type="default" r:id="rId23"/>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4FD" w:rsidP="00812EBE" w:rsidRDefault="00B224FD" w14:paraId="68F91102" w14:textId="77777777">
      <w:pPr>
        <w:spacing w:after="0" w:line="240" w:lineRule="auto"/>
      </w:pPr>
      <w:r>
        <w:separator/>
      </w:r>
    </w:p>
  </w:endnote>
  <w:endnote w:type="continuationSeparator" w:id="0">
    <w:p w:rsidR="00B224FD" w:rsidP="00812EBE" w:rsidRDefault="00B224FD" w14:paraId="6393BA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4FD" w:rsidP="00812EBE" w:rsidRDefault="00B224FD" w14:paraId="3F2C37C1" w14:textId="77777777">
      <w:pPr>
        <w:spacing w:after="0" w:line="240" w:lineRule="auto"/>
      </w:pPr>
      <w:r>
        <w:separator/>
      </w:r>
    </w:p>
  </w:footnote>
  <w:footnote w:type="continuationSeparator" w:id="0">
    <w:p w:rsidR="00B224FD" w:rsidP="00812EBE" w:rsidRDefault="00B224FD" w14:paraId="75BCED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12EBE" w:rsidRDefault="00812EBE" w14:paraId="44667B4B" w14:textId="12E7D02D">
    <w:pPr>
      <w:pStyle w:val="Encabezado"/>
    </w:pPr>
    <w:r>
      <w:rPr>
        <w:noProof/>
      </w:rPr>
      <w:drawing>
        <wp:anchor distT="0" distB="0" distL="114300" distR="114300" simplePos="0" relativeHeight="251658240" behindDoc="0" locked="0" layoutInCell="1" allowOverlap="1" wp14:anchorId="622A106F" wp14:editId="3CB9C1DE">
          <wp:simplePos x="0" y="0"/>
          <wp:positionH relativeFrom="column">
            <wp:posOffset>3454400</wp:posOffset>
          </wp:positionH>
          <wp:positionV relativeFrom="page">
            <wp:posOffset>355600</wp:posOffset>
          </wp:positionV>
          <wp:extent cx="1950720" cy="561340"/>
          <wp:effectExtent l="0" t="0" r="5080" b="0"/>
          <wp:wrapSquare wrapText="r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0720" cy="56134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hint="default" w:ascii="Symbol" w:hAnsi="Symbol"/>
      </w:rPr>
    </w:lvl>
  </w:abstractNum>
  <w:abstractNum w:abstractNumId="9" w15:restartNumberingAfterBreak="0">
    <w:nsid w:val="5DBB183F"/>
    <w:multiLevelType w:val="hybridMultilevel"/>
    <w:tmpl w:val="DB4A2A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rPr>
    </w:lvl>
    <w:lvl w:ilvl="8" w:tplc="080A0005" w:tentative="1">
      <w:start w:val="1"/>
      <w:numFmt w:val="bullet"/>
      <w:lvlText w:val=""/>
      <w:lvlJc w:val="left"/>
      <w:pPr>
        <w:ind w:left="6480" w:hanging="360"/>
      </w:pPr>
      <w:rPr>
        <w:rFonts w:hint="default" w:ascii="Wingdings" w:hAnsi="Wingdings"/>
      </w:rPr>
    </w:lvl>
  </w:abstractNum>
  <w:num w:numId="1" w16cid:durableId="1180856093">
    <w:abstractNumId w:val="8"/>
  </w:num>
  <w:num w:numId="2" w16cid:durableId="1027365470">
    <w:abstractNumId w:val="6"/>
  </w:num>
  <w:num w:numId="3" w16cid:durableId="775953077">
    <w:abstractNumId w:val="5"/>
  </w:num>
  <w:num w:numId="4" w16cid:durableId="2132507505">
    <w:abstractNumId w:val="4"/>
  </w:num>
  <w:num w:numId="5" w16cid:durableId="2001613599">
    <w:abstractNumId w:val="7"/>
  </w:num>
  <w:num w:numId="6" w16cid:durableId="1141072709">
    <w:abstractNumId w:val="3"/>
  </w:num>
  <w:num w:numId="7" w16cid:durableId="1360468837">
    <w:abstractNumId w:val="2"/>
  </w:num>
  <w:num w:numId="8" w16cid:durableId="1210144762">
    <w:abstractNumId w:val="1"/>
  </w:num>
  <w:num w:numId="9" w16cid:durableId="1981693108">
    <w:abstractNumId w:val="0"/>
  </w:num>
  <w:num w:numId="10" w16cid:durableId="1431001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0A3938"/>
    <w:rsid w:val="00111F6E"/>
    <w:rsid w:val="001214D6"/>
    <w:rsid w:val="0015074B"/>
    <w:rsid w:val="001F68D2"/>
    <w:rsid w:val="00200C4B"/>
    <w:rsid w:val="002243BD"/>
    <w:rsid w:val="0029639D"/>
    <w:rsid w:val="002D45E7"/>
    <w:rsid w:val="00323A12"/>
    <w:rsid w:val="00326F90"/>
    <w:rsid w:val="004C1643"/>
    <w:rsid w:val="004E6E11"/>
    <w:rsid w:val="00647235"/>
    <w:rsid w:val="006934AF"/>
    <w:rsid w:val="00697447"/>
    <w:rsid w:val="00812EBE"/>
    <w:rsid w:val="0091207D"/>
    <w:rsid w:val="00A8419F"/>
    <w:rsid w:val="00AA1D8D"/>
    <w:rsid w:val="00AA7133"/>
    <w:rsid w:val="00AD796B"/>
    <w:rsid w:val="00AF2F6C"/>
    <w:rsid w:val="00B224FD"/>
    <w:rsid w:val="00B47730"/>
    <w:rsid w:val="00CB0664"/>
    <w:rsid w:val="00DB057D"/>
    <w:rsid w:val="00EF2B8F"/>
    <w:rsid w:val="00FC693F"/>
    <w:rsid w:val="7340E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8A021F"/>
  <w14:defaultImageDpi w14:val="300"/>
  <w15:docId w15:val="{C280C668-A26D-F14A-B6EE-A1FE1ECE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styleId="Ttulo1Car" w:customStyle="1">
    <w:name w:val="Título 1 Car"/>
    <w:basedOn w:val="Fuentedeprrafopredeter"/>
    <w:link w:val="Ttulo1"/>
    <w:uiPriority w:val="9"/>
    <w:rsid w:val="00FC693F"/>
    <w:rPr>
      <w:rFonts w:asciiTheme="majorHAnsi" w:hAnsiTheme="majorHAnsi" w:eastAsiaTheme="majorEastAsia" w:cstheme="majorBidi"/>
      <w:b/>
      <w:bCs/>
      <w:color w:val="365F91" w:themeColor="accent1" w:themeShade="BF"/>
      <w:sz w:val="28"/>
      <w:szCs w:val="28"/>
    </w:rPr>
  </w:style>
  <w:style w:type="character" w:styleId="Ttulo2Car" w:customStyle="1">
    <w:name w:val="Título 2 Car"/>
    <w:basedOn w:val="Fuentedeprrafopredeter"/>
    <w:link w:val="Ttulo2"/>
    <w:uiPriority w:val="9"/>
    <w:rsid w:val="00FC693F"/>
    <w:rPr>
      <w:rFonts w:asciiTheme="majorHAnsi" w:hAnsiTheme="majorHAnsi" w:eastAsiaTheme="majorEastAsia" w:cstheme="majorBidi"/>
      <w:b/>
      <w:bCs/>
      <w:color w:val="4F81BD" w:themeColor="accent1"/>
      <w:sz w:val="26"/>
      <w:szCs w:val="26"/>
    </w:rPr>
  </w:style>
  <w:style w:type="character" w:styleId="Ttulo3Car" w:customStyle="1">
    <w:name w:val="Título 3 Car"/>
    <w:basedOn w:val="Fuentedeprrafopredeter"/>
    <w:link w:val="Ttulo3"/>
    <w:uiPriority w:val="9"/>
    <w:rsid w:val="00FC693F"/>
    <w:rPr>
      <w:rFonts w:asciiTheme="majorHAnsi" w:hAnsiTheme="majorHAnsi" w:eastAsiaTheme="majorEastAsia" w:cstheme="majorBidi"/>
      <w:b/>
      <w:bCs/>
      <w:color w:val="4F81BD" w:themeColor="accent1"/>
    </w:rPr>
  </w:style>
  <w:style w:type="paragraph" w:styleId="Ttulo">
    <w:name w:val="Title"/>
    <w:basedOn w:val="Normal"/>
    <w:next w:val="Normal"/>
    <w:link w:val="TtuloC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tuloCar" w:customStyle="1">
    <w:name w:val="Título Car"/>
    <w:basedOn w:val="Fuentedeprrafopredeter"/>
    <w:link w:val="Ttulo"/>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tuloCar" w:customStyle="1">
    <w:name w:val="Subtítulo Car"/>
    <w:basedOn w:val="Fuentedeprrafopredeter"/>
    <w:link w:val="Subttulo"/>
    <w:uiPriority w:val="11"/>
    <w:rsid w:val="00FC693F"/>
    <w:rPr>
      <w:rFonts w:asciiTheme="majorHAnsi" w:hAnsiTheme="majorHAnsi" w:eastAsiaTheme="majorEastAsia"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styleId="TextoindependienteCar" w:customStyle="1">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styleId="Textoindependiente2Car" w:customStyle="1">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styleId="Textoindependiente3Car" w:customStyle="1">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macroCar" w:customStyle="1">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styleId="CitaCar" w:customStyle="1">
    <w:name w:val="Cita Car"/>
    <w:basedOn w:val="Fuentedeprrafopredeter"/>
    <w:link w:val="Cita"/>
    <w:uiPriority w:val="29"/>
    <w:rsid w:val="00FC693F"/>
    <w:rPr>
      <w:i/>
      <w:iCs/>
      <w:color w:val="000000" w:themeColor="text1"/>
    </w:rPr>
  </w:style>
  <w:style w:type="character" w:styleId="Ttulo4Car" w:customStyle="1">
    <w:name w:val="Título 4 Car"/>
    <w:basedOn w:val="Fuentedeprrafopredeter"/>
    <w:link w:val="Ttulo4"/>
    <w:uiPriority w:val="9"/>
    <w:semiHidden/>
    <w:rsid w:val="00FC693F"/>
    <w:rPr>
      <w:rFonts w:asciiTheme="majorHAnsi" w:hAnsiTheme="majorHAnsi" w:eastAsiaTheme="majorEastAsia" w:cstheme="majorBidi"/>
      <w:b/>
      <w:bCs/>
      <w:i/>
      <w:iCs/>
      <w:color w:val="4F81BD" w:themeColor="accent1"/>
    </w:rPr>
  </w:style>
  <w:style w:type="character" w:styleId="Ttulo5Car" w:customStyle="1">
    <w:name w:val="Título 5 Car"/>
    <w:basedOn w:val="Fuentedeprrafopredeter"/>
    <w:link w:val="Ttulo5"/>
    <w:uiPriority w:val="9"/>
    <w:semiHidden/>
    <w:rsid w:val="00FC693F"/>
    <w:rPr>
      <w:rFonts w:asciiTheme="majorHAnsi" w:hAnsiTheme="majorHAnsi" w:eastAsiaTheme="majorEastAsia" w:cstheme="majorBidi"/>
      <w:color w:val="243F60" w:themeColor="accent1" w:themeShade="7F"/>
    </w:rPr>
  </w:style>
  <w:style w:type="character" w:styleId="Ttulo6Car" w:customStyle="1">
    <w:name w:val="Título 6 Car"/>
    <w:basedOn w:val="Fuentedeprrafopredeter"/>
    <w:link w:val="Ttulo6"/>
    <w:uiPriority w:val="9"/>
    <w:semiHidden/>
    <w:rsid w:val="00FC693F"/>
    <w:rPr>
      <w:rFonts w:asciiTheme="majorHAnsi" w:hAnsiTheme="majorHAnsi" w:eastAsiaTheme="majorEastAsia" w:cstheme="majorBidi"/>
      <w:i/>
      <w:iCs/>
      <w:color w:val="243F60" w:themeColor="accent1" w:themeShade="7F"/>
    </w:rPr>
  </w:style>
  <w:style w:type="character" w:styleId="Ttulo7Car" w:customStyle="1">
    <w:name w:val="Título 7 Car"/>
    <w:basedOn w:val="Fuentedeprrafopredeter"/>
    <w:link w:val="Ttulo7"/>
    <w:uiPriority w:val="9"/>
    <w:semiHidden/>
    <w:rsid w:val="00FC693F"/>
    <w:rPr>
      <w:rFonts w:asciiTheme="majorHAnsi" w:hAnsiTheme="majorHAnsi" w:eastAsiaTheme="majorEastAsia" w:cstheme="majorBidi"/>
      <w:i/>
      <w:iCs/>
      <w:color w:val="404040" w:themeColor="text1" w:themeTint="BF"/>
    </w:rPr>
  </w:style>
  <w:style w:type="character" w:styleId="Ttulo8Car" w:customStyle="1">
    <w:name w:val="Título 8 Car"/>
    <w:basedOn w:val="Fuentedeprrafopredeter"/>
    <w:link w:val="Ttulo8"/>
    <w:uiPriority w:val="9"/>
    <w:semiHidden/>
    <w:rsid w:val="00FC693F"/>
    <w:rPr>
      <w:rFonts w:asciiTheme="majorHAnsi" w:hAnsiTheme="majorHAnsi" w:eastAsiaTheme="majorEastAsia" w:cstheme="majorBidi"/>
      <w:color w:val="4F81BD" w:themeColor="accent1"/>
      <w:sz w:val="20"/>
      <w:szCs w:val="20"/>
    </w:rPr>
  </w:style>
  <w:style w:type="character" w:styleId="Ttulo9Car" w:customStyle="1">
    <w:name w:val="Título 9 Car"/>
    <w:basedOn w:val="Fuentedeprrafopredeter"/>
    <w:link w:val="Ttulo9"/>
    <w:uiPriority w:val="9"/>
    <w:semiHidden/>
    <w:rsid w:val="00FC693F"/>
    <w:rPr>
      <w:rFonts w:asciiTheme="majorHAnsi" w:hAnsiTheme="majorHAnsi" w:eastAsiaTheme="majorEastAsia"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CitadestacadaCar" w:customStyle="1">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EF2B8F"/>
    <w:rPr>
      <w:color w:val="0000FF"/>
      <w:u w:val="single"/>
    </w:rPr>
  </w:style>
  <w:style w:type="character" w:styleId="Mencinsinresolver">
    <w:name w:val="Unresolved Mention"/>
    <w:basedOn w:val="Fuentedeprrafopredeter"/>
    <w:uiPriority w:val="99"/>
    <w:semiHidden/>
    <w:unhideWhenUsed/>
    <w:rsid w:val="00EF2B8F"/>
    <w:rPr>
      <w:color w:val="605E5C"/>
      <w:shd w:val="clear" w:color="auto" w:fill="E1DFDD"/>
    </w:rPr>
  </w:style>
  <w:style w:type="paragraph" w:styleId="zw-paragraph" w:customStyle="1">
    <w:name w:val="zw-paragraph"/>
    <w:basedOn w:val="Normal"/>
    <w:rsid w:val="00200C4B"/>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styleId="eop" w:customStyle="1">
    <w:name w:val="eop"/>
    <w:basedOn w:val="Fuentedeprrafopredeter"/>
    <w:rsid w:val="00200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s://latam.cs4ca.com/wp-content/uploads/LatAm-Cyber-Summit-2024-Annual-Report.pdf" TargetMode="External" Id="rId8" /><Relationship Type="http://schemas.openxmlformats.org/officeDocument/2006/relationships/hyperlink" Target="https://www.manageengine.com/latam/" TargetMode="External" Id="rId13" /><Relationship Type="http://schemas.openxmlformats.org/officeDocument/2006/relationships/hyperlink" Target="https://www.linkedin.com/showcase/manageengine-latam/about/" TargetMode="External" Id="rId18" /><Relationship Type="http://schemas.openxmlformats.org/officeDocument/2006/relationships/styles" Target="styles.xml" Id="rId3" /><Relationship Type="http://schemas.openxmlformats.org/officeDocument/2006/relationships/hyperlink" Target="https://twitter.com/ManageEngineLA" TargetMode="External" Id="rId21" /><Relationship Type="http://schemas.openxmlformats.org/officeDocument/2006/relationships/endnotes" Target="endnotes.xml" Id="rId7" /><Relationship Type="http://schemas.openxmlformats.org/officeDocument/2006/relationships/hyperlink" Target="https://blogs.worldbank.org/en/latinamerica/seguridad-cibernetica-en-america-latina-y-el-caribe" TargetMode="External" Id="rId12" /><Relationship Type="http://schemas.openxmlformats.org/officeDocument/2006/relationships/hyperlink" Target="https://www.linkedin.com/showcase/manageengine-latam/about/"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instagram.com/manageenginela/" TargetMode="External" Id="rId16" /><Relationship Type="http://schemas.openxmlformats.org/officeDocument/2006/relationships/hyperlink" Target="https://www.facebook.com/ManageEngineLA/"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openknowledge.worldbank.org/server/api/core/bitstreams/719698c9-b21b-4dd4-a875-bfc34b2961ce/content"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www.instagram.com/manageenginela/" TargetMode="External" Id="rId15" /><Relationship Type="http://schemas.openxmlformats.org/officeDocument/2006/relationships/header" Target="header1.xml" Id="rId23" /><Relationship Type="http://schemas.openxmlformats.org/officeDocument/2006/relationships/hyperlink" Target="https://www.isc2.org/Insights/2024/09/Employers-Must-Act-Cybersecurity-Workforce-Growth-Stalls-as-Skills-Gaps-Widen" TargetMode="External" Id="rId10" /><Relationship Type="http://schemas.openxmlformats.org/officeDocument/2006/relationships/hyperlink" Target="https://www.facebook.com/ManageEngineLA/" TargetMode="External" Id="rId19" /><Relationship Type="http://schemas.openxmlformats.org/officeDocument/2006/relationships/settings" Target="settings.xml" Id="rId4" /><Relationship Type="http://schemas.openxmlformats.org/officeDocument/2006/relationships/hyperlink" Target="https://insights.manageengine.com/privacy-compliance/brazil-data-privacy/" TargetMode="External" Id="rId9" /><Relationship Type="http://schemas.openxmlformats.org/officeDocument/2006/relationships/hyperlink" Target="http://blogs.manageengine.com/espanol" TargetMode="External" Id="rId14" /><Relationship Type="http://schemas.openxmlformats.org/officeDocument/2006/relationships/hyperlink" Target="https://twitter.com/ManageEngineLA" TargetMode="Externa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Rosario Guadalupe Robiou Vivero</lastModifiedBy>
  <revision>4</revision>
  <dcterms:created xsi:type="dcterms:W3CDTF">2025-10-20T17:08:00.0000000Z</dcterms:created>
  <dcterms:modified xsi:type="dcterms:W3CDTF">2025-10-20T18:42:45.5593845Z</dcterms:modified>
  <category/>
</coreProperties>
</file>