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TikTok lanza nuevos videos de seguridad que combinan educación con entretenimiento</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TikTok es una app impulsada por espectadores y creadores de contenido. Cada día, personas de todo el mundo y América Latina crean y comparten millones de videos en TikTok. Nos encanta que nuestra comunidad se sienta empoderada para expresarse en la plataforma, al mismo tiempo que la usa para aprender más sobre el mundo que los rodea. Para ayudar a las personas a explorar TikTok de manera segura, hoy estamos orgullosos de lanzar una nueva serie de videos de seguridad en toda América Latina, que está modernizando la conversación sobre la seguridad del usuario</w:t>
      </w:r>
      <w:r>
        <w:rPr>
          <w:rFonts w:eastAsia="宋体" w:ascii="Times New Roman" w:cs="Times New Roman" w:hAnsi="Times New Roman"/>
          <w:sz w:val="22"/>
        </w:rPr>
        <w:t>,</w:t>
      </w:r>
      <w:r>
        <w:rPr>
          <w:rFonts w:eastAsia="宋体" w:ascii="Times New Roman" w:cs="Times New Roman" w:hAnsi="Times New Roman"/>
          <w:sz w:val="22"/>
        </w:rPr>
        <w:t xml:space="preserve"> haciéndola accesible y divertida.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Creadores de toda la región participaron en la creación de esta serie que destaca información útil sobre las pautas y características de seguridad, a través de videos creativos y entretenidos que fueron hechos en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Nuestra misión en TikTok es empoderar a los usuarios para que sean lo más creativo posible mientras construyen una comunidad positiva y acogedora. Creemos que proporcionarles las herramientas y prácticas adecuadas les ayuda a crear una mejor experiencia en línea, pero sabemos también que los centros de ayuda y la configuración en la aplicación pueden ser difíciles de digerir. Hacer que los controles de seguridad y privacidad sean accesibles y fáciles de entender es nuestra prioridad. Por eso, lanzamos esta nueva serie de videos breves para mostrarles cómo tomar el control de su experiencia en línea. Con nuestra serie de videos de seguridad, hemos combinado la información importante en videos cortos, para ayudarle a los usuarios a sentirte </w:t>
      </w:r>
      <w:r>
        <w:rPr>
          <w:rFonts w:eastAsia="宋体" w:ascii="Times New Roman" w:cs="Times New Roman" w:hAnsi="Times New Roman"/>
          <w:sz w:val="22"/>
        </w:rPr>
        <w:t>orientados y entretenidos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serie de videos cubre temas como: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hyperlink r:id="rId4">
        <w:r>
          <w:rPr>
            <w:rFonts w:eastAsia="宋体" w:ascii="Times New Roman" w:cs="Times New Roman" w:hAnsi="Times New Roman"/>
            <w:color w:val="1a84ee"/>
            <w:sz w:val="22"/>
          </w:rPr>
          <w:t>Elección de una cuenta pública o privada</w:t>
        </w:r>
      </w:hyperlink>
      <w:r>
        <w:rPr>
          <w:rFonts w:eastAsia="宋体" w:ascii="Times New Roman" w:cs="Times New Roman" w:hAnsi="Times New Roman"/>
          <w:sz w:val="22"/>
        </w:rPr>
        <w:t>: la decisión en manos del usuario.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hyperlink r:id="rId5">
        <w:r>
          <w:rPr>
            <w:rFonts w:eastAsia="宋体" w:ascii="Times New Roman" w:cs="Times New Roman" w:hAnsi="Times New Roman"/>
            <w:color w:val="1a84ee"/>
            <w:sz w:val="22"/>
          </w:rPr>
          <w:t>Informar sobre comportamientos inapropiados</w:t>
        </w:r>
      </w:hyperlink>
      <w:r>
        <w:rPr>
          <w:rFonts w:eastAsia="宋体" w:ascii="Times New Roman" w:cs="Times New Roman" w:hAnsi="Times New Roman"/>
          <w:sz w:val="22"/>
        </w:rPr>
        <w:t>: este video muestra cómo utilizar la función de informes en la aplicación.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hyperlink r:id="rId6">
        <w:r>
          <w:rPr>
            <w:rFonts w:eastAsia="宋体" w:ascii="Times New Roman" w:cs="Times New Roman" w:hAnsi="Times New Roman"/>
            <w:color w:val="1a84ee"/>
            <w:sz w:val="22"/>
          </w:rPr>
          <w:t>Bloquear a un usuario</w:t>
        </w:r>
      </w:hyperlink>
      <w:r>
        <w:rPr>
          <w:rFonts w:eastAsia="宋体" w:ascii="Times New Roman" w:cs="Times New Roman" w:hAnsi="Times New Roman"/>
          <w:sz w:val="22"/>
        </w:rPr>
        <w:t>: un tutorial que muestra cómo bloquear a un usuario para evitar que lo siga, vea su contenido o se comunique.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hyperlink r:id="rId7">
        <w:r>
          <w:rPr>
            <w:rFonts w:eastAsia="宋体" w:ascii="Times New Roman" w:cs="Times New Roman" w:hAnsi="Times New Roman"/>
            <w:color w:val="1a84ee"/>
            <w:sz w:val="22"/>
          </w:rPr>
          <w:t>Bienestar digital</w:t>
        </w:r>
      </w:hyperlink>
      <w:r>
        <w:rPr>
          <w:rFonts w:eastAsia="宋体" w:ascii="Times New Roman" w:cs="Times New Roman" w:hAnsi="Times New Roman"/>
          <w:sz w:val="22"/>
        </w:rPr>
        <w:t>: este tutorial muestra cómo establecer límites de tiempo de pantalla.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hyperlink r:id="rId8">
        <w:r>
          <w:rPr>
            <w:rFonts w:eastAsia="宋体" w:ascii="Times New Roman" w:cs="Times New Roman" w:hAnsi="Times New Roman"/>
            <w:color w:val="1a84ee"/>
            <w:sz w:val="22"/>
          </w:rPr>
          <w:t>Ser reflexivos sobre sus perfiles</w:t>
        </w:r>
      </w:hyperlink>
      <w:r>
        <w:rPr>
          <w:rFonts w:eastAsia="宋体" w:ascii="Times New Roman" w:cs="Times New Roman" w:hAnsi="Times New Roman"/>
          <w:sz w:val="22"/>
        </w:rPr>
        <w:t>: ayuda a los usuarios a comprender el valor de ser reflexivo sobre lo que elige revelar en su perfil y videos.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Crear una comunidad positiva en TikTok requiere un enfoque multifacético que involucra políticas, configuraciones y controles, además de tecnología, moderación y más, pero creemos que este paso hacia una educación del usuario más accesible es igualmente valioso. Con nuestra nueva serie de videos, esperamos que la comunidad se sienta inspirada para usar las herramientas a su disposición y profundice en nuestros recursos de privacidad y seguridad del </w:t>
      </w:r>
      <w:hyperlink r:id="rId9">
        <w:r>
          <w:rPr>
            <w:rFonts w:eastAsia="宋体" w:ascii="Times New Roman" w:cs="Times New Roman" w:hAnsi="Times New Roman"/>
            <w:color w:val="1a84ee"/>
            <w:sz w:val="22"/>
          </w:rPr>
          <w:t>Centro de seguridad.</w:t>
        </w:r>
      </w:hyperlink>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En TikTok, creemos que los usuarios muestra</w:t>
      </w:r>
      <w:r>
        <w:rPr>
          <w:rFonts w:eastAsia="宋体" w:ascii="Times New Roman" w:cs="Times New Roman" w:hAnsi="Times New Roman"/>
          <w:sz w:val="22"/>
        </w:rPr>
        <w:t>n</w:t>
      </w:r>
      <w:r>
        <w:rPr>
          <w:rFonts w:eastAsia="宋体" w:ascii="Times New Roman" w:cs="Times New Roman" w:hAnsi="Times New Roman"/>
          <w:sz w:val="22"/>
        </w:rPr>
        <w:t xml:space="preserve"> su parte más auténtica cuando están a salvo. Con esta serie de videos, </w:t>
      </w:r>
      <w:r>
        <w:rPr>
          <w:rFonts w:eastAsia="宋体" w:ascii="Times New Roman" w:cs="Times New Roman" w:hAnsi="Times New Roman"/>
          <w:sz w:val="22"/>
        </w:rPr>
        <w:t>sentimos</w:t>
      </w:r>
      <w:r>
        <w:rPr>
          <w:rFonts w:eastAsia="宋体" w:ascii="Times New Roman" w:cs="Times New Roman" w:hAnsi="Times New Roman"/>
          <w:sz w:val="22"/>
        </w:rPr>
        <w:t xml:space="preserve"> que logramos un equilibrio entre la educación y el entretenimiento de una manera que le permite a todos ser dueños de su experiencia en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Esta serie es solo un enfoque en nuestros esfuerzos continuos por comprender y escuchar profundamente a la comunidad, para fomentar un entorno seguro y positivo donde la creatividad de la comunidad pueda florecer. Puedes encontrar toda la serie de videos de seguridad en la cuenta @tiktokseguridad.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0"/>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tiktokseguridad/video/6966144963902065926" TargetMode="External" Type="http://schemas.openxmlformats.org/officeDocument/2006/relationships/hyperlink"/><Relationship Id="rId5" Target="https://vm.tiktok.com/ZMeWKpHYW/" TargetMode="External" Type="http://schemas.openxmlformats.org/officeDocument/2006/relationships/hyperlink"/><Relationship Id="rId6" Target="https://www.tiktok.com/@tiktokseguridad/video/6966146493896002822" TargetMode="External" Type="http://schemas.openxmlformats.org/officeDocument/2006/relationships/hyperlink"/><Relationship Id="rId7" Target="https://www.tiktok.com/@tiktokseguridad/video/6966143984188116229" TargetMode="External" Type="http://schemas.openxmlformats.org/officeDocument/2006/relationships/hyperlink"/><Relationship Id="rId8" Target="https://www.tiktok.com/@tiktokseguridad/video/6966139430423874822" TargetMode="External" Type="http://schemas.openxmlformats.org/officeDocument/2006/relationships/hyperlink"/><Relationship Id="rId9" Target="https://www.tiktok.com/safety?lang=es"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2021-05-26T15:30:07Z</dcterms:created>
  <dc:creator>Apache POI</dc:creator>
</cp:coreProperties>
</file>