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spacing w:before="480" w:line="240" w:lineRule="auto"/>
        <w:ind w:left="-90" w:firstLine="0"/>
        <w:jc w:val="center"/>
        <w:rPr>
          <w:b w:val="1"/>
          <w:sz w:val="32"/>
          <w:szCs w:val="32"/>
        </w:rPr>
      </w:pPr>
      <w:bookmarkStart w:colFirst="0" w:colLast="0" w:name="_heading=h.mbjl6pbhso9s" w:id="0"/>
      <w:bookmarkEnd w:id="0"/>
      <w:r w:rsidDel="00000000" w:rsidR="00000000" w:rsidRPr="00000000">
        <w:rPr>
          <w:b w:val="1"/>
          <w:sz w:val="32"/>
          <w:szCs w:val="32"/>
          <w:rtl w:val="0"/>
        </w:rPr>
        <w:t xml:space="preserve">Royal Enfield continúa su expansión en México con la apertura de tres nuevas agencias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u w:val="none"/>
        </w:rPr>
      </w:pPr>
      <w:r w:rsidDel="00000000" w:rsidR="00000000" w:rsidRPr="00000000">
        <w:rPr>
          <w:rtl w:val="0"/>
        </w:rPr>
        <w:t xml:space="preserve">Con tres nuevas aperturas en lo que resta del año, Royal Enfield avanza en su objetivo de consolidar una red de distribución robusta y estratégica en todo el país.</w:t>
        <w:br w:type="textWrapping"/>
      </w:r>
    </w:p>
    <w:p w:rsidR="00000000" w:rsidDel="00000000" w:rsidP="00000000" w:rsidRDefault="00000000" w:rsidRPr="00000000" w14:paraId="00000004">
      <w:pPr>
        <w:numPr>
          <w:ilvl w:val="0"/>
          <w:numId w:val="1"/>
        </w:numPr>
        <w:ind w:left="720" w:hanging="360"/>
        <w:jc w:val="both"/>
        <w:rPr>
          <w:u w:val="none"/>
        </w:rPr>
      </w:pPr>
      <w:r w:rsidDel="00000000" w:rsidR="00000000" w:rsidRPr="00000000">
        <w:rPr>
          <w:rtl w:val="0"/>
        </w:rPr>
        <w:t xml:space="preserve">La marca apuesta por regiones con alto potencial de crecimiento. Reforzando su propuesta como una inversión atractiva dentro del sector de movilidad urbana y estilo de vida.</w:t>
      </w:r>
    </w:p>
    <w:p w:rsidR="00000000" w:rsidDel="00000000" w:rsidP="00000000" w:rsidRDefault="00000000" w:rsidRPr="00000000" w14:paraId="00000005">
      <w:pPr>
        <w:ind w:left="720" w:firstLine="0"/>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rtl w:val="0"/>
        </w:rPr>
        <w:t xml:space="preserve">Ciudad de México, 22 de octubre de 2025.- </w:t>
      </w:r>
      <w:r w:rsidDel="00000000" w:rsidR="00000000" w:rsidRPr="00000000">
        <w:rPr>
          <w:rtl w:val="0"/>
        </w:rPr>
        <w:t xml:space="preserve">En línea con su estrategia de crecimiento en México, Royal Enfield anuncia la apertura de tres nuevas agencias en el país: Veracruz, Durango y Uruapan, fortaleciendo así su red de distribución y su apuesta por el desarrollo regional del motociclismo como estilo de vida.</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Con la apertura de Veracruz el pasado fin de semana, la marca llega a  25 agencias exclusivas a nivel nacional, consolidando su cobertura en el segmento de cilindrada media. Este plan de expansión responde al aumento sostenido de la demanda y al interés de nuevas generaciones por una forma de movilidad más ágil, aspiracional y conectada con la comunidad.</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La agencia de Durango, cuya apertura está programada para finales de octubre, representa un hito importante: es la primera sede de la marca en el estado y será clave para acercar el concepto de Motociclismo Puro a una región donde el uso de la motocicleta ha tenido un crecimiento acelerado.</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La nueva agencia ofrecerá showroom de modelos, boutique de apparel y accesorios, área de refacciones y taller de servicio, todo en un mismo espacio. Además, contará con una zona exterior, concebida como punto de encuentro para la comunidad motociclista local y regional.</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Como parte de la apertura, está programada una jornada especial que incluirá exhibición de modelos, convivencia con clientes, invitados especiales e influencers locales. La agencia tendrá disponible el line up completo de la marca, desde modelos urbanos como la Hunter 350 hasta motocicletas de aventura como lo es la Himalayan 450.</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Por su parte, la agencia de </w:t>
      </w:r>
      <w:r w:rsidDel="00000000" w:rsidR="00000000" w:rsidRPr="00000000">
        <w:rPr>
          <w:rtl w:val="0"/>
        </w:rPr>
        <w:t xml:space="preserve">Uruapan </w:t>
      </w:r>
      <w:r w:rsidDel="00000000" w:rsidR="00000000" w:rsidRPr="00000000">
        <w:rPr>
          <w:rtl w:val="0"/>
        </w:rPr>
        <w:t xml:space="preserve">abrirá en el mes de noviembre, sumándose a la estrategia de expansión nacional con el objetivo de fortalecer la presencia de Royal Enfield en el occidente del país. Esta nueva ubicación buscará atender una región con creciente actividad motociclista y una comunidad que valora la propuesta diferenciada de la marca, basada en estilo, confiabilidad y comunidad.</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rtl w:val="0"/>
        </w:rPr>
        <w:t xml:space="preserve">“</w:t>
      </w:r>
      <w:r w:rsidDel="00000000" w:rsidR="00000000" w:rsidRPr="00000000">
        <w:rPr>
          <w:i w:val="1"/>
          <w:rtl w:val="0"/>
        </w:rPr>
        <w:t xml:space="preserve">Estas aperturas son parte del despliegue estratégico que tenemos para México. Con cada nueva agencia buscamos cubrir territorios clave donde vemos un crecimiento real en el parque motociclista. En estados como Durango, donde no teníamos presencia, proyectamos un desarrollo acelerado en los próximos dos años. La respuesta del mercado ha sido contundente y confirma que hay una oportunidad importante para consolidar nuestra propuesta de valor en todo el país</w:t>
      </w:r>
      <w:r w:rsidDel="00000000" w:rsidR="00000000" w:rsidRPr="00000000">
        <w:rPr>
          <w:rtl w:val="0"/>
        </w:rPr>
        <w:t xml:space="preserve">.” comentó</w:t>
      </w:r>
      <w:r w:rsidDel="00000000" w:rsidR="00000000" w:rsidRPr="00000000">
        <w:rPr>
          <w:b w:val="1"/>
          <w:rtl w:val="0"/>
        </w:rPr>
        <w:t xml:space="preserve"> Gregorio Odriozola, Country Manager de Royal Enfield México</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Desde su llegada al país en 2020, Royal Enfield ha desarrollado una red nacional sólida, con 9 agencias abiertas en 2024 y tres más programadas para lo que resta de 2025.</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Royal Enfield reafirma así su compromiso con el mercado mexicano y con el desarrollo de una red sólida, accesible y alineada a las necesidades de una comunidad motociclista cada vez más diversa, joven y apasionada.</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Acerca de Royal Enfield:</w:t>
      </w:r>
    </w:p>
    <w:p w:rsidR="00000000" w:rsidDel="00000000" w:rsidP="00000000" w:rsidRDefault="00000000" w:rsidRPr="00000000" w14:paraId="00000019">
      <w:pPr>
        <w:rPr/>
      </w:pPr>
      <w:r w:rsidDel="00000000" w:rsidR="00000000" w:rsidRPr="00000000">
        <w:rPr>
          <w:rtl w:val="0"/>
        </w:rPr>
        <w:t xml:space="preserve">Royal Enfield, la marca de motocicletas más antigua en producción continua, ha creado motocicletas icónicas desde 1901. Desde sus raíces británicas, se estableció una planta de fabricación en Madrás en 1955, un punto de apoyo desde el cual Royal Enfield encabezó el crecimiento del segmento de vehículos de dos ruedas de tamaño mediano en la India. Las Royal Enfield son atractivas, accesibles y divertidas de manejar; un vehículo para la exploración y la autoexpresión. Es un enfoque que la marca llama Motociclismo Puro. </w:t>
      </w:r>
    </w:p>
    <w:p w:rsidR="00000000" w:rsidDel="00000000" w:rsidP="00000000" w:rsidRDefault="00000000" w:rsidRPr="00000000" w14:paraId="0000001A">
      <w:pPr>
        <w:rPr/>
      </w:pPr>
      <w:r w:rsidDel="00000000" w:rsidR="00000000" w:rsidRPr="00000000">
        <w:rPr>
          <w:rtl w:val="0"/>
        </w:rPr>
        <w:t xml:space="preserve">Royal Enfield ha ampliado su portafolio premium con la introducción de su línea de vehículos eléctricos, representada por la nueva marca Flying Flea, que incluye dos modelos: el Flying Flea C6, de estilo clásico, y el Flying Flea S6, con diseño tipo Scrambler. A esta oferta se suman otros modelos destacados como la Scram 440, Bear 650, Classic 650, Guerrilla 450, Hunter 350, Meteor 350, Super Meteor 650, Interceptor 650, Continental GT 650, Shotgun 650, el nuevo turismo de aventuras Himalayan, la Scram 411 ADV Crossover y los icónicos Bullet 350, Classic 350 y Goan Classic 350. </w:t>
      </w:r>
    </w:p>
    <w:p w:rsidR="00000000" w:rsidDel="00000000" w:rsidP="00000000" w:rsidRDefault="00000000" w:rsidRPr="00000000" w14:paraId="0000001B">
      <w:pPr>
        <w:rPr/>
      </w:pPr>
      <w:r w:rsidDel="00000000" w:rsidR="00000000" w:rsidRPr="00000000">
        <w:rPr>
          <w:rtl w:val="0"/>
        </w:rPr>
        <w:t xml:space="preserve">Royal Enfield, una división de Eicher Motors Limited, opera a través de más de 2000 tiendas en las principales ciudades y pueblos de la India y a través de casi 850 tiendas en más de 60 países de todo el mundo. Royal Enfield también cuenta con dos centros técnicos de primer nivel, en Bruntingthorpe, Reino Unido, y en Chennai, India. Las dos instalaciones de producción de última generación de la empresa están ubicadas en Oragadam y Vallam Vadagal, cerca de Chennai. En todo el mundo, Royal Enfield cuenta con seis modernas instalaciones de ensamblaje de CKD en Bangladesh, Nepal, Brasil, Tailandia, Argentina y Colombia.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1E">
      <w:pPr>
        <w:widowControl w:val="0"/>
        <w:shd w:fill="ffffff" w:val="clear"/>
        <w:spacing w:line="240" w:lineRule="auto"/>
        <w:ind w:left="15" w:firstLine="0"/>
        <w:jc w:val="both"/>
        <w:rPr>
          <w:sz w:val="18"/>
          <w:szCs w:val="18"/>
        </w:rPr>
      </w:pPr>
      <w:r w:rsidDel="00000000" w:rsidR="00000000" w:rsidRPr="00000000">
        <w:rPr>
          <w:b w:val="1"/>
          <w:sz w:val="18"/>
          <w:szCs w:val="18"/>
          <w:rtl w:val="0"/>
        </w:rPr>
        <w:t xml:space="preserve">Contacto de prensa:</w:t>
      </w:r>
      <w:r w:rsidDel="00000000" w:rsidR="00000000" w:rsidRPr="00000000">
        <w:rPr>
          <w:sz w:val="18"/>
          <w:szCs w:val="18"/>
          <w:rtl w:val="0"/>
        </w:rPr>
        <w:t xml:space="preserve">  </w:t>
      </w:r>
    </w:p>
    <w:p w:rsidR="00000000" w:rsidDel="00000000" w:rsidP="00000000" w:rsidRDefault="00000000" w:rsidRPr="00000000" w14:paraId="0000001F">
      <w:pPr>
        <w:widowControl w:val="0"/>
        <w:shd w:fill="ffffff" w:val="clear"/>
        <w:spacing w:line="240" w:lineRule="auto"/>
        <w:ind w:left="15" w:firstLine="0"/>
        <w:jc w:val="both"/>
        <w:rPr>
          <w:sz w:val="18"/>
          <w:szCs w:val="18"/>
        </w:rPr>
      </w:pPr>
      <w:r w:rsidDel="00000000" w:rsidR="00000000" w:rsidRPr="00000000">
        <w:rPr>
          <w:sz w:val="18"/>
          <w:szCs w:val="18"/>
          <w:rtl w:val="0"/>
        </w:rPr>
        <w:t xml:space="preserve">Marco Polo Zúñiga </w:t>
      </w:r>
    </w:p>
    <w:p w:rsidR="00000000" w:rsidDel="00000000" w:rsidP="00000000" w:rsidRDefault="00000000" w:rsidRPr="00000000" w14:paraId="00000020">
      <w:pPr>
        <w:widowControl w:val="0"/>
        <w:shd w:fill="ffffff" w:val="clear"/>
        <w:spacing w:line="240" w:lineRule="auto"/>
        <w:ind w:left="15" w:firstLine="15"/>
        <w:jc w:val="both"/>
        <w:rPr>
          <w:sz w:val="18"/>
          <w:szCs w:val="18"/>
        </w:rPr>
      </w:pPr>
      <w:r w:rsidDel="00000000" w:rsidR="00000000" w:rsidRPr="00000000">
        <w:rPr>
          <w:sz w:val="18"/>
          <w:szCs w:val="18"/>
          <w:rtl w:val="0"/>
        </w:rPr>
        <w:t xml:space="preserve">PR | Another Company  </w:t>
      </w:r>
    </w:p>
    <w:p w:rsidR="00000000" w:rsidDel="00000000" w:rsidP="00000000" w:rsidRDefault="00000000" w:rsidRPr="00000000" w14:paraId="00000021">
      <w:pPr>
        <w:widowControl w:val="0"/>
        <w:shd w:fill="ffffff" w:val="clear"/>
        <w:spacing w:line="240" w:lineRule="auto"/>
        <w:ind w:left="15" w:firstLine="15"/>
        <w:jc w:val="both"/>
        <w:rPr>
          <w:sz w:val="18"/>
          <w:szCs w:val="18"/>
        </w:rPr>
      </w:pPr>
      <w:r w:rsidDel="00000000" w:rsidR="00000000" w:rsidRPr="00000000">
        <w:rPr>
          <w:sz w:val="18"/>
          <w:szCs w:val="18"/>
          <w:rtl w:val="0"/>
        </w:rPr>
        <w:t xml:space="preserve">Cel. 55 5100 1814  </w:t>
      </w:r>
    </w:p>
    <w:p w:rsidR="00000000" w:rsidDel="00000000" w:rsidP="00000000" w:rsidRDefault="00000000" w:rsidRPr="00000000" w14:paraId="00000022">
      <w:pPr>
        <w:widowControl w:val="0"/>
        <w:shd w:fill="ffffff" w:val="clear"/>
        <w:spacing w:line="240" w:lineRule="auto"/>
        <w:ind w:left="15" w:firstLine="15"/>
        <w:jc w:val="both"/>
        <w:rPr>
          <w:sz w:val="18"/>
          <w:szCs w:val="18"/>
        </w:rPr>
      </w:pPr>
      <w:r w:rsidDel="00000000" w:rsidR="00000000" w:rsidRPr="00000000">
        <w:rPr>
          <w:sz w:val="18"/>
          <w:szCs w:val="18"/>
          <w:rtl w:val="0"/>
        </w:rPr>
        <w:t xml:space="preserve">E-mail: </w:t>
      </w:r>
      <w:hyperlink r:id="rId7">
        <w:r w:rsidDel="00000000" w:rsidR="00000000" w:rsidRPr="00000000">
          <w:rPr>
            <w:color w:val="467886"/>
            <w:sz w:val="18"/>
            <w:szCs w:val="18"/>
            <w:u w:val="single"/>
            <w:rtl w:val="0"/>
          </w:rPr>
          <w:t xml:space="preserve">marco.zuniga@another.co</w:t>
        </w:r>
      </w:hyperlink>
      <w:r w:rsidDel="00000000" w:rsidR="00000000" w:rsidRPr="00000000">
        <w:rPr>
          <w:sz w:val="18"/>
          <w:szCs w:val="18"/>
          <w:rtl w:val="0"/>
        </w:rPr>
        <w:t xml:space="preserve">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6">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7">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8">
      <w:pPr>
        <w:widowControl w:val="0"/>
        <w:spacing w:line="240" w:lineRule="auto"/>
        <w:ind w:left="-90" w:firstLine="0"/>
        <w:jc w:val="both"/>
        <w:rPr>
          <w:rFonts w:ascii="Oi" w:cs="Oi" w:eastAsia="Oi" w:hAnsi="Oi"/>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i">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-1162047</wp:posOffset>
          </wp:positionH>
          <wp:positionV relativeFrom="paragraph">
            <wp:posOffset>-342898</wp:posOffset>
          </wp:positionV>
          <wp:extent cx="8066205" cy="823913"/>
          <wp:effectExtent b="0" l="0" r="0" t="0"/>
          <wp:wrapNone/>
          <wp:docPr id="2" name="image1.png"/>
          <a:graphic>
            <a:graphicData uri="http://schemas.openxmlformats.org/drawingml/2006/picture">
              <pic:pic>
                <pic:nvPicPr>
                  <pic:cNvPr id="0" name="image1.png"/>
                  <pic:cNvPicPr preferRelativeResize="0"/>
                </pic:nvPicPr>
                <pic:blipFill>
                  <a:blip r:embed="rId1"/>
                  <a:srcRect b="-12643" l="0" r="0" t="12643"/>
                  <a:stretch>
                    <a:fillRect/>
                  </a:stretch>
                </pic:blipFill>
                <pic:spPr>
                  <a:xfrm>
                    <a:off x="0" y="0"/>
                    <a:ext cx="8066205" cy="8239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normaltextrun" w:customStyle="1">
    <w:name w:val="normaltextrun"/>
    <w:basedOn w:val="Fuentedeprrafopredeter"/>
    <w:uiPriority w:val="1"/>
    <w:rsid w:val="22202F8F"/>
    <w:rPr>
      <w:rFonts w:ascii="Aptos" w:cs="" w:eastAsia="Aptos" w:hAnsi="Aptos" w:asciiTheme="minorAscii" w:cstheme="minorBidi" w:eastAsiaTheme="minorAscii" w:hAnsiTheme="minorAscii"/>
      <w:sz w:val="24"/>
      <w:szCs w:val="24"/>
    </w:rPr>
  </w:style>
  <w:style w:type="character" w:styleId="eop" w:customStyle="1">
    <w:name w:val="eop"/>
    <w:basedOn w:val="Fuentedeprrafopredeter"/>
    <w:uiPriority w:val="1"/>
    <w:rsid w:val="22202F8F"/>
    <w:rPr>
      <w:rFonts w:ascii="Aptos" w:cs="" w:eastAsia="Aptos" w:hAnsi="Aptos" w:asciiTheme="minorAscii" w:cstheme="minorBidi" w:eastAsiaTheme="minorAscii" w:hAnsiTheme="minorAscii"/>
      <w:sz w:val="24"/>
      <w:szCs w:val="24"/>
    </w:rPr>
  </w:style>
  <w:style w:type="character" w:styleId="Hyperlink">
    <w:name w:val="Hyperlink"/>
    <w:basedOn w:val="Fuentedeprrafopredeter"/>
    <w:uiPriority w:val="99"/>
    <w:unhideWhenUsed w:val="1"/>
    <w:rsid w:val="22202F8F"/>
    <w:rPr>
      <w:color w:val="0000ff"/>
      <w:u w:val="single"/>
    </w:rPr>
  </w:style>
  <w:style w:type="paragraph" w:styleId="Header">
    <w:name w:val="header"/>
    <w:basedOn w:val="Normal"/>
    <w:uiPriority w:val="99"/>
    <w:unhideWhenUsed w:val="1"/>
    <w:rsid w:val="1CC19F1D"/>
    <w:pPr>
      <w:tabs>
        <w:tab w:val="center" w:leader="none" w:pos="4680"/>
        <w:tab w:val="right" w:leader="none" w:pos="9360"/>
      </w:tabs>
      <w:spacing w:after="0" w:line="240" w:lineRule="auto"/>
    </w:pPr>
  </w:style>
  <w:style w:type="paragraph" w:styleId="Footer">
    <w:name w:val="footer"/>
    <w:basedOn w:val="Normal"/>
    <w:uiPriority w:val="99"/>
    <w:unhideWhenUsed w:val="1"/>
    <w:rsid w:val="1CC19F1D"/>
    <w:pPr>
      <w:tabs>
        <w:tab w:val="center" w:leader="none" w:pos="4680"/>
        <w:tab w:val="right" w:leader="none" w:pos="9360"/>
      </w:tabs>
      <w:spacing w:after="0" w:line="240" w:lineRule="auto"/>
    </w:pPr>
  </w:style>
  <w:style w:type="table" w:styleId="TableGrid">
    <w:name w:val="Table Grid"/>
    <w:basedOn w:val="Tabla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39F922F"/>
    <w:pPr>
      <w:spacing/>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co.zuniga@another.c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wVsi85tRjieh8ViBuGxQ/ZmYDw==">CgMxLjAyDmgubWJqbDZwYmhzbzlzOAByITEzVWZvZVN5SlNWUENocVBqNTY0ek14aDhVZlUyVXBEYw==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2025-04-02T17:30:00.0000000Z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