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5602" w14:textId="712C5433" w:rsidR="00196F25" w:rsidRDefault="005B2BC6" w:rsidP="3FD72648">
      <w:pPr>
        <w:spacing w:before="225" w:after="225"/>
        <w:jc w:val="center"/>
        <w:rPr>
          <w:rFonts w:ascii="Arial" w:eastAsia="Arial" w:hAnsi="Arial" w:cs="Arial"/>
          <w:b/>
          <w:bCs/>
        </w:rPr>
      </w:pPr>
      <w:r>
        <w:rPr>
          <w:rFonts w:ascii="Arial" w:eastAsia="Arial" w:hAnsi="Arial" w:cs="Arial"/>
          <w:b/>
          <w:bCs/>
        </w:rPr>
        <w:t>S</w:t>
      </w:r>
      <w:r w:rsidR="009C06BC">
        <w:rPr>
          <w:rFonts w:ascii="Arial" w:eastAsia="Arial" w:hAnsi="Arial" w:cs="Arial"/>
          <w:b/>
          <w:bCs/>
        </w:rPr>
        <w:t>eries y helado</w:t>
      </w:r>
      <w:r>
        <w:rPr>
          <w:rFonts w:ascii="Arial" w:eastAsia="Arial" w:hAnsi="Arial" w:cs="Arial"/>
          <w:b/>
          <w:bCs/>
        </w:rPr>
        <w:t>: el combo perfecto</w:t>
      </w:r>
    </w:p>
    <w:p w14:paraId="7230B9FF" w14:textId="77777777" w:rsidR="005B2BC6" w:rsidRDefault="362DA0BE" w:rsidP="3FD72648">
      <w:pPr>
        <w:spacing w:before="225" w:after="225"/>
        <w:jc w:val="both"/>
        <w:rPr>
          <w:rFonts w:ascii="Arial" w:hAnsi="Arial" w:cs="Arial"/>
        </w:rPr>
      </w:pPr>
      <w:r w:rsidRPr="00F35E00">
        <w:rPr>
          <w:rFonts w:ascii="Arial" w:eastAsia="Arial" w:hAnsi="Arial" w:cs="Arial"/>
          <w:b/>
          <w:bCs/>
        </w:rPr>
        <w:t xml:space="preserve">Ciudad de México, </w:t>
      </w:r>
      <w:r w:rsidR="00D23A2D" w:rsidRPr="00F35E00">
        <w:rPr>
          <w:rFonts w:ascii="Arial" w:eastAsia="Arial" w:hAnsi="Arial" w:cs="Arial"/>
          <w:b/>
          <w:bCs/>
        </w:rPr>
        <w:t xml:space="preserve">20 </w:t>
      </w:r>
      <w:r w:rsidRPr="00F35E00">
        <w:rPr>
          <w:rFonts w:ascii="Arial" w:eastAsia="Arial" w:hAnsi="Arial" w:cs="Arial"/>
          <w:b/>
          <w:bCs/>
        </w:rPr>
        <w:t>de noviembre de 2025.</w:t>
      </w:r>
      <w:r w:rsidRPr="00F35E00">
        <w:rPr>
          <w:rFonts w:ascii="Arial" w:eastAsia="Arial" w:hAnsi="Arial" w:cs="Arial"/>
        </w:rPr>
        <w:t xml:space="preserve"> </w:t>
      </w:r>
      <w:r w:rsidR="009C06BC" w:rsidRPr="00F35E00">
        <w:rPr>
          <w:rFonts w:ascii="Arial" w:hAnsi="Arial" w:cs="Arial"/>
        </w:rPr>
        <w:t>En el marco del Día Mundial de la Televisión, proclamado por la ONU en 1996, m</w:t>
      </w:r>
      <w:r w:rsidR="009C06BC" w:rsidRPr="00D23A2D">
        <w:rPr>
          <w:rFonts w:ascii="Arial" w:hAnsi="Arial" w:cs="Arial"/>
        </w:rPr>
        <w:t xml:space="preserve">illones de personas en todo el mundo celebran el poder de la pantalla como ventana al entretenimiento, información y convivencia. </w:t>
      </w:r>
    </w:p>
    <w:p w14:paraId="0F36DA0C" w14:textId="48CEA0D9" w:rsidR="362DA0BE" w:rsidRDefault="009C06BC" w:rsidP="3FD72648">
      <w:pPr>
        <w:spacing w:before="225" w:after="225"/>
        <w:jc w:val="both"/>
        <w:rPr>
          <w:rFonts w:ascii="Arial" w:eastAsia="Arial" w:hAnsi="Arial" w:cs="Arial"/>
        </w:rPr>
      </w:pPr>
      <w:r w:rsidRPr="00D23A2D">
        <w:rPr>
          <w:rFonts w:ascii="Arial" w:hAnsi="Arial" w:cs="Arial"/>
        </w:rPr>
        <w:t xml:space="preserve">En </w:t>
      </w:r>
      <w:r w:rsidR="005B2BC6">
        <w:rPr>
          <w:rFonts w:ascii="Arial" w:hAnsi="Arial" w:cs="Arial"/>
        </w:rPr>
        <w:t>nuestro país,</w:t>
      </w:r>
      <w:r w:rsidRPr="00D23A2D">
        <w:rPr>
          <w:rFonts w:ascii="Arial" w:hAnsi="Arial" w:cs="Arial"/>
        </w:rPr>
        <w:t xml:space="preserve"> esta fecha tiene un </w:t>
      </w:r>
      <w:r w:rsidR="00917244">
        <w:rPr>
          <w:rFonts w:ascii="Arial" w:hAnsi="Arial" w:cs="Arial"/>
        </w:rPr>
        <w:t>significado</w:t>
      </w:r>
      <w:r w:rsidR="0042726E">
        <w:rPr>
          <w:rFonts w:ascii="Arial" w:hAnsi="Arial" w:cs="Arial"/>
        </w:rPr>
        <w:t xml:space="preserve"> </w:t>
      </w:r>
      <w:r w:rsidRPr="00D23A2D">
        <w:rPr>
          <w:rFonts w:ascii="Arial" w:hAnsi="Arial" w:cs="Arial"/>
        </w:rPr>
        <w:t>especial: la televisión a color es un invento mexicano, creación del ingeniero Guillermo González Camarena. Así, celebramos también el ingenio que cambió la forma de ver el mundo. Y qué mejor manera de hacerlo que con uno de los planes más simples y satisfactorios: un maratón de series o películas acompañado de un buen helado</w:t>
      </w:r>
      <w:r w:rsidR="00917244">
        <w:rPr>
          <w:rFonts w:ascii="Arial" w:hAnsi="Arial" w:cs="Arial"/>
        </w:rPr>
        <w:t>.</w:t>
      </w:r>
    </w:p>
    <w:p w14:paraId="1D9FE7C5" w14:textId="0A5733AF" w:rsidR="362DA0BE" w:rsidRDefault="362DA0BE" w:rsidP="3FD72648">
      <w:pPr>
        <w:spacing w:before="225" w:after="225"/>
        <w:jc w:val="both"/>
        <w:rPr>
          <w:rFonts w:ascii="Arial" w:eastAsia="Arial" w:hAnsi="Arial" w:cs="Arial"/>
        </w:rPr>
      </w:pPr>
      <w:r w:rsidRPr="3FD72648">
        <w:rPr>
          <w:rFonts w:ascii="Arial" w:eastAsia="Arial" w:hAnsi="Arial" w:cs="Arial"/>
        </w:rPr>
        <w:t xml:space="preserve">De acuerdo con datos del INEGI, los mexicanos dedican en promedio 15.4 horas a la semana a actividades relacionadas con medios de comunicación, entre las que destacan ver televisión, escuchar radio y consumir contenidos digitales. Cifras recientes de Nielsen México, a través de su reporte </w:t>
      </w:r>
      <w:r w:rsidRPr="3FD72648">
        <w:rPr>
          <w:rFonts w:ascii="Arial" w:eastAsia="Arial" w:hAnsi="Arial" w:cs="Arial"/>
          <w:i/>
          <w:iCs/>
        </w:rPr>
        <w:t>The Gauge 2025</w:t>
      </w:r>
      <w:r w:rsidRPr="3FD72648">
        <w:rPr>
          <w:rFonts w:ascii="Arial" w:eastAsia="Arial" w:hAnsi="Arial" w:cs="Arial"/>
        </w:rPr>
        <w:t xml:space="preserve">, confirman que el </w:t>
      </w:r>
      <w:proofErr w:type="spellStart"/>
      <w:r w:rsidRPr="3FD72648">
        <w:rPr>
          <w:rFonts w:ascii="Arial" w:eastAsia="Arial" w:hAnsi="Arial" w:cs="Arial"/>
        </w:rPr>
        <w:t>streaming</w:t>
      </w:r>
      <w:proofErr w:type="spellEnd"/>
      <w:r w:rsidRPr="3FD72648">
        <w:rPr>
          <w:rFonts w:ascii="Arial" w:eastAsia="Arial" w:hAnsi="Arial" w:cs="Arial"/>
        </w:rPr>
        <w:t xml:space="preserve"> representa el 25% del tiempo total frente al televisor, lo que muestra un cambio claro en los hábitos de entretenimiento hacia plataformas bajo demanda. Este fenómeno no solo ha transformado la forma en que vemos contenidos, sino también los rituales que los acompañan: el sillón, la manta y</w:t>
      </w:r>
      <w:r w:rsidR="005B2BC6">
        <w:rPr>
          <w:rFonts w:ascii="Arial" w:eastAsia="Arial" w:hAnsi="Arial" w:cs="Arial"/>
        </w:rPr>
        <w:t xml:space="preserve"> un snack para complementar la experiencia.</w:t>
      </w:r>
    </w:p>
    <w:p w14:paraId="35132451" w14:textId="1CB1172A" w:rsidR="362DA0BE" w:rsidRDefault="362DA0BE" w:rsidP="3FD72648">
      <w:pPr>
        <w:spacing w:before="225" w:after="225"/>
        <w:jc w:val="both"/>
        <w:rPr>
          <w:rFonts w:ascii="Arial" w:eastAsia="Arial" w:hAnsi="Arial" w:cs="Arial"/>
        </w:rPr>
      </w:pPr>
      <w:r w:rsidRPr="3FD72648">
        <w:rPr>
          <w:rFonts w:ascii="Arial" w:eastAsia="Arial" w:hAnsi="Arial" w:cs="Arial"/>
        </w:rPr>
        <w:t xml:space="preserve">El helado, tradicionalmente asociado con momentos </w:t>
      </w:r>
      <w:r w:rsidR="00EE4B96">
        <w:rPr>
          <w:rFonts w:ascii="Arial" w:eastAsia="Arial" w:hAnsi="Arial" w:cs="Arial"/>
        </w:rPr>
        <w:t>de felicidad</w:t>
      </w:r>
      <w:r w:rsidRPr="3FD72648">
        <w:rPr>
          <w:rFonts w:ascii="Arial" w:eastAsia="Arial" w:hAnsi="Arial" w:cs="Arial"/>
        </w:rPr>
        <w:t xml:space="preserve">, se ha consolidado como uno de los snacks preferidos para disfrutar en casa. De acuerdo con información publicada por Kantar Worldpanel, este producto forma parte del consumo cotidiano en el hogar, especialmente en temporadas cálidas y entre familias jóvenes. Además, siete de cada diez </w:t>
      </w:r>
      <w:r w:rsidR="005B2BC6">
        <w:rPr>
          <w:rFonts w:ascii="Arial" w:eastAsia="Arial" w:hAnsi="Arial" w:cs="Arial"/>
        </w:rPr>
        <w:t xml:space="preserve">familias </w:t>
      </w:r>
      <w:r w:rsidRPr="3FD72648">
        <w:rPr>
          <w:rFonts w:ascii="Arial" w:eastAsia="Arial" w:hAnsi="Arial" w:cs="Arial"/>
        </w:rPr>
        <w:t xml:space="preserve">en México compran helado regularmente, lo que refuerza su papel como un acompañante ideal para </w:t>
      </w:r>
      <w:r w:rsidR="005B2BC6">
        <w:rPr>
          <w:rFonts w:ascii="Arial" w:eastAsia="Arial" w:hAnsi="Arial" w:cs="Arial"/>
        </w:rPr>
        <w:t xml:space="preserve">los momentos de </w:t>
      </w:r>
      <w:r w:rsidRPr="3FD72648">
        <w:rPr>
          <w:rFonts w:ascii="Arial" w:eastAsia="Arial" w:hAnsi="Arial" w:cs="Arial"/>
        </w:rPr>
        <w:t>entretenimiento.</w:t>
      </w:r>
    </w:p>
    <w:p w14:paraId="4ACEB278" w14:textId="59CD1BAC" w:rsidR="362DA0BE" w:rsidRPr="009C06BC" w:rsidRDefault="362DA0BE" w:rsidP="3FD72648">
      <w:pPr>
        <w:spacing w:before="225" w:after="225"/>
        <w:jc w:val="both"/>
        <w:rPr>
          <w:rFonts w:ascii="Arial" w:eastAsia="Arial" w:hAnsi="Arial" w:cs="Arial"/>
        </w:rPr>
      </w:pPr>
      <w:r w:rsidRPr="3FD72648">
        <w:rPr>
          <w:rFonts w:ascii="Arial" w:eastAsia="Arial" w:hAnsi="Arial" w:cs="Arial"/>
        </w:rPr>
        <w:t xml:space="preserve">Y es que la relación entre el helado y el maratón de series tiene sentido: ambos están hechos para disfrutarse sin prisa, a tu ritmo y en compañía de lo que te gusta. Su practicidad —puede comerse sin interrumpir la pantalla— y su amplia variedad de sabores hacen que sea el compañero perfecto para esos momentos de descanso que </w:t>
      </w:r>
      <w:r w:rsidRPr="009C06BC">
        <w:rPr>
          <w:rFonts w:ascii="Arial" w:eastAsia="Arial" w:hAnsi="Arial" w:cs="Arial"/>
        </w:rPr>
        <w:t>se prolongan episodio tras episodio.</w:t>
      </w:r>
    </w:p>
    <w:p w14:paraId="3F87D9D6" w14:textId="74EC57B3" w:rsidR="009C06BC" w:rsidRPr="009C06BC" w:rsidRDefault="005B2BC6" w:rsidP="3FD72648">
      <w:pPr>
        <w:spacing w:before="225" w:after="225"/>
        <w:jc w:val="both"/>
        <w:rPr>
          <w:rFonts w:ascii="Arial" w:eastAsia="Arial" w:hAnsi="Arial" w:cs="Arial"/>
        </w:rPr>
      </w:pPr>
      <w:r>
        <w:rPr>
          <w:rFonts w:ascii="Arial" w:hAnsi="Arial" w:cs="Arial"/>
        </w:rPr>
        <w:t>L</w:t>
      </w:r>
      <w:r w:rsidR="009C06BC" w:rsidRPr="00D23A2D">
        <w:rPr>
          <w:rFonts w:ascii="Arial" w:hAnsi="Arial" w:cs="Arial"/>
        </w:rPr>
        <w:t xml:space="preserve">as plataformas de </w:t>
      </w:r>
      <w:proofErr w:type="spellStart"/>
      <w:r w:rsidR="009C06BC" w:rsidRPr="00D23A2D">
        <w:rPr>
          <w:rFonts w:ascii="Arial" w:hAnsi="Arial" w:cs="Arial"/>
        </w:rPr>
        <w:t>streaming</w:t>
      </w:r>
      <w:proofErr w:type="spellEnd"/>
      <w:r w:rsidR="009C06BC" w:rsidRPr="00D23A2D">
        <w:rPr>
          <w:rFonts w:ascii="Arial" w:hAnsi="Arial" w:cs="Arial"/>
        </w:rPr>
        <w:t xml:space="preserve"> </w:t>
      </w:r>
      <w:r w:rsidR="00917244">
        <w:rPr>
          <w:rFonts w:ascii="Arial" w:hAnsi="Arial" w:cs="Arial"/>
        </w:rPr>
        <w:t xml:space="preserve">continúan liderando </w:t>
      </w:r>
      <w:r w:rsidR="009C06BC" w:rsidRPr="00D23A2D">
        <w:rPr>
          <w:rFonts w:ascii="Arial" w:hAnsi="Arial" w:cs="Arial"/>
        </w:rPr>
        <w:t>la conversación global</w:t>
      </w:r>
      <w:r>
        <w:rPr>
          <w:rFonts w:ascii="Arial" w:hAnsi="Arial" w:cs="Arial"/>
        </w:rPr>
        <w:t>.</w:t>
      </w:r>
      <w:r w:rsidR="009C06BC" w:rsidRPr="00D23A2D">
        <w:rPr>
          <w:rFonts w:ascii="Arial" w:hAnsi="Arial" w:cs="Arial"/>
        </w:rPr>
        <w:t xml:space="preserve"> </w:t>
      </w:r>
      <w:r>
        <w:rPr>
          <w:rFonts w:ascii="Arial" w:hAnsi="Arial" w:cs="Arial"/>
        </w:rPr>
        <w:t>En 2025, l</w:t>
      </w:r>
      <w:r w:rsidR="009C06BC" w:rsidRPr="00D23A2D">
        <w:rPr>
          <w:rFonts w:ascii="Arial" w:hAnsi="Arial" w:cs="Arial"/>
        </w:rPr>
        <w:t xml:space="preserve">as audiencias </w:t>
      </w:r>
      <w:r>
        <w:rPr>
          <w:rFonts w:ascii="Arial" w:hAnsi="Arial" w:cs="Arial"/>
        </w:rPr>
        <w:t>han dedicado</w:t>
      </w:r>
      <w:r w:rsidR="009C06BC" w:rsidRPr="00D23A2D">
        <w:rPr>
          <w:rFonts w:ascii="Arial" w:hAnsi="Arial" w:cs="Arial"/>
        </w:rPr>
        <w:t xml:space="preserve"> miles de millones de minutos a ver contenido bajo demanda, impulsadas por producciones originales, historias que conectan emocionalmente y formatos que se adaptan a cada estilo de vida. Esta tendencia confirma no solo la fuerza del </w:t>
      </w:r>
      <w:proofErr w:type="spellStart"/>
      <w:r w:rsidR="009C06BC" w:rsidRPr="00D23A2D">
        <w:rPr>
          <w:rFonts w:ascii="Arial" w:hAnsi="Arial" w:cs="Arial"/>
        </w:rPr>
        <w:t>streaming</w:t>
      </w:r>
      <w:proofErr w:type="spellEnd"/>
      <w:r w:rsidR="009C06BC" w:rsidRPr="00D23A2D">
        <w:rPr>
          <w:rFonts w:ascii="Arial" w:hAnsi="Arial" w:cs="Arial"/>
        </w:rPr>
        <w:t xml:space="preserve"> como principal fuente de entretenimiento, sino también la permanencia del hogar como el escenario favorito para disfrutar, relajarse y compartir momentos.</w:t>
      </w:r>
      <w:r w:rsidR="009C06BC" w:rsidRPr="009C06BC" w:rsidDel="009C06BC">
        <w:rPr>
          <w:rFonts w:ascii="Arial" w:eastAsia="Arial" w:hAnsi="Arial" w:cs="Arial"/>
        </w:rPr>
        <w:t xml:space="preserve"> </w:t>
      </w:r>
    </w:p>
    <w:p w14:paraId="0AED96CA" w14:textId="30AF92F5" w:rsidR="362DA0BE" w:rsidRDefault="362DA0BE" w:rsidP="3FD72648">
      <w:pPr>
        <w:spacing w:before="225" w:after="225"/>
        <w:jc w:val="both"/>
        <w:rPr>
          <w:rFonts w:ascii="Arial" w:eastAsia="Arial" w:hAnsi="Arial" w:cs="Arial"/>
        </w:rPr>
      </w:pPr>
      <w:r w:rsidRPr="3FD72648">
        <w:rPr>
          <w:rFonts w:ascii="Arial" w:eastAsia="Arial" w:hAnsi="Arial" w:cs="Arial"/>
        </w:rPr>
        <w:lastRenderedPageBreak/>
        <w:t xml:space="preserve">Así, en el Día Mundial de la Televisión, celebrar con un helado en mano y una lista de series pendientes es mucho más que un plan </w:t>
      </w:r>
      <w:r w:rsidR="005B2BC6">
        <w:rPr>
          <w:rFonts w:ascii="Arial" w:eastAsia="Arial" w:hAnsi="Arial" w:cs="Arial"/>
        </w:rPr>
        <w:t>ideal</w:t>
      </w:r>
      <w:r w:rsidRPr="3FD72648">
        <w:rPr>
          <w:rFonts w:ascii="Arial" w:eastAsia="Arial" w:hAnsi="Arial" w:cs="Arial"/>
        </w:rPr>
        <w:t>: es una manera de reivindicar el disfrute personal y los pequeños placeres cotidianos. Porque, al final, el mejor lugar para maratonear sigue siendo el sofá, y el mejor sabor, el que te acompaña a cada pausa y a cada capítulo.</w:t>
      </w:r>
    </w:p>
    <w:p w14:paraId="3EA813E8" w14:textId="432681EC" w:rsidR="362DA0BE" w:rsidRPr="00F35E00" w:rsidRDefault="362DA0BE" w:rsidP="3FD72648">
      <w:pPr>
        <w:spacing w:before="225" w:after="225"/>
        <w:jc w:val="both"/>
        <w:rPr>
          <w:rFonts w:ascii="Arial" w:eastAsia="Arial" w:hAnsi="Arial" w:cs="Arial"/>
        </w:rPr>
      </w:pPr>
      <w:r w:rsidRPr="00F35E00">
        <w:rPr>
          <w:rFonts w:ascii="Arial" w:eastAsia="Arial" w:hAnsi="Arial" w:cs="Arial"/>
        </w:rPr>
        <w:t xml:space="preserve">ONU, Resolución A/RES/51/205, </w:t>
      </w:r>
      <w:r w:rsidRPr="00F35E00">
        <w:rPr>
          <w:rFonts w:ascii="Arial" w:eastAsia="Arial" w:hAnsi="Arial" w:cs="Arial"/>
          <w:i/>
          <w:iCs/>
        </w:rPr>
        <w:t>World Television Day</w:t>
      </w:r>
      <w:r w:rsidRPr="00F35E00">
        <w:rPr>
          <w:rFonts w:ascii="Arial" w:eastAsia="Arial" w:hAnsi="Arial" w:cs="Arial"/>
        </w:rPr>
        <w:t>.</w:t>
      </w:r>
    </w:p>
    <w:p w14:paraId="7D0882A5" w14:textId="27577531" w:rsidR="362DA0BE" w:rsidRPr="00F35E00" w:rsidRDefault="362DA0BE" w:rsidP="3FD72648">
      <w:pPr>
        <w:spacing w:before="225" w:after="225"/>
        <w:jc w:val="both"/>
        <w:rPr>
          <w:rFonts w:ascii="Arial" w:eastAsia="Arial" w:hAnsi="Arial" w:cs="Arial"/>
        </w:rPr>
      </w:pPr>
      <w:r w:rsidRPr="00F35E00">
        <w:rPr>
          <w:rFonts w:ascii="Arial" w:eastAsia="Arial" w:hAnsi="Arial" w:cs="Arial"/>
        </w:rPr>
        <w:t xml:space="preserve">INEGI, </w:t>
      </w:r>
      <w:r w:rsidRPr="00F35E00">
        <w:rPr>
          <w:rFonts w:ascii="Arial" w:eastAsia="Arial" w:hAnsi="Arial" w:cs="Arial"/>
          <w:i/>
          <w:iCs/>
        </w:rPr>
        <w:t>Encuesta Nacional sobre Uso del Tiempo 2024 (ENUT)</w:t>
      </w:r>
      <w:r w:rsidRPr="00F35E00">
        <w:rPr>
          <w:rFonts w:ascii="Arial" w:eastAsia="Arial" w:hAnsi="Arial" w:cs="Arial"/>
        </w:rPr>
        <w:t>.</w:t>
      </w:r>
    </w:p>
    <w:p w14:paraId="24F508C2" w14:textId="005BCDC5" w:rsidR="362DA0BE" w:rsidRPr="00F35E00" w:rsidRDefault="362DA0BE" w:rsidP="3FD72648">
      <w:pPr>
        <w:spacing w:before="225" w:after="225"/>
        <w:jc w:val="both"/>
        <w:rPr>
          <w:rFonts w:ascii="Arial" w:eastAsia="Arial" w:hAnsi="Arial" w:cs="Arial"/>
        </w:rPr>
      </w:pPr>
      <w:r w:rsidRPr="00F35E00">
        <w:rPr>
          <w:rFonts w:ascii="Arial" w:eastAsia="Arial" w:hAnsi="Arial" w:cs="Arial"/>
        </w:rPr>
        <w:t xml:space="preserve">Nielsen, </w:t>
      </w:r>
      <w:r w:rsidRPr="00F35E00">
        <w:rPr>
          <w:rFonts w:ascii="Arial" w:eastAsia="Arial" w:hAnsi="Arial" w:cs="Arial"/>
          <w:i/>
          <w:iCs/>
        </w:rPr>
        <w:t>The Gauge México, agosto 2025</w:t>
      </w:r>
      <w:r w:rsidRPr="00F35E00">
        <w:rPr>
          <w:rFonts w:ascii="Arial" w:eastAsia="Arial" w:hAnsi="Arial" w:cs="Arial"/>
        </w:rPr>
        <w:t>.</w:t>
      </w:r>
    </w:p>
    <w:p w14:paraId="2923FF02" w14:textId="7264BD83" w:rsidR="362DA0BE" w:rsidRPr="00F35E00" w:rsidRDefault="362DA0BE" w:rsidP="3FD72648">
      <w:pPr>
        <w:spacing w:before="225" w:after="225"/>
        <w:jc w:val="both"/>
        <w:rPr>
          <w:rFonts w:ascii="Arial" w:eastAsia="Arial" w:hAnsi="Arial" w:cs="Arial"/>
        </w:rPr>
      </w:pPr>
      <w:r w:rsidRPr="00F35E00">
        <w:rPr>
          <w:rFonts w:ascii="Arial" w:eastAsia="Arial" w:hAnsi="Arial" w:cs="Arial"/>
        </w:rPr>
        <w:t xml:space="preserve">Kantar Worldpanel México, </w:t>
      </w:r>
      <w:r w:rsidRPr="00F35E00">
        <w:rPr>
          <w:rFonts w:ascii="Arial" w:eastAsia="Arial" w:hAnsi="Arial" w:cs="Arial"/>
          <w:i/>
          <w:iCs/>
        </w:rPr>
        <w:t>Tendencias de consumo en alimentos y postres 2024</w:t>
      </w:r>
      <w:r w:rsidRPr="00F35E00">
        <w:rPr>
          <w:rFonts w:ascii="Arial" w:eastAsia="Arial" w:hAnsi="Arial" w:cs="Arial"/>
        </w:rPr>
        <w:t>.</w:t>
      </w:r>
    </w:p>
    <w:p w14:paraId="0CCC022F" w14:textId="42D30BE6" w:rsidR="362DA0BE" w:rsidRPr="00EE4B96" w:rsidRDefault="362DA0BE" w:rsidP="3FD72648">
      <w:pPr>
        <w:spacing w:before="225" w:after="225"/>
        <w:jc w:val="both"/>
        <w:rPr>
          <w:rFonts w:ascii="Arial" w:eastAsia="Arial" w:hAnsi="Arial" w:cs="Arial"/>
          <w:lang w:val="en-US"/>
        </w:rPr>
      </w:pPr>
      <w:r w:rsidRPr="00F35E00">
        <w:rPr>
          <w:rFonts w:ascii="Arial" w:eastAsia="Arial" w:hAnsi="Arial" w:cs="Arial"/>
          <w:lang w:val="en-US"/>
        </w:rPr>
        <w:t xml:space="preserve">Nielsen, </w:t>
      </w:r>
      <w:r w:rsidRPr="00F35E00">
        <w:rPr>
          <w:rFonts w:ascii="Arial" w:eastAsia="Arial" w:hAnsi="Arial" w:cs="Arial"/>
          <w:i/>
          <w:iCs/>
          <w:lang w:val="en-US"/>
        </w:rPr>
        <w:t>Top Streaming Series H1 2025</w:t>
      </w:r>
      <w:r w:rsidRPr="00F35E00">
        <w:rPr>
          <w:rFonts w:ascii="Arial" w:eastAsia="Arial" w:hAnsi="Arial" w:cs="Arial"/>
          <w:lang w:val="en-US"/>
        </w:rPr>
        <w:t>.</w:t>
      </w:r>
    </w:p>
    <w:p w14:paraId="239FAA1A" w14:textId="5068E8F2" w:rsidR="3FD72648" w:rsidRPr="00EE4B96" w:rsidRDefault="3FD72648" w:rsidP="3FD72648">
      <w:pPr>
        <w:spacing w:before="225" w:after="225"/>
        <w:jc w:val="both"/>
        <w:rPr>
          <w:rFonts w:ascii="Arial" w:eastAsia="Arial" w:hAnsi="Arial" w:cs="Arial"/>
          <w:lang w:val="en-US"/>
        </w:rPr>
      </w:pPr>
    </w:p>
    <w:p w14:paraId="4F50E995" w14:textId="50146046" w:rsidR="3FD72648" w:rsidRPr="00EE4B96" w:rsidRDefault="3FD72648" w:rsidP="3FD72648">
      <w:pPr>
        <w:spacing w:before="225" w:after="225"/>
        <w:jc w:val="both"/>
        <w:rPr>
          <w:rFonts w:ascii="Arial" w:eastAsia="Arial" w:hAnsi="Arial" w:cs="Arial"/>
          <w:b/>
          <w:bCs/>
          <w:lang w:val="en-US"/>
        </w:rPr>
      </w:pPr>
    </w:p>
    <w:p w14:paraId="5C1A07E2" w14:textId="4B9D3F87" w:rsidR="00196F25" w:rsidRPr="00EE4B96" w:rsidRDefault="00196F25" w:rsidP="3FD72648">
      <w:pPr>
        <w:jc w:val="both"/>
        <w:rPr>
          <w:rFonts w:ascii="Arial" w:eastAsia="Arial" w:hAnsi="Arial" w:cs="Arial"/>
          <w:lang w:val="en-US"/>
        </w:rPr>
      </w:pPr>
    </w:p>
    <w:sectPr w:rsidR="00196F25" w:rsidRPr="00EE4B96">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E3EF" w14:textId="77777777" w:rsidR="003E07F9" w:rsidRDefault="003E07F9">
      <w:pPr>
        <w:spacing w:after="0" w:line="240" w:lineRule="auto"/>
      </w:pPr>
      <w:r>
        <w:separator/>
      </w:r>
    </w:p>
  </w:endnote>
  <w:endnote w:type="continuationSeparator" w:id="0">
    <w:p w14:paraId="406F3F10" w14:textId="77777777" w:rsidR="003E07F9" w:rsidRDefault="003E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11A746" w14:paraId="71DDC643" w14:textId="77777777" w:rsidTr="7011A746">
      <w:trPr>
        <w:trHeight w:val="300"/>
      </w:trPr>
      <w:tc>
        <w:tcPr>
          <w:tcW w:w="3005" w:type="dxa"/>
        </w:tcPr>
        <w:p w14:paraId="0141828A" w14:textId="66A27B2C" w:rsidR="7011A746" w:rsidRDefault="7011A746" w:rsidP="7011A746">
          <w:pPr>
            <w:pStyle w:val="Encabezado"/>
            <w:ind w:left="-115"/>
          </w:pPr>
        </w:p>
      </w:tc>
      <w:tc>
        <w:tcPr>
          <w:tcW w:w="3005" w:type="dxa"/>
        </w:tcPr>
        <w:p w14:paraId="2407C731" w14:textId="15DA7FD7" w:rsidR="7011A746" w:rsidRDefault="7011A746" w:rsidP="7011A746">
          <w:pPr>
            <w:pStyle w:val="Encabezado"/>
            <w:jc w:val="center"/>
          </w:pPr>
        </w:p>
      </w:tc>
      <w:tc>
        <w:tcPr>
          <w:tcW w:w="3005" w:type="dxa"/>
        </w:tcPr>
        <w:p w14:paraId="1A25AB6A" w14:textId="05D15D4A" w:rsidR="7011A746" w:rsidRDefault="7011A746" w:rsidP="7011A746">
          <w:pPr>
            <w:pStyle w:val="Encabezado"/>
            <w:ind w:right="-115"/>
            <w:jc w:val="right"/>
          </w:pPr>
        </w:p>
      </w:tc>
    </w:tr>
  </w:tbl>
  <w:p w14:paraId="46432365" w14:textId="4CDD28F8" w:rsidR="7011A746" w:rsidRDefault="7011A746" w:rsidP="7011A7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7C30" w14:textId="77777777" w:rsidR="003E07F9" w:rsidRDefault="003E07F9">
      <w:pPr>
        <w:spacing w:after="0" w:line="240" w:lineRule="auto"/>
      </w:pPr>
      <w:r>
        <w:separator/>
      </w:r>
    </w:p>
  </w:footnote>
  <w:footnote w:type="continuationSeparator" w:id="0">
    <w:p w14:paraId="6C48FBEA" w14:textId="77777777" w:rsidR="003E07F9" w:rsidRDefault="003E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011A746" w14:paraId="04AABDBE" w14:textId="77777777" w:rsidTr="7011A746">
      <w:trPr>
        <w:trHeight w:val="300"/>
      </w:trPr>
      <w:tc>
        <w:tcPr>
          <w:tcW w:w="3005" w:type="dxa"/>
        </w:tcPr>
        <w:p w14:paraId="45E56E08" w14:textId="0CC261BF" w:rsidR="7011A746" w:rsidRDefault="7011A746" w:rsidP="7011A746">
          <w:pPr>
            <w:pStyle w:val="Encabezado"/>
            <w:ind w:left="-115"/>
          </w:pPr>
          <w:r>
            <w:rPr>
              <w:noProof/>
            </w:rPr>
            <w:drawing>
              <wp:inline distT="0" distB="0" distL="0" distR="0" wp14:anchorId="1017EB25" wp14:editId="669F3050">
                <wp:extent cx="1419225" cy="428625"/>
                <wp:effectExtent l="0" t="0" r="0" b="0"/>
                <wp:docPr id="14445854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85405"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428625"/>
                        </a:xfrm>
                        <a:prstGeom prst="rect">
                          <a:avLst/>
                        </a:prstGeom>
                      </pic:spPr>
                    </pic:pic>
                  </a:graphicData>
                </a:graphic>
              </wp:inline>
            </w:drawing>
          </w:r>
        </w:p>
      </w:tc>
      <w:tc>
        <w:tcPr>
          <w:tcW w:w="3005" w:type="dxa"/>
        </w:tcPr>
        <w:p w14:paraId="0BD7D184" w14:textId="79CECD9F" w:rsidR="7011A746" w:rsidRDefault="7011A746" w:rsidP="7011A746">
          <w:pPr>
            <w:pStyle w:val="Encabezado"/>
            <w:jc w:val="center"/>
          </w:pPr>
        </w:p>
      </w:tc>
      <w:tc>
        <w:tcPr>
          <w:tcW w:w="3005" w:type="dxa"/>
        </w:tcPr>
        <w:p w14:paraId="49ECD274" w14:textId="323FC8E4" w:rsidR="7011A746" w:rsidRDefault="7011A746" w:rsidP="7011A746">
          <w:pPr>
            <w:pStyle w:val="Encabezado"/>
            <w:ind w:right="-115"/>
            <w:jc w:val="right"/>
          </w:pPr>
        </w:p>
      </w:tc>
    </w:tr>
  </w:tbl>
  <w:p w14:paraId="109DC919" w14:textId="64D27EB5" w:rsidR="7011A746" w:rsidRDefault="7011A746" w:rsidP="7011A7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84462"/>
    <w:multiLevelType w:val="hybridMultilevel"/>
    <w:tmpl w:val="FDBE18C8"/>
    <w:lvl w:ilvl="0" w:tplc="2946CC62">
      <w:start w:val="1"/>
      <w:numFmt w:val="bullet"/>
      <w:lvlText w:val=""/>
      <w:lvlJc w:val="left"/>
      <w:pPr>
        <w:ind w:left="720" w:hanging="360"/>
      </w:pPr>
      <w:rPr>
        <w:rFonts w:ascii="Symbol" w:hAnsi="Symbol" w:hint="default"/>
      </w:rPr>
    </w:lvl>
    <w:lvl w:ilvl="1" w:tplc="53F670AA">
      <w:start w:val="1"/>
      <w:numFmt w:val="bullet"/>
      <w:lvlText w:val="o"/>
      <w:lvlJc w:val="left"/>
      <w:pPr>
        <w:ind w:left="1440" w:hanging="360"/>
      </w:pPr>
      <w:rPr>
        <w:rFonts w:ascii="Courier New" w:hAnsi="Courier New" w:hint="default"/>
      </w:rPr>
    </w:lvl>
    <w:lvl w:ilvl="2" w:tplc="A40E2DEC">
      <w:start w:val="1"/>
      <w:numFmt w:val="bullet"/>
      <w:lvlText w:val=""/>
      <w:lvlJc w:val="left"/>
      <w:pPr>
        <w:ind w:left="2160" w:hanging="360"/>
      </w:pPr>
      <w:rPr>
        <w:rFonts w:ascii="Wingdings" w:hAnsi="Wingdings" w:hint="default"/>
      </w:rPr>
    </w:lvl>
    <w:lvl w:ilvl="3" w:tplc="372291F8">
      <w:start w:val="1"/>
      <w:numFmt w:val="bullet"/>
      <w:lvlText w:val=""/>
      <w:lvlJc w:val="left"/>
      <w:pPr>
        <w:ind w:left="2880" w:hanging="360"/>
      </w:pPr>
      <w:rPr>
        <w:rFonts w:ascii="Symbol" w:hAnsi="Symbol" w:hint="default"/>
      </w:rPr>
    </w:lvl>
    <w:lvl w:ilvl="4" w:tplc="47F63CA0">
      <w:start w:val="1"/>
      <w:numFmt w:val="bullet"/>
      <w:lvlText w:val="o"/>
      <w:lvlJc w:val="left"/>
      <w:pPr>
        <w:ind w:left="3600" w:hanging="360"/>
      </w:pPr>
      <w:rPr>
        <w:rFonts w:ascii="Courier New" w:hAnsi="Courier New" w:hint="default"/>
      </w:rPr>
    </w:lvl>
    <w:lvl w:ilvl="5" w:tplc="13DA02AA">
      <w:start w:val="1"/>
      <w:numFmt w:val="bullet"/>
      <w:lvlText w:val=""/>
      <w:lvlJc w:val="left"/>
      <w:pPr>
        <w:ind w:left="4320" w:hanging="360"/>
      </w:pPr>
      <w:rPr>
        <w:rFonts w:ascii="Wingdings" w:hAnsi="Wingdings" w:hint="default"/>
      </w:rPr>
    </w:lvl>
    <w:lvl w:ilvl="6" w:tplc="87C6458C">
      <w:start w:val="1"/>
      <w:numFmt w:val="bullet"/>
      <w:lvlText w:val=""/>
      <w:lvlJc w:val="left"/>
      <w:pPr>
        <w:ind w:left="5040" w:hanging="360"/>
      </w:pPr>
      <w:rPr>
        <w:rFonts w:ascii="Symbol" w:hAnsi="Symbol" w:hint="default"/>
      </w:rPr>
    </w:lvl>
    <w:lvl w:ilvl="7" w:tplc="916689A4">
      <w:start w:val="1"/>
      <w:numFmt w:val="bullet"/>
      <w:lvlText w:val="o"/>
      <w:lvlJc w:val="left"/>
      <w:pPr>
        <w:ind w:left="5760" w:hanging="360"/>
      </w:pPr>
      <w:rPr>
        <w:rFonts w:ascii="Courier New" w:hAnsi="Courier New" w:hint="default"/>
      </w:rPr>
    </w:lvl>
    <w:lvl w:ilvl="8" w:tplc="FF04FE9E">
      <w:start w:val="1"/>
      <w:numFmt w:val="bullet"/>
      <w:lvlText w:val=""/>
      <w:lvlJc w:val="left"/>
      <w:pPr>
        <w:ind w:left="6480" w:hanging="360"/>
      </w:pPr>
      <w:rPr>
        <w:rFonts w:ascii="Wingdings" w:hAnsi="Wingdings" w:hint="default"/>
      </w:rPr>
    </w:lvl>
  </w:abstractNum>
  <w:abstractNum w:abstractNumId="1" w15:restartNumberingAfterBreak="0">
    <w:nsid w:val="5598E7D8"/>
    <w:multiLevelType w:val="hybridMultilevel"/>
    <w:tmpl w:val="264EC064"/>
    <w:lvl w:ilvl="0" w:tplc="7872492E">
      <w:start w:val="1"/>
      <w:numFmt w:val="decimal"/>
      <w:lvlText w:val="%1."/>
      <w:lvlJc w:val="left"/>
      <w:pPr>
        <w:ind w:left="720" w:hanging="360"/>
      </w:pPr>
    </w:lvl>
    <w:lvl w:ilvl="1" w:tplc="D79876C0">
      <w:start w:val="1"/>
      <w:numFmt w:val="lowerLetter"/>
      <w:lvlText w:val="%2."/>
      <w:lvlJc w:val="left"/>
      <w:pPr>
        <w:ind w:left="1440" w:hanging="360"/>
      </w:pPr>
    </w:lvl>
    <w:lvl w:ilvl="2" w:tplc="13EED6FE">
      <w:start w:val="1"/>
      <w:numFmt w:val="lowerRoman"/>
      <w:lvlText w:val="%3."/>
      <w:lvlJc w:val="right"/>
      <w:pPr>
        <w:ind w:left="2160" w:hanging="180"/>
      </w:pPr>
    </w:lvl>
    <w:lvl w:ilvl="3" w:tplc="880EFEE6">
      <w:start w:val="1"/>
      <w:numFmt w:val="decimal"/>
      <w:lvlText w:val="%4."/>
      <w:lvlJc w:val="left"/>
      <w:pPr>
        <w:ind w:left="2880" w:hanging="360"/>
      </w:pPr>
    </w:lvl>
    <w:lvl w:ilvl="4" w:tplc="6E505E4C">
      <w:start w:val="1"/>
      <w:numFmt w:val="lowerLetter"/>
      <w:lvlText w:val="%5."/>
      <w:lvlJc w:val="left"/>
      <w:pPr>
        <w:ind w:left="3600" w:hanging="360"/>
      </w:pPr>
    </w:lvl>
    <w:lvl w:ilvl="5" w:tplc="F2CE6FA6">
      <w:start w:val="1"/>
      <w:numFmt w:val="lowerRoman"/>
      <w:lvlText w:val="%6."/>
      <w:lvlJc w:val="right"/>
      <w:pPr>
        <w:ind w:left="4320" w:hanging="180"/>
      </w:pPr>
    </w:lvl>
    <w:lvl w:ilvl="6" w:tplc="C4EC0A94">
      <w:start w:val="1"/>
      <w:numFmt w:val="decimal"/>
      <w:lvlText w:val="%7."/>
      <w:lvlJc w:val="left"/>
      <w:pPr>
        <w:ind w:left="5040" w:hanging="360"/>
      </w:pPr>
    </w:lvl>
    <w:lvl w:ilvl="7" w:tplc="303CE59E">
      <w:start w:val="1"/>
      <w:numFmt w:val="lowerLetter"/>
      <w:lvlText w:val="%8."/>
      <w:lvlJc w:val="left"/>
      <w:pPr>
        <w:ind w:left="5760" w:hanging="360"/>
      </w:pPr>
    </w:lvl>
    <w:lvl w:ilvl="8" w:tplc="8C505992">
      <w:start w:val="1"/>
      <w:numFmt w:val="lowerRoman"/>
      <w:lvlText w:val="%9."/>
      <w:lvlJc w:val="right"/>
      <w:pPr>
        <w:ind w:left="6480" w:hanging="180"/>
      </w:pPr>
    </w:lvl>
  </w:abstractNum>
  <w:num w:numId="1" w16cid:durableId="934871788">
    <w:abstractNumId w:val="0"/>
  </w:num>
  <w:num w:numId="2" w16cid:durableId="144553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C51F7"/>
    <w:rsid w:val="00196F25"/>
    <w:rsid w:val="00243095"/>
    <w:rsid w:val="002E2BAE"/>
    <w:rsid w:val="003E07F9"/>
    <w:rsid w:val="0042726E"/>
    <w:rsid w:val="005B2BC6"/>
    <w:rsid w:val="006726B8"/>
    <w:rsid w:val="008F6821"/>
    <w:rsid w:val="00917244"/>
    <w:rsid w:val="00946486"/>
    <w:rsid w:val="009725B5"/>
    <w:rsid w:val="009C06BC"/>
    <w:rsid w:val="00AF64AD"/>
    <w:rsid w:val="00BE3093"/>
    <w:rsid w:val="00BF00F7"/>
    <w:rsid w:val="00D23A2D"/>
    <w:rsid w:val="00E4022D"/>
    <w:rsid w:val="00EE4B96"/>
    <w:rsid w:val="00F35E00"/>
    <w:rsid w:val="00F4027F"/>
    <w:rsid w:val="00FA4B97"/>
    <w:rsid w:val="0EFD2469"/>
    <w:rsid w:val="1373E7DE"/>
    <w:rsid w:val="16B1ECD6"/>
    <w:rsid w:val="1EC3A86C"/>
    <w:rsid w:val="206C51F7"/>
    <w:rsid w:val="2CF2940D"/>
    <w:rsid w:val="362DA0BE"/>
    <w:rsid w:val="3B7E549A"/>
    <w:rsid w:val="3FD72648"/>
    <w:rsid w:val="5FE127BE"/>
    <w:rsid w:val="632DC40B"/>
    <w:rsid w:val="6BE75F3A"/>
    <w:rsid w:val="7011A746"/>
    <w:rsid w:val="7510050A"/>
    <w:rsid w:val="7C1F93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51F7"/>
  <w15:chartTrackingRefBased/>
  <w15:docId w15:val="{0B6C3822-563C-4F47-914A-67C7F6AE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3FD72648"/>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rsid w:val="0EFD2469"/>
    <w:pPr>
      <w:ind w:left="720"/>
      <w:contextualSpacing/>
    </w:pPr>
  </w:style>
  <w:style w:type="character" w:styleId="Refdecomentario">
    <w:name w:val="annotation reference"/>
    <w:basedOn w:val="Fuentedeprrafopredeter"/>
    <w:uiPriority w:val="99"/>
    <w:semiHidden/>
    <w:unhideWhenUsed/>
    <w:rsid w:val="00EE4B96"/>
    <w:rPr>
      <w:sz w:val="16"/>
      <w:szCs w:val="16"/>
    </w:rPr>
  </w:style>
  <w:style w:type="paragraph" w:styleId="Textocomentario">
    <w:name w:val="annotation text"/>
    <w:basedOn w:val="Normal"/>
    <w:link w:val="TextocomentarioCar"/>
    <w:uiPriority w:val="99"/>
    <w:unhideWhenUsed/>
    <w:rsid w:val="00EE4B96"/>
    <w:pPr>
      <w:spacing w:line="240" w:lineRule="auto"/>
    </w:pPr>
    <w:rPr>
      <w:sz w:val="20"/>
      <w:szCs w:val="20"/>
    </w:rPr>
  </w:style>
  <w:style w:type="character" w:customStyle="1" w:styleId="TextocomentarioCar">
    <w:name w:val="Texto comentario Car"/>
    <w:basedOn w:val="Fuentedeprrafopredeter"/>
    <w:link w:val="Textocomentario"/>
    <w:uiPriority w:val="99"/>
    <w:rsid w:val="00EE4B96"/>
    <w:rPr>
      <w:sz w:val="20"/>
      <w:szCs w:val="20"/>
    </w:rPr>
  </w:style>
  <w:style w:type="paragraph" w:styleId="Asuntodelcomentario">
    <w:name w:val="annotation subject"/>
    <w:basedOn w:val="Textocomentario"/>
    <w:next w:val="Textocomentario"/>
    <w:link w:val="AsuntodelcomentarioCar"/>
    <w:uiPriority w:val="99"/>
    <w:semiHidden/>
    <w:unhideWhenUsed/>
    <w:rsid w:val="00EE4B96"/>
    <w:rPr>
      <w:b/>
      <w:bCs/>
    </w:rPr>
  </w:style>
  <w:style w:type="character" w:customStyle="1" w:styleId="AsuntodelcomentarioCar">
    <w:name w:val="Asunto del comentario Car"/>
    <w:basedOn w:val="TextocomentarioCar"/>
    <w:link w:val="Asuntodelcomentario"/>
    <w:uiPriority w:val="99"/>
    <w:semiHidden/>
    <w:rsid w:val="00EE4B96"/>
    <w:rPr>
      <w:b/>
      <w:bCs/>
      <w:sz w:val="20"/>
      <w:szCs w:val="20"/>
    </w:rPr>
  </w:style>
  <w:style w:type="paragraph" w:styleId="Revisin">
    <w:name w:val="Revision"/>
    <w:hidden/>
    <w:uiPriority w:val="99"/>
    <w:semiHidden/>
    <w:rsid w:val="00EE4B96"/>
    <w:pPr>
      <w:spacing w:after="0" w:line="240" w:lineRule="auto"/>
    </w:pPr>
  </w:style>
  <w:style w:type="paragraph" w:styleId="Textonotapie">
    <w:name w:val="footnote text"/>
    <w:basedOn w:val="Normal"/>
    <w:link w:val="TextonotapieCar"/>
    <w:uiPriority w:val="99"/>
    <w:semiHidden/>
    <w:unhideWhenUsed/>
    <w:rsid w:val="009C06B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C06BC"/>
    <w:rPr>
      <w:sz w:val="20"/>
      <w:szCs w:val="20"/>
    </w:rPr>
  </w:style>
  <w:style w:type="character" w:styleId="Refdenotaalpie">
    <w:name w:val="footnote reference"/>
    <w:basedOn w:val="Fuentedeprrafopredeter"/>
    <w:uiPriority w:val="99"/>
    <w:semiHidden/>
    <w:unhideWhenUsed/>
    <w:rsid w:val="009C06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4e5be47e08e9d6bf5fd2cf372d522add">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fe79eeb382906de9b01e4fc1149a33a1"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1F8E7-9549-44CE-B6D3-32D23969C6AD}">
  <ds:schemaRefs>
    <ds:schemaRef ds:uri="http://schemas.microsoft.com/office/2006/metadata/properties"/>
    <ds:schemaRef ds:uri="http://schemas.microsoft.com/office/infopath/2007/PartnerControls"/>
    <ds:schemaRef ds:uri="256f232d-bed8-49c3-9813-458af89ed9bf"/>
    <ds:schemaRef ds:uri="df9709d2-c72f-425c-a2b2-551cd8d9876b"/>
  </ds:schemaRefs>
</ds:datastoreItem>
</file>

<file path=customXml/itemProps2.xml><?xml version="1.0" encoding="utf-8"?>
<ds:datastoreItem xmlns:ds="http://schemas.openxmlformats.org/officeDocument/2006/customXml" ds:itemID="{72CE84D9-0BE3-AC47-AB73-D9E40858B4D9}">
  <ds:schemaRefs>
    <ds:schemaRef ds:uri="http://schemas.openxmlformats.org/officeDocument/2006/bibliography"/>
  </ds:schemaRefs>
</ds:datastoreItem>
</file>

<file path=customXml/itemProps3.xml><?xml version="1.0" encoding="utf-8"?>
<ds:datastoreItem xmlns:ds="http://schemas.openxmlformats.org/officeDocument/2006/customXml" ds:itemID="{681CE324-1C3C-4315-9744-1C9DCEBF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709d2-c72f-425c-a2b2-551cd8d9876b"/>
    <ds:schemaRef ds:uri="256f232d-bed8-49c3-9813-458af89ed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474CD-18CE-4C9B-9378-EB455D5595CA}">
  <ds:schemaRefs>
    <ds:schemaRef ds:uri="http://schemas.microsoft.com/sharepoint/v3/contenttype/forms"/>
  </ds:schemaRefs>
</ds:datastoreItem>
</file>

<file path=docMetadata/LabelInfo.xml><?xml version="1.0" encoding="utf-8"?>
<clbl:labelList xmlns:clbl="http://schemas.microsoft.com/office/2020/mipLabelMetadata">
  <clbl:label id="{89db4e91-bad5-4fd0-9ca4-c06485916e3a}" enabled="1" method="Standard" siteId="{f66fae02-5d36-495b-bfe0-78a6ff9f8e6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2816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López</dc:creator>
  <cp:keywords/>
  <dc:description/>
  <cp:lastModifiedBy>Maribel  López</cp:lastModifiedBy>
  <cp:revision>3</cp:revision>
  <dcterms:created xsi:type="dcterms:W3CDTF">2025-11-20T19:31:00Z</dcterms:created>
  <dcterms:modified xsi:type="dcterms:W3CDTF">2025-11-20T19:38:00Z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ies>
</file>