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96" w:rsidRDefault="00F27896" w:rsidP="00F27896">
      <w:pPr>
        <w:pStyle w:val="Header"/>
        <w:tabs>
          <w:tab w:val="left" w:pos="2800"/>
          <w:tab w:val="right" w:pos="8300"/>
        </w:tabs>
      </w:pPr>
      <w:r w:rsidRPr="006C7221">
        <w:rPr>
          <w:rFonts w:ascii="Verdana" w:hAnsi="Verdana" w:cs="Arial"/>
          <w:b/>
          <w:noProof/>
          <w:color w:val="00B0F0"/>
          <w:sz w:val="36"/>
          <w:szCs w:val="36"/>
          <w:lang w:val="fr-BE"/>
        </w:rPr>
        <w:t>Communiqué de presse</w:t>
      </w:r>
      <w:r>
        <w:rPr>
          <w:rFonts w:ascii="Verdana" w:hAnsi="Verdana" w:cs="Arial"/>
          <w:b/>
          <w:noProof/>
          <w:color w:val="00B0F0"/>
          <w:sz w:val="20"/>
          <w:lang w:val="fr-BE"/>
        </w:rPr>
        <w:t xml:space="preserve">         </w:t>
      </w:r>
      <w:r>
        <w:rPr>
          <w:rFonts w:ascii="Verdana" w:hAnsi="Verdana"/>
          <w:color w:val="00B0F0"/>
          <w:sz w:val="20"/>
          <w:lang w:val="fr-BE"/>
        </w:rPr>
        <w:t xml:space="preserve"> </w:t>
      </w:r>
      <w:r>
        <w:tab/>
      </w:r>
      <w:r>
        <w:rPr>
          <w:rFonts w:ascii="Verdana" w:hAnsi="Verdana"/>
          <w:noProof/>
          <w:sz w:val="20"/>
          <w:lang w:val="en-US"/>
        </w:rPr>
        <w:drawing>
          <wp:inline distT="0" distB="0" distL="0" distR="0" wp14:anchorId="22717039" wp14:editId="74EB0389">
            <wp:extent cx="1362554" cy="889000"/>
            <wp:effectExtent l="0" t="0" r="9525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56" cy="88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96" w:rsidRDefault="00F27896" w:rsidP="00F27896">
      <w:pPr>
        <w:pStyle w:val="Header"/>
      </w:pPr>
    </w:p>
    <w:p w:rsidR="00F27896" w:rsidRDefault="00F27896" w:rsidP="00F27896">
      <w:pPr>
        <w:pStyle w:val="Header"/>
      </w:pPr>
    </w:p>
    <w:p w:rsidR="00F27896" w:rsidRPr="00350C3F" w:rsidRDefault="007D090E" w:rsidP="00F27896">
      <w:pPr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Bruxelles, le 16</w:t>
      </w:r>
      <w:r w:rsidR="00F27896">
        <w:rPr>
          <w:rFonts w:ascii="Verdana" w:hAnsi="Verdana" w:cs="Arial"/>
          <w:sz w:val="18"/>
          <w:szCs w:val="18"/>
        </w:rPr>
        <w:t xml:space="preserve"> septembre</w:t>
      </w:r>
      <w:r w:rsidR="00F27896" w:rsidRPr="00350C3F">
        <w:rPr>
          <w:rFonts w:ascii="Verdana" w:hAnsi="Verdana" w:cs="Arial"/>
          <w:sz w:val="18"/>
          <w:szCs w:val="18"/>
        </w:rPr>
        <w:t xml:space="preserve"> 2016</w:t>
      </w:r>
    </w:p>
    <w:p w:rsidR="00F27896" w:rsidRPr="00D8446C" w:rsidRDefault="00F27896" w:rsidP="00F27896">
      <w:pPr>
        <w:spacing w:line="276" w:lineRule="auto"/>
        <w:ind w:left="720"/>
        <w:jc w:val="center"/>
        <w:rPr>
          <w:rFonts w:ascii="Verdana" w:hAnsi="Verdana" w:cs="Arial"/>
          <w:b/>
          <w:bCs/>
          <w:color w:val="00B0F0"/>
          <w:highlight w:val="yellow"/>
        </w:rPr>
      </w:pPr>
    </w:p>
    <w:p w:rsidR="00F27896" w:rsidRDefault="007D090E" w:rsidP="00F27896">
      <w:pPr>
        <w:jc w:val="center"/>
        <w:rPr>
          <w:rFonts w:ascii="Verdana" w:hAnsi="Verdana" w:cs="Arial"/>
          <w:b/>
          <w:bCs/>
          <w:color w:val="00B0F0"/>
          <w:sz w:val="28"/>
          <w:szCs w:val="20"/>
        </w:rPr>
      </w:pPr>
      <w:r>
        <w:rPr>
          <w:rFonts w:ascii="Verdana" w:hAnsi="Verdana" w:cs="Arial"/>
          <w:b/>
          <w:bCs/>
          <w:color w:val="00B0F0"/>
          <w:sz w:val="28"/>
          <w:szCs w:val="20"/>
        </w:rPr>
        <w:t>Adaptation de</w:t>
      </w:r>
      <w:r w:rsidR="00F27896" w:rsidRPr="00F27896">
        <w:rPr>
          <w:rFonts w:ascii="Verdana" w:hAnsi="Verdana" w:cs="Arial"/>
          <w:b/>
          <w:bCs/>
          <w:color w:val="00B0F0"/>
          <w:sz w:val="28"/>
          <w:szCs w:val="20"/>
        </w:rPr>
        <w:t xml:space="preserve"> </w:t>
      </w:r>
      <w:r>
        <w:rPr>
          <w:rFonts w:ascii="Verdana" w:hAnsi="Verdana" w:cs="Arial"/>
          <w:b/>
          <w:bCs/>
          <w:color w:val="00B0F0"/>
          <w:sz w:val="28"/>
          <w:szCs w:val="20"/>
        </w:rPr>
        <w:t xml:space="preserve">la </w:t>
      </w:r>
      <w:r w:rsidR="00F27896" w:rsidRPr="00F27896">
        <w:rPr>
          <w:rFonts w:ascii="Verdana" w:hAnsi="Verdana" w:cs="Arial"/>
          <w:b/>
          <w:bCs/>
          <w:color w:val="00B0F0"/>
          <w:sz w:val="28"/>
          <w:szCs w:val="20"/>
        </w:rPr>
        <w:t xml:space="preserve">tarification du e-Compte d’épargne </w:t>
      </w:r>
      <w:proofErr w:type="spellStart"/>
      <w:r w:rsidR="00F27896" w:rsidRPr="00F27896">
        <w:rPr>
          <w:rFonts w:ascii="Verdana" w:hAnsi="Verdana" w:cs="Arial"/>
          <w:b/>
          <w:bCs/>
          <w:color w:val="00B0F0"/>
          <w:sz w:val="28"/>
          <w:szCs w:val="20"/>
        </w:rPr>
        <w:t>Fidelity</w:t>
      </w:r>
      <w:proofErr w:type="spellEnd"/>
      <w:r w:rsidR="00F27896" w:rsidRPr="00F27896">
        <w:rPr>
          <w:rFonts w:ascii="Verdana" w:hAnsi="Verdana" w:cs="Arial"/>
          <w:b/>
          <w:bCs/>
          <w:color w:val="00B0F0"/>
          <w:sz w:val="28"/>
          <w:szCs w:val="20"/>
        </w:rPr>
        <w:t xml:space="preserve"> CBC à partir du 16 septembre 2016</w:t>
      </w:r>
    </w:p>
    <w:p w:rsidR="00F27896" w:rsidRPr="00F27896" w:rsidRDefault="00F27896" w:rsidP="00F27896">
      <w:pPr>
        <w:jc w:val="center"/>
        <w:rPr>
          <w:rFonts w:ascii="Verdana" w:hAnsi="Verdana" w:cs="Arial"/>
          <w:b/>
          <w:bCs/>
          <w:color w:val="00B0F0"/>
          <w:sz w:val="28"/>
          <w:szCs w:val="20"/>
        </w:rPr>
      </w:pPr>
    </w:p>
    <w:p w:rsidR="00F27896" w:rsidRPr="00F27896" w:rsidRDefault="00F27896" w:rsidP="00F27896">
      <w:pPr>
        <w:rPr>
          <w:b/>
        </w:rPr>
      </w:pPr>
      <w:r w:rsidRPr="00F27896">
        <w:rPr>
          <w:b/>
        </w:rPr>
        <w:t>La persistance de la politique de taux bas pratiquée par la BCE maintient les taux d’intérêt dans la zone</w:t>
      </w:r>
      <w:r>
        <w:rPr>
          <w:b/>
        </w:rPr>
        <w:t xml:space="preserve"> euro à des creux historiques. C</w:t>
      </w:r>
      <w:r w:rsidRPr="00F27896">
        <w:rPr>
          <w:b/>
        </w:rPr>
        <w:t xml:space="preserve">BC suit </w:t>
      </w:r>
      <w:r w:rsidR="007D090E">
        <w:rPr>
          <w:b/>
        </w:rPr>
        <w:t>l’</w:t>
      </w:r>
      <w:r w:rsidRPr="00F27896">
        <w:rPr>
          <w:b/>
        </w:rPr>
        <w:t>évolution des marchés de près et aligne son offre de produits.</w:t>
      </w:r>
    </w:p>
    <w:p w:rsidR="00F27896" w:rsidRPr="00F27896" w:rsidRDefault="00F27896" w:rsidP="00F27896">
      <w:bookmarkStart w:id="0" w:name="_GoBack"/>
      <w:r>
        <w:t xml:space="preserve">CBC </w:t>
      </w:r>
      <w:r w:rsidRPr="001427E0">
        <w:t>adapte</w:t>
      </w:r>
      <w:r>
        <w:t xml:space="preserve">ra </w:t>
      </w:r>
      <w:r w:rsidRPr="001427E0">
        <w:t>la tarification</w:t>
      </w:r>
      <w:r>
        <w:t xml:space="preserve"> </w:t>
      </w:r>
      <w:r w:rsidRPr="001427E0">
        <w:t xml:space="preserve">de </w:t>
      </w:r>
      <w:r>
        <w:t xml:space="preserve">son e-Compte d’épargne </w:t>
      </w:r>
      <w:proofErr w:type="spellStart"/>
      <w:r>
        <w:t>Fidelity</w:t>
      </w:r>
      <w:proofErr w:type="spellEnd"/>
      <w:r>
        <w:t xml:space="preserve"> à partir de ce </w:t>
      </w:r>
      <w:r w:rsidRPr="00F27896">
        <w:t>vendredi 16 septembre 2016.</w:t>
      </w:r>
    </w:p>
    <w:tbl>
      <w:tblPr>
        <w:tblpPr w:leftFromText="141" w:rightFromText="141" w:vertAnchor="text" w:tblpXSpec="center"/>
        <w:tblW w:w="42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52"/>
        <w:gridCol w:w="2398"/>
      </w:tblGrid>
      <w:tr w:rsidR="003C099F" w:rsidTr="003C099F">
        <w:trPr>
          <w:trHeight w:val="1288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9F" w:rsidRDefault="003C099F" w:rsidP="00D975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COMPTES D’EPARGNE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9F" w:rsidRPr="0082566E" w:rsidRDefault="003C099F" w:rsidP="00D975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566E">
              <w:rPr>
                <w:b/>
                <w:bCs/>
              </w:rPr>
              <w:t>Taux actuels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9F" w:rsidRPr="0082566E" w:rsidRDefault="003C099F" w:rsidP="00D975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566E">
              <w:rPr>
                <w:b/>
                <w:bCs/>
              </w:rPr>
              <w:t>Taux à partir</w:t>
            </w:r>
          </w:p>
          <w:p w:rsidR="003C099F" w:rsidRPr="0082566E" w:rsidRDefault="003C099F" w:rsidP="00D975A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2566E">
              <w:rPr>
                <w:b/>
                <w:bCs/>
              </w:rPr>
              <w:t>du 16 septembre 2016</w:t>
            </w:r>
          </w:p>
        </w:tc>
      </w:tr>
      <w:tr w:rsidR="003C099F" w:rsidRPr="00A87CD9" w:rsidTr="003C099F">
        <w:trPr>
          <w:trHeight w:val="1238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99F" w:rsidRPr="00B81C83" w:rsidRDefault="003C099F" w:rsidP="00D975AD">
            <w:pPr>
              <w:jc w:val="center"/>
              <w:rPr>
                <w:rFonts w:ascii="Calibri" w:hAnsi="Calibri" w:cs="Calibri"/>
                <w:b/>
              </w:rPr>
            </w:pPr>
            <w:r w:rsidRPr="00B81C83">
              <w:rPr>
                <w:rFonts w:ascii="Calibri" w:hAnsi="Calibri" w:cs="Calibri"/>
                <w:b/>
              </w:rPr>
              <w:t>e-</w:t>
            </w:r>
            <w:r>
              <w:rPr>
                <w:rFonts w:ascii="Calibri" w:hAnsi="Calibri" w:cs="Calibri"/>
                <w:b/>
              </w:rPr>
              <w:t>C</w:t>
            </w:r>
            <w:r w:rsidRPr="00B81C83">
              <w:rPr>
                <w:rFonts w:ascii="Calibri" w:hAnsi="Calibri" w:cs="Calibri"/>
                <w:b/>
              </w:rPr>
              <w:t xml:space="preserve">ompte d’épargne </w:t>
            </w:r>
            <w:proofErr w:type="spellStart"/>
            <w:r w:rsidRPr="00B81C83">
              <w:rPr>
                <w:rFonts w:ascii="Calibri" w:hAnsi="Calibri" w:cs="Calibri"/>
                <w:b/>
              </w:rPr>
              <w:t>Fidelity</w:t>
            </w:r>
            <w:proofErr w:type="spellEnd"/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99F" w:rsidRDefault="003C099F" w:rsidP="00B63C71">
            <w:pPr>
              <w:jc w:val="center"/>
            </w:pPr>
            <w:r w:rsidRPr="00904B49">
              <w:t>0.01% + 0.</w:t>
            </w:r>
            <w:r>
              <w:t>2</w:t>
            </w:r>
            <w:r w:rsidRPr="00904B49">
              <w:t>5%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99F" w:rsidRDefault="003C099F" w:rsidP="00FF7B7A">
            <w:pPr>
              <w:jc w:val="center"/>
            </w:pPr>
            <w:r w:rsidRPr="00904B49">
              <w:t>0.01%</w:t>
            </w:r>
            <w:r>
              <w:t xml:space="preserve"> + </w:t>
            </w:r>
            <w:r>
              <w:rPr>
                <w:b/>
                <w:u w:val="single"/>
              </w:rPr>
              <w:t>0.10</w:t>
            </w:r>
            <w:r w:rsidRPr="00C042A6">
              <w:rPr>
                <w:b/>
                <w:u w:val="single"/>
              </w:rPr>
              <w:t>%</w:t>
            </w:r>
          </w:p>
        </w:tc>
      </w:tr>
    </w:tbl>
    <w:p w:rsidR="00F27896" w:rsidRDefault="00F27896" w:rsidP="00F27896"/>
    <w:p w:rsidR="003C099F" w:rsidRDefault="003C099F" w:rsidP="00F27896"/>
    <w:p w:rsidR="003C099F" w:rsidRDefault="003C099F" w:rsidP="00F27896"/>
    <w:p w:rsidR="003C099F" w:rsidRDefault="003C099F" w:rsidP="00F27896"/>
    <w:p w:rsidR="003C099F" w:rsidRDefault="003C099F" w:rsidP="00F27896"/>
    <w:p w:rsidR="003C099F" w:rsidRDefault="003C099F" w:rsidP="00F27896"/>
    <w:p w:rsidR="003C099F" w:rsidRDefault="003C099F" w:rsidP="00F27896"/>
    <w:p w:rsidR="00F27896" w:rsidRDefault="00F27896" w:rsidP="00F27896">
      <w:r>
        <w:t xml:space="preserve">CBC propose en outre aussi des alternatives (en termes d’investissement) : placements à terme, assurances épargne et assurances placement, divers fonds d’investissement (avec ou sans protection du capital ou surveillance d’un niveau plancher) et plans </w:t>
      </w:r>
      <w:r w:rsidR="003C099F">
        <w:t>d’investissement</w:t>
      </w:r>
      <w:r>
        <w:t xml:space="preserve"> dans lesquels le client investit systématiquement de petits ou de gros montants. CBC reste bien entendu à la disposition de ses clients pour leur fournir des conseils professionnels, établir leur profil de risque et les orienter dans leur choix.</w:t>
      </w:r>
    </w:p>
    <w:bookmarkEnd w:id="0"/>
    <w:p w:rsidR="00F27896" w:rsidRDefault="00F27896" w:rsidP="00F27896"/>
    <w:sectPr w:rsidR="00F27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96"/>
    <w:rsid w:val="000B1F39"/>
    <w:rsid w:val="003C099F"/>
    <w:rsid w:val="004A3458"/>
    <w:rsid w:val="005A7C07"/>
    <w:rsid w:val="007D090E"/>
    <w:rsid w:val="00924E63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896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789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896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789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Tyteca</dc:creator>
  <cp:keywords/>
  <dc:description/>
  <cp:lastModifiedBy>Guest User</cp:lastModifiedBy>
  <cp:revision>2</cp:revision>
  <cp:lastPrinted>2016-09-16T07:50:00Z</cp:lastPrinted>
  <dcterms:created xsi:type="dcterms:W3CDTF">2016-09-16T13:23:00Z</dcterms:created>
  <dcterms:modified xsi:type="dcterms:W3CDTF">2016-09-16T13:23:00Z</dcterms:modified>
</cp:coreProperties>
</file>