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683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895349</wp:posOffset>
                </wp:positionV>
                <wp:extent cx="7562850" cy="9455941"/>
                <wp:effectExtent b="0" l="0" r="0" t="0"/>
                <wp:wrapNone/>
                <wp:docPr id="5" name=""/>
                <a:graphic>
                  <a:graphicData uri="http://schemas.microsoft.com/office/word/2010/wordprocessingGroup">
                    <wpg:wgp>
                      <wpg:cNvGrpSpPr/>
                      <wpg:grpSpPr>
                        <a:xfrm>
                          <a:off x="1564575" y="0"/>
                          <a:ext cx="7562850" cy="9455941"/>
                          <a:chOff x="1564575" y="0"/>
                          <a:chExt cx="7562850" cy="7560000"/>
                        </a:xfrm>
                      </wpg:grpSpPr>
                      <wpg:grpSp>
                        <wpg:cNvGrpSpPr/>
                        <wpg:grpSpPr>
                          <a:xfrm>
                            <a:off x="1564575" y="0"/>
                            <a:ext cx="7562850" cy="9606931"/>
                            <a:chOff x="1333225" y="0"/>
                            <a:chExt cx="7794200" cy="9606931"/>
                          </a:xfrm>
                        </wpg:grpSpPr>
                        <wps:wsp>
                          <wps:cNvSpPr/>
                          <wps:cNvPr id="3" name="Shape 3"/>
                          <wps:spPr>
                            <a:xfrm>
                              <a:off x="1333225" y="0"/>
                              <a:ext cx="77942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333236" y="0"/>
                              <a:ext cx="7794189" cy="9606931"/>
                              <a:chOff x="-231262" y="122400"/>
                              <a:chExt cx="7791587" cy="9451390"/>
                            </a:xfrm>
                          </wpg:grpSpPr>
                          <wps:wsp>
                            <wps:cNvSpPr/>
                            <wps:cNvPr id="5" name="Shape 5"/>
                            <wps:spPr>
                              <a:xfrm>
                                <a:off x="0" y="122400"/>
                                <a:ext cx="7560325" cy="743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22401"/>
                                <a:ext cx="7560310" cy="9451389"/>
                                <a:chOff x="0" y="0"/>
                                <a:chExt cx="7560310" cy="9074785"/>
                              </a:xfrm>
                            </wpg:grpSpPr>
                            <wps:wsp>
                              <wps:cNvSpPr/>
                              <wps:cNvPr id="7" name="Shape 7"/>
                              <wps:spPr>
                                <a:xfrm>
                                  <a:off x="0" y="0"/>
                                  <a:ext cx="7560300" cy="9074775"/>
                                </a:xfrm>
                                <a:prstGeom prst="rect">
                                  <a:avLst/>
                                </a:prstGeom>
                                <a:noFill/>
                                <a:ln>
                                  <a:noFill/>
                                </a:ln>
                              </wps:spPr>
                              <wps:txbx>
                                <w:txbxContent>
                                  <w:p w:rsidR="00000000" w:rsidDel="00000000" w:rsidP="00000000" w:rsidRDefault="00000000" w:rsidRPr="00000000">
                                    <w:pPr>
                                      <w:spacing w:after="0" w:before="0" w:line="240"/>
                                      <w:ind w:left="0" w:right="998.0000305175781" w:firstLine="0"/>
                                      <w:jc w:val="left"/>
                                      <w:textDirection w:val="btLr"/>
                                    </w:pPr>
                                  </w:p>
                                </w:txbxContent>
                              </wps:txbx>
                              <wps:bodyPr anchorCtr="0" anchor="ctr" bIns="91425" lIns="91425" spcFirstLastPara="1" rIns="91425" wrap="square" tIns="91425">
                                <a:noAutofit/>
                              </wps:bodyPr>
                            </wps:wsp>
                            <wps:wsp>
                              <wps:cNvSpPr/>
                              <wps:cNvPr id="8" name="Shape 8"/>
                              <wps:spPr>
                                <a:xfrm>
                                  <a:off x="0" y="6350"/>
                                  <a:ext cx="7560310" cy="387985"/>
                                </a:xfrm>
                                <a:custGeom>
                                  <a:rect b="b" l="l" r="r" t="t"/>
                                  <a:pathLst>
                                    <a:path extrusionOk="0" h="387985" w="7560310">
                                      <a:moveTo>
                                        <a:pt x="0" y="0"/>
                                      </a:moveTo>
                                      <a:lnTo>
                                        <a:pt x="7560310" y="0"/>
                                      </a:lnTo>
                                      <a:moveTo>
                                        <a:pt x="0" y="387985"/>
                                      </a:moveTo>
                                      <a:lnTo>
                                        <a:pt x="7560310" y="387985"/>
                                      </a:lnTo>
                                    </a:path>
                                  </a:pathLst>
                                </a:custGeom>
                                <a:solidFill>
                                  <a:srgbClr val="FFFFFF"/>
                                </a:solidFill>
                                <a:ln cap="flat" cmpd="sng" w="12700">
                                  <a:solidFill>
                                    <a:srgbClr val="002B54"/>
                                  </a:solidFill>
                                  <a:prstDash val="solid"/>
                                  <a:round/>
                                  <a:headEnd len="sm" w="sm" type="none"/>
                                  <a:tailEnd len="sm" w="sm" type="none"/>
                                </a:ln>
                              </wps:spPr>
                              <wps:bodyPr anchorCtr="0" anchor="ctr" bIns="91425" lIns="91425" spcFirstLastPara="1" rIns="91425" wrap="square" tIns="91425">
                                <a:noAutofit/>
                              </wps:bodyPr>
                            </wps:wsp>
                            <wps:wsp>
                              <wps:cNvCnPr/>
                              <wps:spPr>
                                <a:xfrm>
                                  <a:off x="2153285" y="6350"/>
                                  <a:ext cx="0" cy="9068435"/>
                                </a:xfrm>
                                <a:prstGeom prst="straightConnector1">
                                  <a:avLst/>
                                </a:prstGeom>
                                <a:solidFill>
                                  <a:srgbClr val="FFFFFF"/>
                                </a:solidFill>
                                <a:ln cap="flat" cmpd="sng" w="12700">
                                  <a:solidFill>
                                    <a:srgbClr val="002B54"/>
                                  </a:solidFill>
                                  <a:prstDash val="solid"/>
                                  <a:round/>
                                  <a:headEnd len="sm" w="sm" type="none"/>
                                  <a:tailEnd len="sm" w="sm" type="none"/>
                                </a:ln>
                              </wps:spPr>
                              <wps:bodyPr anchorCtr="0" anchor="ctr" bIns="91425" lIns="91425" spcFirstLastPara="1" rIns="91425" wrap="square" tIns="91425">
                                <a:noAutofit/>
                              </wps:bodyPr>
                            </wps:wsp>
                          </wpg:grpSp>
                          <pic:pic>
                            <pic:nvPicPr>
                              <pic:cNvPr id="10" name="Shape 10"/>
                              <pic:cNvPicPr preferRelativeResize="0"/>
                            </pic:nvPicPr>
                            <pic:blipFill rotWithShape="1">
                              <a:blip r:embed="rId7">
                                <a:alphaModFix/>
                              </a:blip>
                              <a:srcRect b="-19355" l="-42995" r="-21046" t="-43033"/>
                              <a:stretch/>
                            </pic:blipFill>
                            <pic:spPr>
                              <a:xfrm>
                                <a:off x="-231262" y="5505925"/>
                                <a:ext cx="2543775" cy="2054075"/>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895349</wp:posOffset>
                </wp:positionV>
                <wp:extent cx="7562850" cy="9455941"/>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562850" cy="945594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pStyle w:val="Title"/>
        <w:ind w:left="0" w:firstLine="0"/>
        <w:rPr/>
      </w:pPr>
      <w:r w:rsidDel="00000000" w:rsidR="00000000" w:rsidRPr="00000000">
        <w:rPr>
          <w:color w:val="001f5f"/>
          <w:rtl w:val="0"/>
        </w:rPr>
        <w:t xml:space="preserve">       </w:t>
      </w:r>
      <w:r w:rsidDel="00000000" w:rsidR="00000000" w:rsidRPr="00000000">
        <w:rPr>
          <w:color w:val="001f5f"/>
          <w:rtl w:val="0"/>
        </w:rPr>
        <w:t xml:space="preserve">PRESS INFO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93" w:lineRule="auto"/>
        <w:ind w:left="0" w:firstLine="3401.5748031496064"/>
        <w:rPr>
          <w:rFonts w:ascii="Arial" w:cs="Arial" w:eastAsia="Arial" w:hAnsi="Arial"/>
          <w:b w:val="1"/>
          <w:sz w:val="26"/>
          <w:szCs w:val="26"/>
        </w:rPr>
      </w:pPr>
      <w:r w:rsidDel="00000000" w:rsidR="00000000" w:rsidRPr="00000000">
        <w:rPr>
          <w:color w:val="000000"/>
          <w:u w:val="single"/>
          <w:rtl w:val="0"/>
        </w:rPr>
        <w:t xml:space="preserve">Kuehne+Nagel América del Sur y Central </w:t>
      </w:r>
      <w:r w:rsidDel="00000000" w:rsidR="00000000" w:rsidRPr="00000000">
        <w:rPr>
          <w:rFonts w:ascii="Arial" w:cs="Arial" w:eastAsia="Arial" w:hAnsi="Arial"/>
          <w:b w:val="1"/>
          <w:sz w:val="26"/>
          <w:szCs w:val="26"/>
          <w:rtl w:val="0"/>
        </w:rPr>
        <w:t xml:space="preserve"> </w:t>
      </w:r>
    </w:p>
    <w:p w:rsidR="00000000" w:rsidDel="00000000" w:rsidP="00000000" w:rsidRDefault="00000000" w:rsidRPr="00000000" w14:paraId="00000006">
      <w:pPr>
        <w:spacing w:before="91" w:lineRule="auto"/>
        <w:ind w:left="3368" w:right="1380" w:firstLine="0"/>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7">
      <w:pPr>
        <w:spacing w:before="91" w:lineRule="auto"/>
        <w:ind w:left="3368" w:right="1380" w:firstLine="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Más de 12 millones de vacunas serán distribuidas al año en Latinoamérica gracias a alianza entre Kuehne+Nagel y GSK</w:t>
      </w:r>
    </w:p>
    <w:p w:rsidR="00000000" w:rsidDel="00000000" w:rsidP="00000000" w:rsidRDefault="00000000" w:rsidRPr="00000000" w14:paraId="00000008">
      <w:pPr>
        <w:spacing w:before="91" w:lineRule="auto"/>
        <w:ind w:left="3368" w:right="1380" w:firstLine="0"/>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9">
      <w:pPr>
        <w:widowControl w:val="1"/>
        <w:numPr>
          <w:ilvl w:val="4"/>
          <w:numId w:val="1"/>
        </w:numPr>
        <w:ind w:left="3826.7716535433065" w:right="1098.5433070866152" w:hanging="360"/>
        <w:jc w:val="both"/>
        <w:rPr>
          <w:rFonts w:ascii="Arial" w:cs="Arial" w:eastAsia="Arial" w:hAnsi="Arial"/>
          <w:u w:val="none"/>
        </w:rPr>
      </w:pPr>
      <w:r w:rsidDel="00000000" w:rsidR="00000000" w:rsidRPr="00000000">
        <w:rPr>
          <w:rFonts w:ascii="Arial" w:cs="Arial" w:eastAsia="Arial" w:hAnsi="Arial"/>
          <w:rtl w:val="0"/>
        </w:rPr>
        <w:t xml:space="preserve">Aterrizan en Brasil los primeros dos </w:t>
      </w:r>
      <w:r w:rsidDel="00000000" w:rsidR="00000000" w:rsidRPr="00000000">
        <w:rPr>
          <w:rFonts w:ascii="Arial" w:cs="Arial" w:eastAsia="Arial" w:hAnsi="Arial"/>
          <w:i w:val="1"/>
          <w:rtl w:val="0"/>
        </w:rPr>
        <w:t xml:space="preserve">full charter</w:t>
      </w:r>
      <w:r w:rsidDel="00000000" w:rsidR="00000000" w:rsidRPr="00000000">
        <w:rPr>
          <w:rFonts w:ascii="Arial" w:cs="Arial" w:eastAsia="Arial" w:hAnsi="Arial"/>
          <w:rtl w:val="0"/>
        </w:rPr>
        <w:t xml:space="preserve"> con vacunas para inmunización.</w:t>
      </w:r>
    </w:p>
    <w:p w:rsidR="00000000" w:rsidDel="00000000" w:rsidP="00000000" w:rsidRDefault="00000000" w:rsidRPr="00000000" w14:paraId="0000000A">
      <w:pPr>
        <w:widowControl w:val="1"/>
        <w:ind w:left="6726" w:right="1098.54330708661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1"/>
        <w:numPr>
          <w:ilvl w:val="4"/>
          <w:numId w:val="1"/>
        </w:numPr>
        <w:ind w:left="3826.7716535433065" w:right="1098.5433070866152" w:hanging="360"/>
        <w:jc w:val="both"/>
        <w:rPr>
          <w:rFonts w:ascii="Arial" w:cs="Arial" w:eastAsia="Arial" w:hAnsi="Arial"/>
          <w:u w:val="none"/>
        </w:rPr>
      </w:pPr>
      <w:r w:rsidDel="00000000" w:rsidR="00000000" w:rsidRPr="00000000">
        <w:rPr>
          <w:rFonts w:ascii="Arial" w:cs="Arial" w:eastAsia="Arial" w:hAnsi="Arial"/>
          <w:rtl w:val="0"/>
        </w:rPr>
        <w:t xml:space="preserve">Centro de Distribución considera envíos a países clave en la región como Chile y Argentina.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9" w:lineRule="auto"/>
        <w:rPr>
          <w:rFonts w:ascii="Arial" w:cs="Arial" w:eastAsia="Arial" w:hAnsi="Arial"/>
          <w:b w:val="1"/>
          <w:color w:val="000000"/>
          <w:sz w:val="27"/>
          <w:szCs w:val="27"/>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left="3368" w:right="1109" w:firstLine="0"/>
        <w:jc w:val="both"/>
        <w:rPr>
          <w:rFonts w:ascii="Arial" w:cs="Arial" w:eastAsia="Arial" w:hAnsi="Arial"/>
        </w:rPr>
      </w:pPr>
      <w:r w:rsidDel="00000000" w:rsidR="00000000" w:rsidRPr="00000000">
        <w:rPr>
          <w:rFonts w:ascii="Arial" w:cs="Arial" w:eastAsia="Arial" w:hAnsi="Arial"/>
          <w:rtl w:val="0"/>
        </w:rPr>
        <w:t xml:space="preserve">Santiago, Chile. Diciembre de 2022 – Uno de los líderes logísticos a nivel mundial, Kuehne+Nagel, junto con GSK, </w:t>
      </w:r>
      <w:r w:rsidDel="00000000" w:rsidR="00000000" w:rsidRPr="00000000">
        <w:rPr>
          <w:rFonts w:ascii="Arial" w:cs="Arial" w:eastAsia="Arial" w:hAnsi="Arial"/>
          <w:color w:val="202124"/>
          <w:highlight w:val="white"/>
          <w:rtl w:val="0"/>
        </w:rPr>
        <w:t xml:space="preserve">una de las compañías farmacéuticas y del cuidado de la salud más importantes del mundo basadas en la investigación, </w:t>
      </w:r>
      <w:r w:rsidDel="00000000" w:rsidR="00000000" w:rsidRPr="00000000">
        <w:rPr>
          <w:rFonts w:ascii="Arial" w:cs="Arial" w:eastAsia="Arial" w:hAnsi="Arial"/>
          <w:rtl w:val="0"/>
        </w:rPr>
        <w:t xml:space="preserve">dieron oficialmente inicio a sus primeras operaciones multimodales en conjunto dentro de América del Sur desde el Centro de Distribución Regional en Montevideo, tratándose del primer traslado de miles de vacunas de primera necesidad para la región. Con esta alianza, se distribuirán más de 12 millones de diversos tipos de dosis al año.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04" w:lineRule="auto"/>
        <w:ind w:left="3368" w:right="11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line="302" w:lineRule="auto"/>
        <w:ind w:left="3368" w:right="1091" w:firstLine="0"/>
        <w:jc w:val="both"/>
        <w:rPr>
          <w:rFonts w:ascii="Arial" w:cs="Arial" w:eastAsia="Arial" w:hAnsi="Arial"/>
        </w:rPr>
      </w:pPr>
      <w:r w:rsidDel="00000000" w:rsidR="00000000" w:rsidRPr="00000000">
        <w:rPr>
          <w:rFonts w:ascii="Arial" w:cs="Arial" w:eastAsia="Arial" w:hAnsi="Arial"/>
          <w:rtl w:val="0"/>
        </w:rPr>
        <w:t xml:space="preserve">La logística de productos para el cuidado para la salud exige altos estándares normativos, por lo que la carga refrigerada es monitoreada las 24 horas. Asimismo, contar con operaciones en más de 100 países, hacen que Kuehne+Nagel desarrolle procesos ágiles cuando se trata de conectar. En este caso, la coordinación con las oficinas en Europa marcó la diferencia, cuyo embarque de vacunas zarpó vía marítima desde el puerto de Livorno (Italia) para luego arribar en Montevideo (Uruguay), desde donde se coordinaron exitosamente dos vuelos charter exclusivos hacia Brasil. Adicional al traslado aéreo, la distribución regional también considerará el servicio terrestre para otros países.</w:t>
      </w:r>
    </w:p>
    <w:p w:rsidR="00000000" w:rsidDel="00000000" w:rsidP="00000000" w:rsidRDefault="00000000" w:rsidRPr="00000000" w14:paraId="00000010">
      <w:pPr>
        <w:spacing w:line="302" w:lineRule="auto"/>
        <w:ind w:left="3368" w:right="109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302" w:lineRule="auto"/>
        <w:ind w:left="3368" w:right="1091" w:firstLine="0"/>
        <w:jc w:val="both"/>
        <w:rPr>
          <w:rFonts w:ascii="Arial" w:cs="Arial" w:eastAsia="Arial" w:hAnsi="Arial"/>
        </w:rPr>
      </w:pPr>
      <w:r w:rsidDel="00000000" w:rsidR="00000000" w:rsidRPr="00000000">
        <w:rPr>
          <w:rFonts w:ascii="Arial" w:cs="Arial" w:eastAsia="Arial" w:hAnsi="Arial"/>
          <w:rtl w:val="0"/>
        </w:rPr>
        <w:t xml:space="preserve">Adriana Arnold, Regional Industry Champion Healthcare en Kuehne+Nagel, destaca: “Con GSK compartimos una visión en donde la calidad y cumplir con los altos estándares exigidos, son un requisito base para la logística de productos para el cuidado de la salud. Como compañía eso no solo nos impulsa desarrollar nuevas tecnologías, sino también es que estamos constantemente innovando para garantizar la calidad de nuestros servicios”.</w:t>
      </w:r>
    </w:p>
    <w:p w:rsidR="00000000" w:rsidDel="00000000" w:rsidP="00000000" w:rsidRDefault="00000000" w:rsidRPr="00000000" w14:paraId="00000012">
      <w:pPr>
        <w:spacing w:line="302" w:lineRule="auto"/>
        <w:ind w:left="3368" w:right="109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line="302" w:lineRule="auto"/>
        <w:ind w:left="3368" w:right="1091" w:firstLine="0"/>
        <w:jc w:val="both"/>
        <w:rPr>
          <w:rFonts w:ascii="Arial" w:cs="Arial" w:eastAsia="Arial" w:hAnsi="Arial"/>
        </w:rPr>
      </w:pPr>
      <w:r w:rsidDel="00000000" w:rsidR="00000000" w:rsidRPr="00000000">
        <w:rPr>
          <w:rFonts w:ascii="Arial" w:cs="Arial" w:eastAsia="Arial" w:hAnsi="Arial"/>
          <w:rtl w:val="0"/>
        </w:rPr>
        <w:t xml:space="preserve">GSK seleccionó a Kuehne+Nagel como socio debido a su solidez en el sector, su experiencia en sus servicios de logística integrada con soluciones multimodales y la consolidación de sus tres </w:t>
      </w:r>
      <w:r w:rsidDel="00000000" w:rsidR="00000000" w:rsidRPr="00000000">
        <w:rPr>
          <w:rFonts w:ascii="Arial" w:cs="Arial" w:eastAsia="Arial" w:hAnsi="Arial"/>
          <w:i w:val="1"/>
          <w:rtl w:val="0"/>
        </w:rPr>
        <w:t xml:space="preserve">hubs </w:t>
      </w:r>
      <w:r w:rsidDel="00000000" w:rsidR="00000000" w:rsidRPr="00000000">
        <w:rPr>
          <w:rFonts w:ascii="Arial" w:cs="Arial" w:eastAsia="Arial" w:hAnsi="Arial"/>
          <w:rtl w:val="0"/>
        </w:rPr>
        <w:t xml:space="preserve">especializados en productos para el cuidado de la salud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w:t>
      </w:r>
      <w:r w:rsidDel="00000000" w:rsidR="00000000" w:rsidRPr="00000000">
        <w:rPr>
          <w:rFonts w:ascii="Arial" w:cs="Arial" w:eastAsia="Arial" w:hAnsi="Arial"/>
          <w:b w:val="1"/>
          <w:rtl w:val="0"/>
        </w:rPr>
        <w:t xml:space="preserve">Chile </w:t>
      </w:r>
      <w:r w:rsidDel="00000000" w:rsidR="00000000" w:rsidRPr="00000000">
        <w:rPr>
          <w:rFonts w:ascii="Arial" w:cs="Arial" w:eastAsia="Arial" w:hAnsi="Arial"/>
          <w:rtl w:val="0"/>
        </w:rPr>
        <w:t xml:space="preserve">con una superficie de 17.600 m2 para el almacenamiento y la distribución de mercancía sensible a la temperatura; en Panamá, que cuenta con 3.000 m2 y en Uruguay, desde donde se abastece de medicamentos y ahora también vacunas a más de 40 millones de latinoamericanos. </w:t>
      </w:r>
    </w:p>
    <w:p w:rsidR="00000000" w:rsidDel="00000000" w:rsidP="00000000" w:rsidRDefault="00000000" w:rsidRPr="00000000" w14:paraId="00000014">
      <w:pPr>
        <w:spacing w:line="302" w:lineRule="auto"/>
        <w:ind w:left="3368" w:right="109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line="302" w:lineRule="auto"/>
        <w:ind w:left="3368" w:right="1091" w:firstLine="0"/>
        <w:jc w:val="both"/>
        <w:rPr>
          <w:rFonts w:ascii="Arial" w:cs="Arial" w:eastAsia="Arial" w:hAnsi="Arial"/>
        </w:rPr>
      </w:pPr>
      <w:r w:rsidDel="00000000" w:rsidR="00000000" w:rsidRPr="00000000">
        <w:rPr>
          <w:rFonts w:ascii="Arial" w:cs="Arial" w:eastAsia="Arial" w:hAnsi="Arial"/>
          <w:rtl w:val="0"/>
        </w:rPr>
        <w:t xml:space="preserve">Para Denisse Rivera, Global Vaccines Senior Manager Cold Chain &amp; Distribution y Global Project Manager a cargo de la implementación de este Centro de Distribución Regional en Uruguay, para GSK Vacunas este comienzo de operaciones es un paso estratégico: “Porque nos permite estar más cerca de nuestros principales mercados como Brasil y Argentina. Elegimos a Kuehne+Nagel como nuestro partner logístico ya que conocemos y confiamos en la excelencia de sus servicios, además de la innovación en la propuesta de vuelos directos de Montevideo a Brasil", comentó.  </w:t>
      </w:r>
    </w:p>
    <w:p w:rsidR="00000000" w:rsidDel="00000000" w:rsidP="00000000" w:rsidRDefault="00000000" w:rsidRPr="00000000" w14:paraId="00000016">
      <w:pPr>
        <w:spacing w:line="302" w:lineRule="auto"/>
        <w:ind w:left="3368" w:right="109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02" w:lineRule="auto"/>
        <w:ind w:left="3368" w:right="1091"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02" w:lineRule="auto"/>
        <w:ind w:left="3368" w:right="1042" w:firstLine="0"/>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Sobre Kuehne+Nagel</w:t>
      </w:r>
    </w:p>
    <w:p w:rsidR="00000000" w:rsidDel="00000000" w:rsidP="00000000" w:rsidRDefault="00000000" w:rsidRPr="00000000" w14:paraId="00000019">
      <w:pPr>
        <w:spacing w:before="87" w:line="338" w:lineRule="auto"/>
        <w:ind w:left="3368" w:right="1116" w:firstLine="0"/>
        <w:jc w:val="both"/>
        <w:rPr>
          <w:sz w:val="16"/>
          <w:szCs w:val="16"/>
        </w:rPr>
      </w:pPr>
      <w:r w:rsidDel="00000000" w:rsidR="00000000" w:rsidRPr="00000000">
        <w:rPr>
          <w:sz w:val="16"/>
          <w:szCs w:val="16"/>
          <w:rtl w:val="0"/>
        </w:rPr>
        <w:t xml:space="preserve">Con más de 80.000 empleados y más de 1.300 centros en más de 100 países, el Grupo Kuehne+Nagel es uno de los principales proveedores de logística del mundo. Opera en los sectores de la logística marítima, aérea, por carretera y de contratos, con un claro enfoque en soluciones logísticas integradas.</w:t>
      </w:r>
    </w:p>
    <w:p w:rsidR="00000000" w:rsidDel="00000000" w:rsidP="00000000" w:rsidRDefault="00000000" w:rsidRPr="00000000" w14:paraId="0000001A">
      <w:pPr>
        <w:spacing w:before="87" w:line="338" w:lineRule="auto"/>
        <w:ind w:left="3368" w:right="1116"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B">
      <w:pPr>
        <w:spacing w:before="87" w:line="338" w:lineRule="auto"/>
        <w:ind w:left="3368" w:right="1116" w:firstLine="0"/>
        <w:jc w:val="both"/>
        <w:rPr>
          <w:sz w:val="16"/>
          <w:szCs w:val="16"/>
        </w:rPr>
      </w:pPr>
      <w:r w:rsidDel="00000000" w:rsidR="00000000" w:rsidRPr="00000000">
        <w:rPr>
          <w:rtl w:val="0"/>
        </w:rPr>
      </w:r>
    </w:p>
    <w:p w:rsidR="00000000" w:rsidDel="00000000" w:rsidP="00000000" w:rsidRDefault="00000000" w:rsidRPr="00000000" w14:paraId="0000001C">
      <w:pPr>
        <w:spacing w:before="87" w:line="338" w:lineRule="auto"/>
        <w:ind w:left="3368" w:right="1116" w:firstLine="0"/>
        <w:rPr>
          <w:sz w:val="16"/>
          <w:szCs w:val="16"/>
        </w:rPr>
      </w:pPr>
      <w:r w:rsidDel="00000000" w:rsidR="00000000" w:rsidRPr="00000000">
        <w:rPr>
          <w:rtl w:val="0"/>
        </w:rPr>
      </w:r>
    </w:p>
    <w:p w:rsidR="00000000" w:rsidDel="00000000" w:rsidP="00000000" w:rsidRDefault="00000000" w:rsidRPr="00000000" w14:paraId="0000001D">
      <w:pPr>
        <w:spacing w:before="87" w:line="338" w:lineRule="auto"/>
        <w:ind w:left="3368" w:right="1116" w:firstLine="0"/>
        <w:rPr>
          <w:sz w:val="16"/>
          <w:szCs w:val="16"/>
        </w:rPr>
      </w:pPr>
      <w:r w:rsidDel="00000000" w:rsidR="00000000" w:rsidRPr="00000000">
        <w:rPr>
          <w:rtl w:val="0"/>
        </w:rPr>
      </w:r>
    </w:p>
    <w:p w:rsidR="00000000" w:rsidDel="00000000" w:rsidP="00000000" w:rsidRDefault="00000000" w:rsidRPr="00000000" w14:paraId="0000001E">
      <w:pPr>
        <w:spacing w:before="93" w:lineRule="auto"/>
        <w:ind w:right="5444"/>
        <w:rPr>
          <w:sz w:val="20"/>
          <w:szCs w:val="20"/>
        </w:rPr>
      </w:pPr>
      <w:r w:rsidDel="00000000" w:rsidR="00000000" w:rsidRPr="00000000">
        <w:rPr>
          <w:rtl w:val="0"/>
        </w:rPr>
      </w:r>
    </w:p>
    <w:p w:rsidR="00000000" w:rsidDel="00000000" w:rsidP="00000000" w:rsidRDefault="00000000" w:rsidRPr="00000000" w14:paraId="0000001F">
      <w:pPr>
        <w:spacing w:before="93" w:lineRule="auto"/>
        <w:ind w:right="5444"/>
        <w:rPr>
          <w:sz w:val="20"/>
          <w:szCs w:val="20"/>
        </w:rPr>
      </w:pPr>
      <w:r w:rsidDel="00000000" w:rsidR="00000000" w:rsidRPr="00000000">
        <w:rPr>
          <w:rtl w:val="0"/>
        </w:rPr>
      </w:r>
    </w:p>
    <w:p w:rsidR="00000000" w:rsidDel="00000000" w:rsidP="00000000" w:rsidRDefault="00000000" w:rsidRPr="00000000" w14:paraId="00000020">
      <w:pPr>
        <w:spacing w:before="93" w:lineRule="auto"/>
        <w:ind w:right="5444"/>
        <w:rPr>
          <w:sz w:val="20"/>
          <w:szCs w:val="20"/>
        </w:rPr>
      </w:pPr>
      <w:r w:rsidDel="00000000" w:rsidR="00000000" w:rsidRPr="00000000">
        <w:rPr>
          <w:rtl w:val="0"/>
        </w:rPr>
      </w:r>
    </w:p>
    <w:p w:rsidR="00000000" w:rsidDel="00000000" w:rsidP="00000000" w:rsidRDefault="00000000" w:rsidRPr="00000000" w14:paraId="00000021">
      <w:pPr>
        <w:spacing w:before="93" w:lineRule="auto"/>
        <w:ind w:right="5444"/>
        <w:rPr>
          <w:sz w:val="20"/>
          <w:szCs w:val="20"/>
        </w:rPr>
      </w:pPr>
      <w:r w:rsidDel="00000000" w:rsidR="00000000" w:rsidRPr="00000000">
        <w:rPr>
          <w:rtl w:val="0"/>
        </w:rPr>
      </w:r>
    </w:p>
    <w:p w:rsidR="00000000" w:rsidDel="00000000" w:rsidP="00000000" w:rsidRDefault="00000000" w:rsidRPr="00000000" w14:paraId="00000022">
      <w:pPr>
        <w:spacing w:before="93" w:lineRule="auto"/>
        <w:ind w:right="5444"/>
        <w:rPr>
          <w:sz w:val="20"/>
          <w:szCs w:val="20"/>
        </w:rPr>
      </w:pPr>
      <w:r w:rsidDel="00000000" w:rsidR="00000000" w:rsidRPr="00000000">
        <w:rPr>
          <w:rtl w:val="0"/>
        </w:rPr>
      </w:r>
    </w:p>
    <w:p w:rsidR="00000000" w:rsidDel="00000000" w:rsidP="00000000" w:rsidRDefault="00000000" w:rsidRPr="00000000" w14:paraId="00000023">
      <w:pPr>
        <w:spacing w:before="93" w:lineRule="auto"/>
        <w:ind w:right="5444"/>
        <w:rPr>
          <w:sz w:val="20"/>
          <w:szCs w:val="20"/>
        </w:rPr>
      </w:pPr>
      <w:r w:rsidDel="00000000" w:rsidR="00000000" w:rsidRPr="00000000">
        <w:rPr>
          <w:rtl w:val="0"/>
        </w:rPr>
      </w:r>
    </w:p>
    <w:p w:rsidR="00000000" w:rsidDel="00000000" w:rsidP="00000000" w:rsidRDefault="00000000" w:rsidRPr="00000000" w14:paraId="00000024">
      <w:pPr>
        <w:spacing w:before="93" w:lineRule="auto"/>
        <w:ind w:right="5444"/>
        <w:rPr>
          <w:sz w:val="20"/>
          <w:szCs w:val="20"/>
        </w:rPr>
      </w:pPr>
      <w:r w:rsidDel="00000000" w:rsidR="00000000" w:rsidRPr="00000000">
        <w:rPr>
          <w:rtl w:val="0"/>
        </w:rPr>
      </w:r>
    </w:p>
    <w:p w:rsidR="00000000" w:rsidDel="00000000" w:rsidP="00000000" w:rsidRDefault="00000000" w:rsidRPr="00000000" w14:paraId="00000025">
      <w:pPr>
        <w:spacing w:before="93" w:lineRule="auto"/>
        <w:ind w:right="5444"/>
        <w:rPr>
          <w:sz w:val="20"/>
          <w:szCs w:val="20"/>
        </w:rPr>
      </w:pPr>
      <w:r w:rsidDel="00000000" w:rsidR="00000000" w:rsidRPr="00000000">
        <w:rPr>
          <w:rtl w:val="0"/>
        </w:rPr>
      </w:r>
    </w:p>
    <w:p w:rsidR="00000000" w:rsidDel="00000000" w:rsidP="00000000" w:rsidRDefault="00000000" w:rsidRPr="00000000" w14:paraId="00000026">
      <w:pPr>
        <w:spacing w:before="93" w:lineRule="auto"/>
        <w:ind w:right="5444"/>
        <w:rPr>
          <w:sz w:val="20"/>
          <w:szCs w:val="20"/>
        </w:rPr>
      </w:pPr>
      <w:r w:rsidDel="00000000" w:rsidR="00000000" w:rsidRPr="00000000">
        <w:rPr>
          <w:rtl w:val="0"/>
        </w:rPr>
      </w:r>
    </w:p>
    <w:p w:rsidR="00000000" w:rsidDel="00000000" w:rsidP="00000000" w:rsidRDefault="00000000" w:rsidRPr="00000000" w14:paraId="00000027">
      <w:pPr>
        <w:spacing w:before="93" w:lineRule="auto"/>
        <w:ind w:right="5444"/>
        <w:rPr>
          <w:sz w:val="20"/>
          <w:szCs w:val="20"/>
        </w:rPr>
      </w:pPr>
      <w:r w:rsidDel="00000000" w:rsidR="00000000" w:rsidRPr="00000000">
        <w:rPr>
          <w:rtl w:val="0"/>
        </w:rPr>
      </w:r>
    </w:p>
    <w:p w:rsidR="00000000" w:rsidDel="00000000" w:rsidP="00000000" w:rsidRDefault="00000000" w:rsidRPr="00000000" w14:paraId="00000028">
      <w:pPr>
        <w:widowControl w:val="1"/>
        <w:tabs>
          <w:tab w:val="center" w:pos="4536"/>
          <w:tab w:val="right" w:pos="9072"/>
        </w:tabs>
        <w:spacing w:line="260" w:lineRule="auto"/>
        <w:rPr>
          <w:sz w:val="20"/>
          <w:szCs w:val="20"/>
        </w:rPr>
      </w:pPr>
      <w:r w:rsidDel="00000000" w:rsidR="00000000" w:rsidRPr="00000000">
        <w:rPr>
          <w:rtl w:val="0"/>
        </w:rPr>
      </w:r>
    </w:p>
    <w:p w:rsidR="00000000" w:rsidDel="00000000" w:rsidP="00000000" w:rsidRDefault="00000000" w:rsidRPr="00000000" w14:paraId="00000029">
      <w:pPr>
        <w:widowControl w:val="1"/>
        <w:tabs>
          <w:tab w:val="center" w:pos="4536"/>
          <w:tab w:val="right" w:pos="9072"/>
        </w:tabs>
        <w:spacing w:line="260" w:lineRule="auto"/>
        <w:rPr>
          <w:sz w:val="20"/>
          <w:szCs w:val="20"/>
        </w:rPr>
      </w:pPr>
      <w:r w:rsidDel="00000000" w:rsidR="00000000" w:rsidRPr="00000000">
        <w:rPr>
          <w:rtl w:val="0"/>
        </w:rPr>
      </w:r>
    </w:p>
    <w:p w:rsidR="00000000" w:rsidDel="00000000" w:rsidP="00000000" w:rsidRDefault="00000000" w:rsidRPr="00000000" w14:paraId="0000002A">
      <w:pPr>
        <w:widowControl w:val="1"/>
        <w:tabs>
          <w:tab w:val="center" w:pos="4536"/>
          <w:tab w:val="right" w:pos="9072"/>
        </w:tabs>
        <w:spacing w:line="260" w:lineRule="auto"/>
        <w:ind w:left="212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widowControl w:val="1"/>
        <w:tabs>
          <w:tab w:val="center" w:pos="4536"/>
          <w:tab w:val="right" w:pos="9072"/>
        </w:tabs>
        <w:spacing w:line="2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Page 2 </w:t>
      </w:r>
    </w:p>
    <w:p w:rsidR="00000000" w:rsidDel="00000000" w:rsidP="00000000" w:rsidRDefault="00000000" w:rsidRPr="00000000" w14:paraId="0000002C">
      <w:pPr>
        <w:spacing w:before="93" w:lineRule="auto"/>
        <w:ind w:right="5444"/>
        <w:rPr>
          <w:sz w:val="20"/>
          <w:szCs w:val="20"/>
        </w:rPr>
      </w:pPr>
      <w:r w:rsidDel="00000000" w:rsidR="00000000" w:rsidRPr="00000000">
        <w:rPr>
          <w:rtl w:val="0"/>
        </w:rPr>
      </w:r>
    </w:p>
    <w:sectPr>
      <w:headerReference r:id="rId9" w:type="first"/>
      <w:pgSz w:h="16840" w:w="11910" w:orient="portrait"/>
      <w:pgMar w:bottom="1134" w:top="993" w:left="460" w:right="0" w:header="357" w:footer="35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ind w:left="6834" w:firstLine="0"/>
      <w:rPr/>
    </w:pPr>
    <w:r w:rsidDel="00000000" w:rsidR="00000000" w:rsidRPr="00000000">
      <w:rPr>
        <w:rFonts w:ascii="Times New Roman" w:cs="Times New Roman" w:eastAsia="Times New Roman" w:hAnsi="Times New Roman"/>
        <w:sz w:val="20"/>
        <w:szCs w:val="20"/>
      </w:rPr>
      <w:drawing>
        <wp:inline distB="0" distT="0" distL="0" distR="0">
          <wp:extent cx="2348644" cy="471011"/>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8644" cy="4710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587" w:hanging="361.00000000000045"/>
      </w:pPr>
      <w:rPr>
        <w:rFonts w:ascii="Noto Sans" w:cs="Noto Sans" w:eastAsia="Noto Sans" w:hAnsi="Noto Sans"/>
        <w:sz w:val="22"/>
        <w:szCs w:val="22"/>
      </w:rPr>
    </w:lvl>
    <w:lvl w:ilvl="1">
      <w:start w:val="0"/>
      <w:numFmt w:val="bullet"/>
      <w:lvlText w:val="•"/>
      <w:lvlJc w:val="left"/>
      <w:pPr>
        <w:ind w:left="4366" w:hanging="361"/>
      </w:pPr>
      <w:rPr/>
    </w:lvl>
    <w:lvl w:ilvl="2">
      <w:start w:val="0"/>
      <w:numFmt w:val="bullet"/>
      <w:lvlText w:val="•"/>
      <w:lvlJc w:val="left"/>
      <w:pPr>
        <w:ind w:left="5153" w:hanging="361.0000000000009"/>
      </w:pPr>
      <w:rPr/>
    </w:lvl>
    <w:lvl w:ilvl="3">
      <w:start w:val="0"/>
      <w:numFmt w:val="bullet"/>
      <w:lvlText w:val="•"/>
      <w:lvlJc w:val="left"/>
      <w:pPr>
        <w:ind w:left="5939" w:hanging="361"/>
      </w:pPr>
      <w:rPr/>
    </w:lvl>
    <w:lvl w:ilvl="4">
      <w:start w:val="0"/>
      <w:numFmt w:val="bullet"/>
      <w:lvlText w:val="•"/>
      <w:lvlJc w:val="left"/>
      <w:pPr>
        <w:ind w:left="6726" w:hanging="361"/>
      </w:pPr>
      <w:rPr/>
    </w:lvl>
    <w:lvl w:ilvl="5">
      <w:start w:val="0"/>
      <w:numFmt w:val="bullet"/>
      <w:lvlText w:val="•"/>
      <w:lvlJc w:val="left"/>
      <w:pPr>
        <w:ind w:left="7513" w:hanging="361.0000000000018"/>
      </w:pPr>
      <w:rPr/>
    </w:lvl>
    <w:lvl w:ilvl="6">
      <w:start w:val="0"/>
      <w:numFmt w:val="bullet"/>
      <w:lvlText w:val="•"/>
      <w:lvlJc w:val="left"/>
      <w:pPr>
        <w:ind w:left="8299" w:hanging="361"/>
      </w:pPr>
      <w:rPr/>
    </w:lvl>
    <w:lvl w:ilvl="7">
      <w:start w:val="0"/>
      <w:numFmt w:val="bullet"/>
      <w:lvlText w:val="•"/>
      <w:lvlJc w:val="left"/>
      <w:pPr>
        <w:ind w:left="9086" w:hanging="361"/>
      </w:pPr>
      <w:rPr/>
    </w:lvl>
    <w:lvl w:ilvl="8">
      <w:start w:val="0"/>
      <w:numFmt w:val="bullet"/>
      <w:lvlText w:val="•"/>
      <w:lvlJc w:val="left"/>
      <w:pPr>
        <w:ind w:left="9873"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1" w:lineRule="auto"/>
      <w:ind w:left="310"/>
    </w:pPr>
    <w:rPr>
      <w:rFonts w:ascii="Arial" w:cs="Arial" w:eastAsia="Arial" w:hAnsi="Arial"/>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1" w:lineRule="auto"/>
      <w:ind w:left="310"/>
    </w:pPr>
    <w:rPr>
      <w:rFonts w:ascii="Arial" w:cs="Arial" w:eastAsia="Arial" w:hAnsi="Arial"/>
      <w:b w:val="1"/>
      <w:sz w:val="30"/>
      <w:szCs w:val="3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91"/>
      <w:ind w:left="310"/>
    </w:pPr>
    <w:rPr>
      <w:rFonts w:ascii="Arial" w:cs="Arial" w:eastAsia="Arial" w:hAnsi="Arial"/>
      <w:b w:val="1"/>
      <w:sz w:val="30"/>
      <w:szCs w:val="3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8B1C4E"/>
    <w:rPr>
      <w:b w:val="1"/>
      <w:bCs w:val="1"/>
    </w:rPr>
  </w:style>
  <w:style w:type="character" w:styleId="CommentSubjectChar" w:customStyle="1">
    <w:name w:val="Comment Subject Char"/>
    <w:basedOn w:val="CommentTextChar"/>
    <w:link w:val="CommentSubject"/>
    <w:uiPriority w:val="99"/>
    <w:semiHidden w:val="1"/>
    <w:rsid w:val="008B1C4E"/>
    <w:rPr>
      <w:b w:val="1"/>
      <w:bCs w:val="1"/>
      <w:sz w:val="20"/>
      <w:szCs w:val="20"/>
    </w:rPr>
  </w:style>
  <w:style w:type="paragraph" w:styleId="BalloonText">
    <w:name w:val="Balloon Text"/>
    <w:basedOn w:val="Normal"/>
    <w:link w:val="BalloonTextChar"/>
    <w:uiPriority w:val="99"/>
    <w:semiHidden w:val="1"/>
    <w:unhideWhenUsed w:val="1"/>
    <w:rsid w:val="0016745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745F"/>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RHSKnJp9yqRzvrsj/Gmuc0uSw==">AMUW2mXAhC+I1Odz7dZdxP6eVvDEzofbdPnr31aQMVDcalgSYpvC7ZfFQxS5T0q44hTZq3Pss4lrcifQW6q0edMGDKL9l4eTgkAFbVdyREmfhA2RAKrG8pI=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2022-11-22T18:59:00Z</dcterms:created>
  <dc:creator>Lagno, Andrea / Kuehne + Nagel / Scl RM-K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bd7dc54a6c57cb21d3a934832adf6d371c8615d4c97420e34659183002fccf5d</vt:lpwstr>
  </property>
</Properties>
</file>