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EF66" w14:textId="576621A2" w:rsidR="00D96457" w:rsidRPr="004F03CA" w:rsidRDefault="009D0613" w:rsidP="00DF5ECC">
      <w:pPr>
        <w:rPr>
          <w:rFonts w:ascii="BNPP Sans Light" w:hAnsi="BNPP Sans Light"/>
        </w:rPr>
      </w:pPr>
      <w:bookmarkStart w:id="0" w:name="_Hlk88750685"/>
      <w:r w:rsidRPr="00E948EE">
        <w:rPr>
          <w:rFonts w:ascii="BNPP Sans Light" w:hAnsi="BNPP Sans Light"/>
        </w:rPr>
        <w:t>Bruxelles</w:t>
      </w:r>
      <w:r w:rsidR="00D96457" w:rsidRPr="00E948EE">
        <w:rPr>
          <w:rFonts w:ascii="BNPP Sans Light" w:hAnsi="BNPP Sans Light"/>
        </w:rPr>
        <w:t>, le</w:t>
      </w:r>
      <w:r w:rsidR="00652ACD" w:rsidRPr="00E948EE">
        <w:rPr>
          <w:rFonts w:ascii="BNPP Sans Light" w:hAnsi="BNPP Sans Light"/>
        </w:rPr>
        <w:t xml:space="preserve"> </w:t>
      </w:r>
      <w:r w:rsidR="00E948EE" w:rsidRPr="00E948EE">
        <w:rPr>
          <w:rFonts w:ascii="BNPP Sans Light" w:hAnsi="BNPP Sans Light"/>
        </w:rPr>
        <w:t>2</w:t>
      </w:r>
      <w:r w:rsidR="000876B9">
        <w:rPr>
          <w:rFonts w:ascii="BNPP Sans Light" w:hAnsi="BNPP Sans Light"/>
        </w:rPr>
        <w:t>7</w:t>
      </w:r>
      <w:r w:rsidR="00E948EE" w:rsidRPr="00E948EE">
        <w:rPr>
          <w:rFonts w:ascii="BNPP Sans Light" w:hAnsi="BNPP Sans Light"/>
        </w:rPr>
        <w:t xml:space="preserve"> décembre 2021</w:t>
      </w:r>
    </w:p>
    <w:p w14:paraId="57EBDFA4" w14:textId="77777777" w:rsidR="00D96457" w:rsidRPr="00D96457" w:rsidRDefault="00D96457" w:rsidP="008C4C01">
      <w:pPr>
        <w:rPr>
          <w:rFonts w:ascii="BNPP Sans" w:hAnsi="BNPP Sans"/>
          <w:b/>
          <w:sz w:val="20"/>
        </w:rPr>
      </w:pPr>
    </w:p>
    <w:p w14:paraId="0EEF6A47" w14:textId="77777777" w:rsidR="00B138C5" w:rsidRDefault="00991878" w:rsidP="008C4C01">
      <w:r>
        <w:rPr>
          <w:noProof/>
          <w:lang w:val="en-GB" w:eastAsia="en-GB"/>
        </w:rPr>
        <mc:AlternateContent>
          <mc:Choice Requires="wps">
            <w:drawing>
              <wp:inline distT="0" distB="0" distL="0" distR="0" wp14:anchorId="39B913FE" wp14:editId="0C40C4D4">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2A7A1"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9B913FE"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1AB2A7A1"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11CCD527" w14:textId="77777777" w:rsidR="00652ACD" w:rsidRDefault="00652ACD" w:rsidP="00652ACD">
      <w:pPr>
        <w:rPr>
          <w:rFonts w:ascii="BNPP Sans" w:eastAsiaTheme="majorEastAsia" w:hAnsi="BNPP Sans" w:cstheme="majorBidi"/>
          <w:b/>
          <w:caps/>
          <w:spacing w:val="5"/>
          <w:kern w:val="28"/>
          <w:sz w:val="36"/>
          <w:szCs w:val="36"/>
          <w:u w:val="single"/>
          <w:lang w:val="fr-BE"/>
        </w:rPr>
      </w:pPr>
    </w:p>
    <w:p w14:paraId="536526F2" w14:textId="34028CF0" w:rsidR="00A038CD" w:rsidRDefault="006141CE" w:rsidP="007053B0">
      <w:pPr>
        <w:jc w:val="center"/>
        <w:rPr>
          <w:rFonts w:ascii="BNPP Sans Light" w:hAnsi="BNPP Sans Light"/>
          <w:b/>
          <w:i/>
        </w:rPr>
      </w:pPr>
      <w:r w:rsidRPr="006141CE">
        <w:rPr>
          <w:rFonts w:ascii="BNPP Sans" w:eastAsiaTheme="majorEastAsia" w:hAnsi="BNPP Sans" w:cstheme="majorBidi"/>
          <w:b/>
          <w:caps/>
          <w:spacing w:val="5"/>
          <w:kern w:val="28"/>
          <w:sz w:val="36"/>
          <w:szCs w:val="36"/>
          <w:lang w:val="fr-BE"/>
        </w:rPr>
        <w:t xml:space="preserve">BNP Paribas Fortis propose un prêt </w:t>
      </w:r>
      <w:r w:rsidR="00EE59DF">
        <w:rPr>
          <w:rFonts w:ascii="BNPP Sans" w:eastAsiaTheme="majorEastAsia" w:hAnsi="BNPP Sans" w:cstheme="majorBidi"/>
          <w:b/>
          <w:caps/>
          <w:spacing w:val="5"/>
          <w:kern w:val="28"/>
          <w:sz w:val="36"/>
          <w:szCs w:val="36"/>
          <w:lang w:val="fr-BE"/>
        </w:rPr>
        <w:t xml:space="preserve">à tempérament </w:t>
      </w:r>
      <w:r w:rsidRPr="006141CE">
        <w:rPr>
          <w:rFonts w:ascii="BNPP Sans" w:eastAsiaTheme="majorEastAsia" w:hAnsi="BNPP Sans" w:cstheme="majorBidi"/>
          <w:b/>
          <w:caps/>
          <w:spacing w:val="5"/>
          <w:kern w:val="28"/>
          <w:sz w:val="36"/>
          <w:szCs w:val="36"/>
          <w:lang w:val="fr-BE"/>
        </w:rPr>
        <w:t>écomobilité à un taux avantageux</w:t>
      </w:r>
    </w:p>
    <w:bookmarkEnd w:id="0"/>
    <w:p w14:paraId="198560C7" w14:textId="00452BB3" w:rsidR="007053B0" w:rsidRDefault="007053B0" w:rsidP="00EB1F4B">
      <w:pPr>
        <w:rPr>
          <w:rFonts w:ascii="BNPP Sans Light" w:hAnsi="BNPP Sans Light"/>
          <w:b/>
          <w:i/>
        </w:rPr>
      </w:pPr>
    </w:p>
    <w:p w14:paraId="480A39CF" w14:textId="42F73A02" w:rsidR="00D6220A" w:rsidRDefault="00D35853" w:rsidP="00B20B1F">
      <w:pPr>
        <w:rPr>
          <w:rFonts w:ascii="BNPP Sans Light" w:hAnsi="BNPP Sans Light"/>
          <w:szCs w:val="24"/>
        </w:rPr>
      </w:pPr>
      <w:r>
        <w:rPr>
          <w:rFonts w:ascii="BNPP Sans Light" w:hAnsi="BNPP Sans Light"/>
          <w:b/>
          <w:i/>
        </w:rPr>
        <w:t>Malgré l’annulation du</w:t>
      </w:r>
      <w:r w:rsidR="006141CE" w:rsidRPr="006141CE">
        <w:rPr>
          <w:rFonts w:ascii="BNPP Sans Light" w:hAnsi="BNPP Sans Light"/>
          <w:b/>
          <w:i/>
        </w:rPr>
        <w:t xml:space="preserve"> </w:t>
      </w:r>
      <w:r w:rsidR="00980410">
        <w:rPr>
          <w:rFonts w:ascii="BNPP Sans Light" w:hAnsi="BNPP Sans Light"/>
          <w:b/>
          <w:i/>
        </w:rPr>
        <w:t>S</w:t>
      </w:r>
      <w:r w:rsidR="006141CE" w:rsidRPr="006141CE">
        <w:rPr>
          <w:rFonts w:ascii="BNPP Sans Light" w:hAnsi="BNPP Sans Light"/>
          <w:b/>
          <w:i/>
        </w:rPr>
        <w:t>alon de l</w:t>
      </w:r>
      <w:r w:rsidR="00142F1C">
        <w:rPr>
          <w:rFonts w:ascii="BNPP Sans Light" w:hAnsi="BNPP Sans Light"/>
          <w:b/>
          <w:i/>
        </w:rPr>
        <w:t>’A</w:t>
      </w:r>
      <w:r w:rsidR="006141CE" w:rsidRPr="006141CE">
        <w:rPr>
          <w:rFonts w:ascii="BNPP Sans Light" w:hAnsi="BNPP Sans Light"/>
          <w:b/>
          <w:i/>
        </w:rPr>
        <w:t xml:space="preserve">uto, BNP Paribas Fortis et </w:t>
      </w:r>
      <w:proofErr w:type="spellStart"/>
      <w:r w:rsidR="006141CE" w:rsidRPr="006141CE">
        <w:rPr>
          <w:rFonts w:ascii="BNPP Sans Light" w:hAnsi="BNPP Sans Light"/>
          <w:b/>
          <w:i/>
        </w:rPr>
        <w:t>Fintro</w:t>
      </w:r>
      <w:proofErr w:type="spellEnd"/>
      <w:r w:rsidR="006141CE" w:rsidRPr="006141CE">
        <w:rPr>
          <w:rFonts w:ascii="BNPP Sans Light" w:hAnsi="BNPP Sans Light"/>
          <w:b/>
          <w:i/>
        </w:rPr>
        <w:t xml:space="preserve"> proposent un prêt </w:t>
      </w:r>
      <w:r w:rsidR="009070BE">
        <w:rPr>
          <w:rFonts w:ascii="BNPP Sans Light" w:hAnsi="BNPP Sans Light"/>
          <w:b/>
          <w:i/>
        </w:rPr>
        <w:t xml:space="preserve">à tempérament </w:t>
      </w:r>
      <w:r w:rsidR="006141CE" w:rsidRPr="006141CE">
        <w:rPr>
          <w:rFonts w:ascii="BNPP Sans Light" w:hAnsi="BNPP Sans Light"/>
          <w:b/>
          <w:i/>
        </w:rPr>
        <w:t xml:space="preserve">écomobilité </w:t>
      </w:r>
      <w:r w:rsidR="00B20B1F">
        <w:rPr>
          <w:rFonts w:ascii="BNPP Sans Light" w:hAnsi="BNPP Sans Light"/>
          <w:b/>
          <w:i/>
        </w:rPr>
        <w:t>compétitif</w:t>
      </w:r>
      <w:r w:rsidR="006141CE" w:rsidRPr="006141CE">
        <w:rPr>
          <w:rFonts w:ascii="BNPP Sans Light" w:hAnsi="BNPP Sans Light"/>
          <w:b/>
          <w:i/>
        </w:rPr>
        <w:t xml:space="preserve"> pour les véhicules neufs écologiques ainsi que pour tout autre moyen de transport qui fait la part belle à la mobilité douce.</w:t>
      </w:r>
      <w:r w:rsidR="008B1A70">
        <w:rPr>
          <w:rFonts w:ascii="BNPP Sans Light" w:hAnsi="BNPP Sans Light"/>
          <w:b/>
          <w:i/>
        </w:rPr>
        <w:t xml:space="preserve"> </w:t>
      </w:r>
      <w:r w:rsidR="00B20B1F">
        <w:rPr>
          <w:rFonts w:ascii="BNPP Sans Light" w:hAnsi="BNPP Sans Light"/>
          <w:b/>
          <w:i/>
        </w:rPr>
        <w:t xml:space="preserve">En parallèle, BNP Paribas Fortis continue de faciliter la souscription en ligne d’un prêt </w:t>
      </w:r>
      <w:r w:rsidR="004847F6">
        <w:rPr>
          <w:rFonts w:ascii="BNPP Sans Light" w:hAnsi="BNPP Sans Light"/>
          <w:b/>
          <w:i/>
        </w:rPr>
        <w:t>à tempérament et répond ainsi aux nouveaux besoins de la clientèle</w:t>
      </w:r>
      <w:r w:rsidR="00B20B1F">
        <w:rPr>
          <w:rFonts w:ascii="BNPP Sans Light" w:hAnsi="BNPP Sans Light"/>
          <w:b/>
          <w:i/>
        </w:rPr>
        <w:t xml:space="preserve">. Aujourd’hui, </w:t>
      </w:r>
      <w:r w:rsidR="00D979F7">
        <w:rPr>
          <w:rFonts w:ascii="BNPP Sans Light" w:hAnsi="BNPP Sans Light"/>
          <w:b/>
          <w:i/>
        </w:rPr>
        <w:t xml:space="preserve">près d’un </w:t>
      </w:r>
      <w:r w:rsidR="00B20B1F" w:rsidRPr="00B20B1F">
        <w:rPr>
          <w:rFonts w:ascii="BNPP Sans Light" w:hAnsi="BNPP Sans Light"/>
          <w:b/>
          <w:i/>
        </w:rPr>
        <w:t>client</w:t>
      </w:r>
      <w:r w:rsidR="00D979F7">
        <w:rPr>
          <w:rFonts w:ascii="BNPP Sans Light" w:hAnsi="BNPP Sans Light"/>
          <w:b/>
          <w:i/>
        </w:rPr>
        <w:t xml:space="preserve"> sur cinq</w:t>
      </w:r>
      <w:r w:rsidR="00B20B1F" w:rsidRPr="00B20B1F">
        <w:rPr>
          <w:rFonts w:ascii="BNPP Sans Light" w:hAnsi="BNPP Sans Light"/>
          <w:b/>
          <w:i/>
        </w:rPr>
        <w:t xml:space="preserve"> demande </w:t>
      </w:r>
      <w:r w:rsidR="00D979F7">
        <w:rPr>
          <w:rFonts w:ascii="BNPP Sans Light" w:hAnsi="BNPP Sans Light"/>
          <w:b/>
          <w:i/>
        </w:rPr>
        <w:t xml:space="preserve">son </w:t>
      </w:r>
      <w:r w:rsidR="00B20B1F" w:rsidRPr="00B20B1F">
        <w:rPr>
          <w:rFonts w:ascii="BNPP Sans Light" w:hAnsi="BNPP Sans Light"/>
          <w:b/>
          <w:i/>
        </w:rPr>
        <w:t xml:space="preserve">prêt </w:t>
      </w:r>
      <w:r w:rsidR="009070BE">
        <w:rPr>
          <w:rFonts w:ascii="BNPP Sans Light" w:hAnsi="BNPP Sans Light"/>
          <w:b/>
          <w:i/>
        </w:rPr>
        <w:t xml:space="preserve">à tempérament </w:t>
      </w:r>
      <w:r w:rsidR="00B20B1F" w:rsidRPr="00B20B1F">
        <w:rPr>
          <w:rFonts w:ascii="BNPP Sans Light" w:hAnsi="BNPP Sans Light"/>
          <w:b/>
          <w:i/>
        </w:rPr>
        <w:t>auto en ligne</w:t>
      </w:r>
      <w:r w:rsidR="00D979F7">
        <w:rPr>
          <w:rFonts w:ascii="BNPP Sans Light" w:hAnsi="BNPP Sans Light"/>
          <w:b/>
          <w:i/>
        </w:rPr>
        <w:t xml:space="preserve">, soit </w:t>
      </w:r>
      <w:r w:rsidR="00B20B1F" w:rsidRPr="00D979F7">
        <w:rPr>
          <w:rFonts w:ascii="BNPP Sans Light" w:hAnsi="BNPP Sans Light"/>
          <w:b/>
          <w:i/>
        </w:rPr>
        <w:t xml:space="preserve">une augmentation de </w:t>
      </w:r>
      <w:r w:rsidR="00D979F7" w:rsidRPr="00D979F7">
        <w:rPr>
          <w:rFonts w:ascii="BNPP Sans Light" w:hAnsi="BNPP Sans Light"/>
          <w:b/>
          <w:i/>
        </w:rPr>
        <w:t>195%</w:t>
      </w:r>
      <w:r w:rsidR="00B20B1F" w:rsidRPr="00D979F7">
        <w:rPr>
          <w:rFonts w:ascii="BNPP Sans Light" w:hAnsi="BNPP Sans Light"/>
          <w:b/>
          <w:i/>
        </w:rPr>
        <w:t xml:space="preserve"> </w:t>
      </w:r>
      <w:r w:rsidR="00D979F7">
        <w:rPr>
          <w:rFonts w:ascii="BNPP Sans Light" w:hAnsi="BNPP Sans Light"/>
          <w:b/>
          <w:i/>
        </w:rPr>
        <w:t>au cours des douze derniers mois</w:t>
      </w:r>
      <w:r w:rsidR="00B20B1F">
        <w:rPr>
          <w:rFonts w:ascii="BNPP Sans Light" w:hAnsi="BNPP Sans Light"/>
          <w:b/>
          <w:i/>
        </w:rPr>
        <w:t>.</w:t>
      </w:r>
    </w:p>
    <w:p w14:paraId="2D0CA526" w14:textId="77777777" w:rsidR="006141CE" w:rsidRPr="00F75110" w:rsidRDefault="006141CE" w:rsidP="00BE5A28">
      <w:pPr>
        <w:spacing w:before="270" w:after="270" w:line="240" w:lineRule="auto"/>
        <w:jc w:val="center"/>
        <w:outlineLvl w:val="1"/>
        <w:rPr>
          <w:rFonts w:ascii="BNPP Sans Light" w:eastAsia="Times New Roman" w:hAnsi="BNPP Sans Light" w:cs="Arial"/>
          <w:color w:val="000000"/>
          <w:sz w:val="20"/>
          <w:lang w:eastAsia="fr-BE"/>
        </w:rPr>
      </w:pPr>
      <w:r w:rsidRPr="00F75110">
        <w:rPr>
          <w:rFonts w:ascii="BNPP Sans Light" w:eastAsia="Times New Roman" w:hAnsi="BNPP Sans Light" w:cs="Arial"/>
          <w:color w:val="000000"/>
          <w:sz w:val="20"/>
          <w:lang w:eastAsia="fr-BE"/>
        </w:rPr>
        <w:t>---</w:t>
      </w:r>
    </w:p>
    <w:p w14:paraId="592869D6" w14:textId="77777777" w:rsidR="006141CE" w:rsidRPr="00F75110" w:rsidRDefault="006141CE" w:rsidP="007053B0">
      <w:pPr>
        <w:pBdr>
          <w:top w:val="single" w:sz="4" w:space="1" w:color="auto"/>
          <w:left w:val="single" w:sz="4" w:space="4" w:color="auto"/>
          <w:bottom w:val="single" w:sz="4" w:space="1" w:color="auto"/>
          <w:right w:val="single" w:sz="4" w:space="4" w:color="auto"/>
        </w:pBdr>
        <w:shd w:val="clear" w:color="auto" w:fill="E5E5E5" w:themeFill="accent3" w:themeFillTint="66"/>
        <w:spacing w:before="270" w:after="270" w:line="240" w:lineRule="auto"/>
        <w:jc w:val="center"/>
        <w:outlineLvl w:val="1"/>
        <w:rPr>
          <w:rFonts w:ascii="BNPP Sans Light" w:eastAsia="Times New Roman" w:hAnsi="BNPP Sans Light" w:cs="Arial"/>
          <w:color w:val="000000"/>
          <w:sz w:val="27"/>
          <w:szCs w:val="27"/>
          <w:lang w:eastAsia="fr-BE"/>
        </w:rPr>
      </w:pPr>
      <w:r w:rsidRPr="00F75110">
        <w:rPr>
          <w:rFonts w:ascii="BNPP Sans Light" w:eastAsia="Times New Roman" w:hAnsi="BNPP Sans Light" w:cs="Arial"/>
          <w:color w:val="000000"/>
          <w:sz w:val="27"/>
          <w:szCs w:val="27"/>
          <w:lang w:eastAsia="fr-BE"/>
        </w:rPr>
        <w:t>ATTENTION, EMPRUNTER DE L’ARGENT COÛTE AUSSI DE L’ARGENT</w:t>
      </w:r>
    </w:p>
    <w:p w14:paraId="7E711812" w14:textId="03029A62" w:rsidR="006141CE" w:rsidRPr="00F75110" w:rsidRDefault="006141CE" w:rsidP="007053B0">
      <w:pPr>
        <w:pBdr>
          <w:top w:val="single" w:sz="4" w:space="1" w:color="auto"/>
          <w:left w:val="single" w:sz="4" w:space="4" w:color="auto"/>
          <w:bottom w:val="single" w:sz="4" w:space="1" w:color="auto"/>
          <w:right w:val="single" w:sz="4" w:space="4" w:color="auto"/>
        </w:pBdr>
        <w:shd w:val="clear" w:color="auto" w:fill="E5E5E5" w:themeFill="accent3" w:themeFillTint="66"/>
        <w:spacing w:line="240" w:lineRule="auto"/>
        <w:rPr>
          <w:rFonts w:ascii="BNPP Sans Light" w:eastAsia="Times New Roman" w:hAnsi="BNPP Sans Light"/>
          <w:szCs w:val="24"/>
          <w:lang w:eastAsia="fr-BE"/>
        </w:rPr>
      </w:pPr>
      <w:r w:rsidRPr="00F75110">
        <w:rPr>
          <w:rFonts w:ascii="BNPP Sans Light" w:eastAsia="Times New Roman" w:hAnsi="BNPP Sans Light" w:cs="Arial"/>
          <w:i/>
          <w:iCs/>
          <w:color w:val="000000"/>
          <w:sz w:val="20"/>
          <w:lang w:eastAsia="fr-BE"/>
        </w:rPr>
        <w:t>Forme de crédit</w:t>
      </w:r>
      <w:r w:rsidR="00980410">
        <w:rPr>
          <w:rFonts w:ascii="Calibri" w:eastAsia="Times New Roman" w:hAnsi="Calibri" w:cs="Calibri"/>
          <w:i/>
          <w:iCs/>
          <w:color w:val="000000"/>
          <w:sz w:val="20"/>
          <w:lang w:eastAsia="fr-BE"/>
        </w:rPr>
        <w:t> </w:t>
      </w:r>
      <w:r w:rsidR="00980410">
        <w:rPr>
          <w:rFonts w:ascii="BNPP Sans Light" w:eastAsia="Times New Roman" w:hAnsi="BNPP Sans Light" w:cs="Arial"/>
          <w:i/>
          <w:iCs/>
          <w:color w:val="000000"/>
          <w:sz w:val="20"/>
          <w:lang w:eastAsia="fr-BE"/>
        </w:rPr>
        <w:t>:</w:t>
      </w:r>
      <w:r w:rsidRPr="00F75110">
        <w:rPr>
          <w:rFonts w:ascii="BNPP Sans Light" w:eastAsia="Times New Roman" w:hAnsi="BNPP Sans Light" w:cs="Arial"/>
          <w:i/>
          <w:iCs/>
          <w:color w:val="000000"/>
          <w:sz w:val="20"/>
          <w:lang w:eastAsia="fr-BE"/>
        </w:rPr>
        <w:t xml:space="preserve"> prêt à tempérament. Sous réserve d’acceptation de votre demande par Alpha </w:t>
      </w:r>
      <w:proofErr w:type="spellStart"/>
      <w:r w:rsidRPr="00F75110">
        <w:rPr>
          <w:rFonts w:ascii="BNPP Sans Light" w:eastAsia="Times New Roman" w:hAnsi="BNPP Sans Light" w:cs="Arial"/>
          <w:i/>
          <w:iCs/>
          <w:color w:val="000000"/>
          <w:sz w:val="20"/>
          <w:lang w:eastAsia="fr-BE"/>
        </w:rPr>
        <w:t>Credit</w:t>
      </w:r>
      <w:proofErr w:type="spellEnd"/>
      <w:r w:rsidRPr="00F75110">
        <w:rPr>
          <w:rFonts w:ascii="BNPP Sans Light" w:eastAsia="Times New Roman" w:hAnsi="BNPP Sans Light" w:cs="Arial"/>
          <w:i/>
          <w:iCs/>
          <w:color w:val="000000"/>
          <w:sz w:val="20"/>
          <w:lang w:eastAsia="fr-BE"/>
        </w:rPr>
        <w:t xml:space="preserve"> SA, prêteur, Boulevard Saint-Lazare 4-10/3, B-1210 Bruxelles, RPM Bruxelles, TVA BE 0445.781.316, filiale de BNP Paribas Fortis SA. Agent lié</w:t>
      </w:r>
      <w:r w:rsidR="00980410">
        <w:rPr>
          <w:rFonts w:ascii="Calibri" w:eastAsia="Times New Roman" w:hAnsi="Calibri" w:cs="Calibri"/>
          <w:i/>
          <w:iCs/>
          <w:color w:val="000000"/>
          <w:sz w:val="20"/>
          <w:lang w:eastAsia="fr-BE"/>
        </w:rPr>
        <w:t> </w:t>
      </w:r>
      <w:r w:rsidR="00980410">
        <w:rPr>
          <w:rFonts w:ascii="BNPP Sans Light" w:eastAsia="Times New Roman" w:hAnsi="BNPP Sans Light" w:cs="Arial"/>
          <w:i/>
          <w:iCs/>
          <w:color w:val="000000"/>
          <w:sz w:val="20"/>
          <w:lang w:eastAsia="fr-BE"/>
        </w:rPr>
        <w:t>:</w:t>
      </w:r>
      <w:r w:rsidRPr="00F75110">
        <w:rPr>
          <w:rFonts w:ascii="BNPP Sans Light" w:eastAsia="Times New Roman" w:hAnsi="BNPP Sans Light" w:cs="Arial"/>
          <w:i/>
          <w:iCs/>
          <w:color w:val="000000"/>
          <w:sz w:val="20"/>
          <w:lang w:eastAsia="fr-BE"/>
        </w:rPr>
        <w:t xml:space="preserve"> BNP Paribas Fortis SA, Montagne du Parc 3, B-1000 Bruxelles, RPM Bruxelles, TVA BE 0403.199.702. Crédit soumis aux dispositions relatives au crédit à la consommation du chapitre 1 du titre 4 du livre VII du Code du droit économique. Retrouvez toutes les conditions en agences et sur le site www.bnpparibasfortis.be.</w:t>
      </w:r>
    </w:p>
    <w:p w14:paraId="2FDAC06F" w14:textId="77777777" w:rsidR="007053B0" w:rsidRDefault="007053B0" w:rsidP="006141CE">
      <w:pPr>
        <w:spacing w:after="270" w:line="240" w:lineRule="auto"/>
        <w:rPr>
          <w:rFonts w:ascii="BNPP Sans Light" w:eastAsia="Times New Roman" w:hAnsi="BNPP Sans Light" w:cs="Arial"/>
          <w:color w:val="000000"/>
          <w:szCs w:val="24"/>
          <w:lang w:eastAsia="fr-BE"/>
        </w:rPr>
      </w:pPr>
    </w:p>
    <w:p w14:paraId="094AB008" w14:textId="77777777" w:rsidR="007053B0" w:rsidRDefault="007053B0" w:rsidP="00BE5A28">
      <w:pPr>
        <w:spacing w:after="270" w:line="240" w:lineRule="auto"/>
        <w:jc w:val="center"/>
        <w:rPr>
          <w:rFonts w:ascii="BNPP Sans Light" w:eastAsia="Times New Roman" w:hAnsi="BNPP Sans Light" w:cs="Arial"/>
          <w:color w:val="000000"/>
          <w:szCs w:val="24"/>
          <w:lang w:eastAsia="fr-BE"/>
        </w:rPr>
      </w:pPr>
      <w:r>
        <w:rPr>
          <w:rFonts w:ascii="BNPP Sans Light" w:eastAsia="Times New Roman" w:hAnsi="BNPP Sans Light" w:cs="Arial"/>
          <w:color w:val="000000"/>
          <w:szCs w:val="24"/>
          <w:lang w:eastAsia="fr-BE"/>
        </w:rPr>
        <w:t>---</w:t>
      </w:r>
    </w:p>
    <w:p w14:paraId="5F59E22A" w14:textId="19BB9461" w:rsidR="00EE59DF" w:rsidRPr="00F75110" w:rsidRDefault="00EE59DF" w:rsidP="00EE59DF">
      <w:pPr>
        <w:spacing w:after="270" w:line="240" w:lineRule="auto"/>
        <w:rPr>
          <w:rFonts w:ascii="BNPP Sans Light" w:eastAsia="Times New Roman" w:hAnsi="BNPP Sans Light" w:cs="Arial"/>
          <w:color w:val="000000"/>
          <w:szCs w:val="24"/>
          <w:lang w:eastAsia="fr-BE"/>
        </w:rPr>
      </w:pPr>
      <w:r>
        <w:rPr>
          <w:rFonts w:ascii="BNPP Sans Light" w:eastAsia="Times New Roman" w:hAnsi="BNPP Sans Light" w:cs="Arial"/>
          <w:color w:val="000000"/>
          <w:szCs w:val="24"/>
          <w:lang w:eastAsia="fr-BE"/>
        </w:rPr>
        <w:t>M</w:t>
      </w:r>
      <w:r w:rsidR="006141CE" w:rsidRPr="00F75110">
        <w:rPr>
          <w:rFonts w:ascii="BNPP Sans Light" w:eastAsia="Times New Roman" w:hAnsi="BNPP Sans Light" w:cs="Arial"/>
          <w:color w:val="000000"/>
          <w:szCs w:val="24"/>
          <w:lang w:eastAsia="fr-BE"/>
        </w:rPr>
        <w:t xml:space="preserve">obilité et écologie sont deux thèmes incontournables. </w:t>
      </w:r>
      <w:r>
        <w:rPr>
          <w:rFonts w:ascii="BNPP Sans Light" w:eastAsia="Times New Roman" w:hAnsi="BNPP Sans Light" w:cs="Arial"/>
          <w:color w:val="000000"/>
          <w:szCs w:val="24"/>
          <w:lang w:eastAsia="fr-BE"/>
        </w:rPr>
        <w:t xml:space="preserve">De plus en plus de </w:t>
      </w:r>
      <w:r w:rsidRPr="00F75110">
        <w:rPr>
          <w:rFonts w:ascii="BNPP Sans Light" w:eastAsia="Times New Roman" w:hAnsi="BNPP Sans Light" w:cs="Arial"/>
          <w:color w:val="000000"/>
          <w:szCs w:val="24"/>
          <w:lang w:eastAsia="fr-BE"/>
        </w:rPr>
        <w:t>Belges</w:t>
      </w:r>
      <w:r w:rsidR="004847F6">
        <w:rPr>
          <w:rFonts w:ascii="BNPP Sans Light" w:eastAsia="Times New Roman" w:hAnsi="BNPP Sans Light" w:cs="Arial"/>
          <w:color w:val="000000"/>
          <w:szCs w:val="24"/>
          <w:lang w:eastAsia="fr-BE"/>
        </w:rPr>
        <w:t>, conscients de l’urgence des</w:t>
      </w:r>
      <w:r w:rsidR="004847F6" w:rsidRPr="004847F6">
        <w:rPr>
          <w:rFonts w:ascii="BNPP Sans Light" w:eastAsia="Times New Roman" w:hAnsi="BNPP Sans Light" w:cs="Arial"/>
          <w:color w:val="000000"/>
          <w:szCs w:val="24"/>
          <w:lang w:eastAsia="fr-BE"/>
        </w:rPr>
        <w:t xml:space="preserve"> </w:t>
      </w:r>
      <w:r w:rsidR="004847F6" w:rsidRPr="00F75110">
        <w:rPr>
          <w:rFonts w:ascii="BNPP Sans Light" w:eastAsia="Times New Roman" w:hAnsi="BNPP Sans Light" w:cs="Arial"/>
          <w:color w:val="000000"/>
          <w:szCs w:val="24"/>
          <w:lang w:eastAsia="fr-BE"/>
        </w:rPr>
        <w:t>questions climatiques</w:t>
      </w:r>
      <w:r w:rsidRPr="00F75110">
        <w:rPr>
          <w:rFonts w:ascii="BNPP Sans Light" w:eastAsia="Times New Roman" w:hAnsi="BNPP Sans Light" w:cs="Arial"/>
          <w:color w:val="000000"/>
          <w:szCs w:val="24"/>
          <w:lang w:eastAsia="fr-BE"/>
        </w:rPr>
        <w:t xml:space="preserve"> adaptent</w:t>
      </w:r>
      <w:r>
        <w:rPr>
          <w:rFonts w:ascii="BNPP Sans Light" w:eastAsia="Times New Roman" w:hAnsi="BNPP Sans Light" w:cs="Arial"/>
          <w:color w:val="000000"/>
          <w:szCs w:val="24"/>
          <w:lang w:eastAsia="fr-BE"/>
        </w:rPr>
        <w:t xml:space="preserve"> </w:t>
      </w:r>
      <w:r w:rsidRPr="00F75110">
        <w:rPr>
          <w:rFonts w:ascii="BNPP Sans Light" w:eastAsia="Times New Roman" w:hAnsi="BNPP Sans Light" w:cs="Arial"/>
          <w:color w:val="000000"/>
          <w:szCs w:val="24"/>
          <w:lang w:eastAsia="fr-BE"/>
        </w:rPr>
        <w:t xml:space="preserve">leurs habitudes en matière de mobilité. Cette volonté </w:t>
      </w:r>
      <w:r w:rsidR="00980410">
        <w:rPr>
          <w:rFonts w:ascii="BNPP Sans Light" w:eastAsia="Times New Roman" w:hAnsi="BNPP Sans Light" w:cs="Arial"/>
          <w:color w:val="000000"/>
          <w:szCs w:val="24"/>
          <w:lang w:eastAsia="fr-BE"/>
        </w:rPr>
        <w:t>de</w:t>
      </w:r>
      <w:r>
        <w:rPr>
          <w:rFonts w:ascii="BNPP Sans Light" w:eastAsia="Times New Roman" w:hAnsi="BNPP Sans Light" w:cs="Arial"/>
          <w:color w:val="000000"/>
          <w:szCs w:val="24"/>
          <w:lang w:eastAsia="fr-BE"/>
        </w:rPr>
        <w:t xml:space="preserve"> </w:t>
      </w:r>
      <w:r w:rsidRPr="00F75110">
        <w:rPr>
          <w:rFonts w:ascii="BNPP Sans Light" w:eastAsia="Times New Roman" w:hAnsi="BNPP Sans Light" w:cs="Arial"/>
          <w:color w:val="000000"/>
          <w:szCs w:val="24"/>
          <w:lang w:eastAsia="fr-BE"/>
        </w:rPr>
        <w:t xml:space="preserve">se déplacer </w:t>
      </w:r>
      <w:r>
        <w:rPr>
          <w:rFonts w:ascii="BNPP Sans Light" w:eastAsia="Times New Roman" w:hAnsi="BNPP Sans Light" w:cs="Arial"/>
          <w:color w:val="000000"/>
          <w:szCs w:val="24"/>
          <w:lang w:eastAsia="fr-BE"/>
        </w:rPr>
        <w:t>en produisant moins de carbone et de particules fines</w:t>
      </w:r>
      <w:r w:rsidRPr="00F75110">
        <w:rPr>
          <w:rFonts w:ascii="BNPP Sans Light" w:eastAsia="Times New Roman" w:hAnsi="BNPP Sans Light" w:cs="Arial"/>
          <w:color w:val="000000"/>
          <w:szCs w:val="24"/>
          <w:lang w:eastAsia="fr-BE"/>
        </w:rPr>
        <w:t xml:space="preserve">, BNP Paribas Fortis l’a </w:t>
      </w:r>
      <w:r w:rsidR="004847F6">
        <w:rPr>
          <w:rFonts w:ascii="BNPP Sans Light" w:eastAsia="Times New Roman" w:hAnsi="BNPP Sans Light" w:cs="Arial"/>
          <w:color w:val="000000"/>
          <w:szCs w:val="24"/>
          <w:lang w:eastAsia="fr-BE"/>
        </w:rPr>
        <w:t xml:space="preserve">bien </w:t>
      </w:r>
      <w:r w:rsidRPr="00F75110">
        <w:rPr>
          <w:rFonts w:ascii="BNPP Sans Light" w:eastAsia="Times New Roman" w:hAnsi="BNPP Sans Light" w:cs="Arial"/>
          <w:color w:val="000000"/>
          <w:szCs w:val="24"/>
          <w:lang w:eastAsia="fr-BE"/>
        </w:rPr>
        <w:t xml:space="preserve">comprise en étant la première banque en Belgique </w:t>
      </w:r>
      <w:r w:rsidR="004847F6" w:rsidRPr="00F75110">
        <w:rPr>
          <w:rFonts w:ascii="BNPP Sans Light" w:eastAsia="Times New Roman" w:hAnsi="BNPP Sans Light" w:cs="Arial"/>
          <w:color w:val="000000"/>
          <w:szCs w:val="24"/>
          <w:lang w:eastAsia="fr-BE"/>
        </w:rPr>
        <w:t>à propos</w:t>
      </w:r>
      <w:r w:rsidR="00980410">
        <w:rPr>
          <w:rFonts w:ascii="BNPP Sans Light" w:eastAsia="Times New Roman" w:hAnsi="BNPP Sans Light" w:cs="Arial"/>
          <w:color w:val="000000"/>
          <w:szCs w:val="24"/>
          <w:lang w:eastAsia="fr-BE"/>
        </w:rPr>
        <w:t>er</w:t>
      </w:r>
      <w:r w:rsidR="004847F6">
        <w:rPr>
          <w:rFonts w:ascii="BNPP Sans Light" w:eastAsia="Times New Roman" w:hAnsi="BNPP Sans Light" w:cs="Arial"/>
          <w:color w:val="000000"/>
          <w:szCs w:val="24"/>
          <w:lang w:eastAsia="fr-BE"/>
        </w:rPr>
        <w:t xml:space="preserve"> </w:t>
      </w:r>
      <w:r w:rsidRPr="00F75110">
        <w:rPr>
          <w:rFonts w:ascii="BNPP Sans Light" w:eastAsia="Times New Roman" w:hAnsi="BNPP Sans Light" w:cs="Arial"/>
          <w:color w:val="000000"/>
          <w:szCs w:val="24"/>
          <w:lang w:eastAsia="fr-BE"/>
        </w:rPr>
        <w:t>des taux écomobilité</w:t>
      </w:r>
      <w:r w:rsidR="004847F6">
        <w:rPr>
          <w:rFonts w:ascii="BNPP Sans Light" w:eastAsia="Times New Roman" w:hAnsi="BNPP Sans Light" w:cs="Arial"/>
          <w:color w:val="000000"/>
          <w:szCs w:val="24"/>
          <w:lang w:eastAsia="fr-BE"/>
        </w:rPr>
        <w:t>,</w:t>
      </w:r>
      <w:r>
        <w:rPr>
          <w:rFonts w:ascii="BNPP Sans Light" w:eastAsia="Times New Roman" w:hAnsi="BNPP Sans Light" w:cs="Arial"/>
          <w:color w:val="000000"/>
          <w:szCs w:val="24"/>
          <w:lang w:eastAsia="fr-BE"/>
        </w:rPr>
        <w:t xml:space="preserve"> et ce depuis 2018</w:t>
      </w:r>
      <w:r w:rsidRPr="00F75110">
        <w:rPr>
          <w:rFonts w:ascii="BNPP Sans Light" w:eastAsia="Times New Roman" w:hAnsi="BNPP Sans Light" w:cs="Arial"/>
          <w:color w:val="000000"/>
          <w:szCs w:val="24"/>
          <w:lang w:eastAsia="fr-BE"/>
        </w:rPr>
        <w:t>.</w:t>
      </w:r>
      <w:r w:rsidRPr="00EE59DF">
        <w:rPr>
          <w:rFonts w:ascii="BNPP Sans Light" w:eastAsia="Times New Roman" w:hAnsi="BNPP Sans Light" w:cs="Arial"/>
          <w:color w:val="000000"/>
          <w:szCs w:val="24"/>
          <w:lang w:eastAsia="fr-BE"/>
        </w:rPr>
        <w:t xml:space="preserve"> </w:t>
      </w:r>
    </w:p>
    <w:p w14:paraId="078A166E" w14:textId="7A81078D" w:rsidR="00EE59DF" w:rsidRDefault="004847F6" w:rsidP="006141CE">
      <w:pPr>
        <w:spacing w:after="270" w:line="240" w:lineRule="auto"/>
        <w:rPr>
          <w:rFonts w:ascii="BNPP Sans Light" w:eastAsia="Times New Roman" w:hAnsi="BNPP Sans Light" w:cs="Arial"/>
          <w:color w:val="000000"/>
          <w:szCs w:val="24"/>
          <w:lang w:eastAsia="fr-BE"/>
        </w:rPr>
      </w:pPr>
      <w:r>
        <w:rPr>
          <w:rFonts w:ascii="BNPP Sans Light" w:eastAsia="Times New Roman" w:hAnsi="BNPP Sans Light" w:cs="Arial"/>
          <w:color w:val="000000"/>
          <w:szCs w:val="24"/>
          <w:lang w:eastAsia="fr-BE"/>
        </w:rPr>
        <w:t xml:space="preserve">Le </w:t>
      </w:r>
      <w:r w:rsidRPr="004847F6">
        <w:rPr>
          <w:rFonts w:ascii="BNPP Sans Light" w:eastAsia="Times New Roman" w:hAnsi="BNPP Sans Light" w:cs="Arial"/>
          <w:color w:val="000000"/>
          <w:szCs w:val="24"/>
          <w:lang w:eastAsia="fr-BE"/>
        </w:rPr>
        <w:t xml:space="preserve">prêt à tempérament mobilité </w:t>
      </w:r>
      <w:r w:rsidR="00980410">
        <w:rPr>
          <w:rFonts w:ascii="BNPP Sans Light" w:eastAsia="Times New Roman" w:hAnsi="BNPP Sans Light" w:cs="Arial"/>
          <w:color w:val="000000"/>
          <w:szCs w:val="24"/>
          <w:lang w:eastAsia="fr-BE"/>
        </w:rPr>
        <w:t>attire</w:t>
      </w:r>
      <w:r w:rsidR="00EE59DF">
        <w:rPr>
          <w:rFonts w:ascii="BNPP Sans Light" w:eastAsia="Times New Roman" w:hAnsi="BNPP Sans Light" w:cs="Arial"/>
          <w:color w:val="000000"/>
          <w:szCs w:val="24"/>
          <w:lang w:eastAsia="fr-BE"/>
        </w:rPr>
        <w:t xml:space="preserve"> de plus en plus de clients</w:t>
      </w:r>
      <w:r w:rsidR="00980410">
        <w:rPr>
          <w:rFonts w:ascii="BNPP Sans Light" w:eastAsia="Times New Roman" w:hAnsi="BNPP Sans Light" w:cs="Arial"/>
          <w:color w:val="000000"/>
          <w:szCs w:val="24"/>
          <w:lang w:eastAsia="fr-BE"/>
        </w:rPr>
        <w:t xml:space="preserve"> et clientes</w:t>
      </w:r>
      <w:r>
        <w:rPr>
          <w:rFonts w:ascii="Calibri" w:eastAsia="Times New Roman" w:hAnsi="Calibri" w:cs="Calibri"/>
          <w:color w:val="000000"/>
          <w:szCs w:val="24"/>
          <w:lang w:eastAsia="fr-BE"/>
        </w:rPr>
        <w:t> </w:t>
      </w:r>
      <w:r>
        <w:rPr>
          <w:rFonts w:ascii="BNPP Sans Light" w:eastAsia="Times New Roman" w:hAnsi="BNPP Sans Light" w:cs="Arial"/>
          <w:color w:val="000000"/>
          <w:szCs w:val="24"/>
          <w:lang w:eastAsia="fr-BE"/>
        </w:rPr>
        <w:t xml:space="preserve">: </w:t>
      </w:r>
      <w:r w:rsidR="00EE59DF">
        <w:rPr>
          <w:rFonts w:ascii="BNPP Sans Light" w:eastAsia="Times New Roman" w:hAnsi="BNPP Sans Light" w:cs="Arial"/>
          <w:color w:val="000000"/>
          <w:szCs w:val="24"/>
          <w:lang w:eastAsia="fr-BE"/>
        </w:rPr>
        <w:t>s</w:t>
      </w:r>
      <w:r w:rsidR="00EE59DF" w:rsidRPr="00F75110">
        <w:rPr>
          <w:rFonts w:ascii="BNPP Sans Light" w:eastAsia="Times New Roman" w:hAnsi="BNPP Sans Light" w:cs="Arial"/>
          <w:color w:val="000000"/>
          <w:szCs w:val="24"/>
          <w:lang w:eastAsia="fr-BE"/>
        </w:rPr>
        <w:t xml:space="preserve">elon </w:t>
      </w:r>
      <w:r>
        <w:rPr>
          <w:rFonts w:ascii="BNPP Sans Light" w:eastAsia="Times New Roman" w:hAnsi="BNPP Sans Light" w:cs="Arial"/>
          <w:color w:val="000000"/>
          <w:szCs w:val="24"/>
          <w:lang w:eastAsia="fr-BE"/>
        </w:rPr>
        <w:t>nos</w:t>
      </w:r>
      <w:r w:rsidR="00EE59DF" w:rsidRPr="00F75110">
        <w:rPr>
          <w:rFonts w:ascii="BNPP Sans Light" w:eastAsia="Times New Roman" w:hAnsi="BNPP Sans Light" w:cs="Arial"/>
          <w:color w:val="000000"/>
          <w:szCs w:val="24"/>
          <w:lang w:eastAsia="fr-BE"/>
        </w:rPr>
        <w:t xml:space="preserve"> statistiques</w:t>
      </w:r>
      <w:r>
        <w:rPr>
          <w:rFonts w:ascii="BNPP Sans Light" w:eastAsia="Times New Roman" w:hAnsi="BNPP Sans Light" w:cs="Arial"/>
          <w:color w:val="000000"/>
          <w:szCs w:val="24"/>
          <w:lang w:eastAsia="fr-BE"/>
        </w:rPr>
        <w:t>,</w:t>
      </w:r>
      <w:r w:rsidR="00EE59DF" w:rsidRPr="00F75110">
        <w:rPr>
          <w:rFonts w:ascii="BNPP Sans Light" w:eastAsia="Times New Roman" w:hAnsi="BNPP Sans Light" w:cs="Arial"/>
          <w:color w:val="000000"/>
          <w:szCs w:val="24"/>
          <w:lang w:eastAsia="fr-BE"/>
        </w:rPr>
        <w:t xml:space="preserve"> </w:t>
      </w:r>
      <w:r w:rsidR="00EE59DF">
        <w:rPr>
          <w:rFonts w:ascii="BNPP Sans Light" w:eastAsia="Times New Roman" w:hAnsi="BNPP Sans Light" w:cs="Arial"/>
          <w:color w:val="000000"/>
          <w:szCs w:val="24"/>
          <w:lang w:eastAsia="fr-BE"/>
        </w:rPr>
        <w:t xml:space="preserve">1 </w:t>
      </w:r>
      <w:r w:rsidR="00954D65">
        <w:rPr>
          <w:rFonts w:ascii="BNPP Sans Light" w:eastAsia="Times New Roman" w:hAnsi="BNPP Sans Light" w:cs="Arial"/>
          <w:color w:val="000000"/>
          <w:szCs w:val="24"/>
          <w:lang w:eastAsia="fr-BE"/>
        </w:rPr>
        <w:t>prêt</w:t>
      </w:r>
      <w:r w:rsidR="006141CE" w:rsidRPr="00F75110">
        <w:rPr>
          <w:rFonts w:ascii="BNPP Sans Light" w:eastAsia="Times New Roman" w:hAnsi="BNPP Sans Light" w:cs="Arial"/>
          <w:color w:val="000000"/>
          <w:szCs w:val="24"/>
          <w:lang w:eastAsia="fr-BE"/>
        </w:rPr>
        <w:t xml:space="preserve"> à </w:t>
      </w:r>
      <w:r w:rsidR="00EE59DF">
        <w:rPr>
          <w:rFonts w:ascii="BNPP Sans Light" w:eastAsia="Times New Roman" w:hAnsi="BNPP Sans Light" w:cs="Arial"/>
          <w:color w:val="000000"/>
          <w:szCs w:val="24"/>
          <w:lang w:eastAsia="fr-BE"/>
        </w:rPr>
        <w:t>tempérament</w:t>
      </w:r>
      <w:r w:rsidR="006141CE" w:rsidRPr="00F75110">
        <w:rPr>
          <w:rFonts w:ascii="BNPP Sans Light" w:eastAsia="Times New Roman" w:hAnsi="BNPP Sans Light" w:cs="Arial"/>
          <w:color w:val="000000"/>
          <w:szCs w:val="24"/>
          <w:lang w:eastAsia="fr-BE"/>
        </w:rPr>
        <w:t xml:space="preserve"> sur </w:t>
      </w:r>
      <w:r w:rsidR="00EE59DF">
        <w:rPr>
          <w:rFonts w:ascii="BNPP Sans Light" w:eastAsia="Times New Roman" w:hAnsi="BNPP Sans Light" w:cs="Arial"/>
          <w:color w:val="000000"/>
          <w:szCs w:val="24"/>
          <w:lang w:eastAsia="fr-BE"/>
        </w:rPr>
        <w:t>2</w:t>
      </w:r>
      <w:r w:rsidR="006141CE" w:rsidRPr="00F75110">
        <w:rPr>
          <w:rFonts w:ascii="BNPP Sans Light" w:eastAsia="Times New Roman" w:hAnsi="BNPP Sans Light" w:cs="Arial"/>
          <w:color w:val="000000"/>
          <w:szCs w:val="24"/>
          <w:lang w:eastAsia="fr-BE"/>
        </w:rPr>
        <w:t xml:space="preserve"> est destiné à financer l’achat d’un véhicule</w:t>
      </w:r>
      <w:r>
        <w:rPr>
          <w:rFonts w:ascii="BNPP Sans Light" w:eastAsia="Times New Roman" w:hAnsi="BNPP Sans Light" w:cs="Arial"/>
          <w:color w:val="000000"/>
          <w:szCs w:val="24"/>
          <w:lang w:eastAsia="fr-BE"/>
        </w:rPr>
        <w:t xml:space="preserve"> et </w:t>
      </w:r>
      <w:r w:rsidR="00D979F7">
        <w:rPr>
          <w:rFonts w:ascii="BNPP Sans Light" w:eastAsia="Times New Roman" w:hAnsi="BNPP Sans Light" w:cs="Arial"/>
          <w:color w:val="000000"/>
          <w:szCs w:val="24"/>
          <w:lang w:eastAsia="fr-BE"/>
        </w:rPr>
        <w:t xml:space="preserve">plus de 1 </w:t>
      </w:r>
      <w:r w:rsidR="00EE59DF">
        <w:rPr>
          <w:rFonts w:ascii="BNPP Sans Light" w:eastAsia="Times New Roman" w:hAnsi="BNPP Sans Light" w:cs="Arial"/>
          <w:color w:val="000000"/>
          <w:szCs w:val="24"/>
          <w:lang w:eastAsia="fr-BE"/>
        </w:rPr>
        <w:t xml:space="preserve">prêt </w:t>
      </w:r>
      <w:r w:rsidR="00D979F7">
        <w:rPr>
          <w:rFonts w:ascii="BNPP Sans Light" w:eastAsia="Times New Roman" w:hAnsi="BNPP Sans Light" w:cs="Arial"/>
          <w:color w:val="000000"/>
          <w:szCs w:val="24"/>
          <w:lang w:eastAsia="fr-BE"/>
        </w:rPr>
        <w:t xml:space="preserve">sur 3 </w:t>
      </w:r>
      <w:r w:rsidR="00EE59DF">
        <w:rPr>
          <w:rFonts w:ascii="BNPP Sans Light" w:eastAsia="Times New Roman" w:hAnsi="BNPP Sans Light" w:cs="Arial"/>
          <w:color w:val="000000"/>
          <w:szCs w:val="24"/>
          <w:lang w:eastAsia="fr-BE"/>
        </w:rPr>
        <w:t xml:space="preserve">est </w:t>
      </w:r>
      <w:r w:rsidR="00EE59DF" w:rsidRPr="00F75110">
        <w:rPr>
          <w:rFonts w:ascii="BNPP Sans Light" w:eastAsia="Times New Roman" w:hAnsi="BNPP Sans Light" w:cs="Arial"/>
          <w:color w:val="000000"/>
          <w:szCs w:val="24"/>
          <w:lang w:eastAsia="fr-BE"/>
        </w:rPr>
        <w:t>destiné à un véhicule écologique</w:t>
      </w:r>
      <w:r w:rsidR="006141CE" w:rsidRPr="00F75110">
        <w:rPr>
          <w:rFonts w:ascii="BNPP Sans Light" w:eastAsia="Times New Roman" w:hAnsi="BNPP Sans Light" w:cs="Arial"/>
          <w:color w:val="000000"/>
          <w:szCs w:val="24"/>
          <w:lang w:eastAsia="fr-BE"/>
        </w:rPr>
        <w:t xml:space="preserve">. </w:t>
      </w:r>
    </w:p>
    <w:p w14:paraId="5530FD43" w14:textId="251FF114" w:rsidR="00EE59DF" w:rsidRDefault="006141CE" w:rsidP="006141CE">
      <w:pPr>
        <w:spacing w:after="270" w:line="240" w:lineRule="auto"/>
        <w:rPr>
          <w:rFonts w:ascii="BNPP Sans Light" w:eastAsia="Times New Roman" w:hAnsi="BNPP Sans Light" w:cs="Arial"/>
          <w:color w:val="000000"/>
          <w:szCs w:val="24"/>
          <w:lang w:eastAsia="fr-BE"/>
        </w:rPr>
      </w:pPr>
      <w:r w:rsidRPr="00DF5ECC">
        <w:rPr>
          <w:rFonts w:ascii="BNPP Sans Light" w:eastAsia="Times New Roman" w:hAnsi="BNPP Sans Light" w:cs="Arial"/>
          <w:color w:val="000000"/>
          <w:szCs w:val="24"/>
          <w:lang w:eastAsia="fr-BE"/>
        </w:rPr>
        <w:t xml:space="preserve">Quant au portrait-robot du preneur </w:t>
      </w:r>
      <w:r w:rsidR="004847F6">
        <w:rPr>
          <w:rFonts w:ascii="BNPP Sans Light" w:eastAsia="Times New Roman" w:hAnsi="BNPP Sans Light" w:cs="Arial"/>
          <w:color w:val="000000"/>
          <w:szCs w:val="24"/>
          <w:lang w:eastAsia="fr-BE"/>
        </w:rPr>
        <w:t>de</w:t>
      </w:r>
      <w:r w:rsidRPr="00DF5ECC">
        <w:rPr>
          <w:rFonts w:ascii="BNPP Sans Light" w:eastAsia="Times New Roman" w:hAnsi="BNPP Sans Light" w:cs="Arial"/>
          <w:color w:val="000000"/>
          <w:szCs w:val="24"/>
          <w:lang w:eastAsia="fr-BE"/>
        </w:rPr>
        <w:t xml:space="preserve"> prêt à tempérament</w:t>
      </w:r>
      <w:r w:rsidR="00DF5ECC" w:rsidRPr="00DF5ECC">
        <w:rPr>
          <w:rFonts w:ascii="BNPP Sans Light" w:eastAsia="Times New Roman" w:hAnsi="BNPP Sans Light" w:cs="Arial"/>
          <w:color w:val="000000"/>
          <w:szCs w:val="24"/>
          <w:lang w:eastAsia="fr-BE"/>
        </w:rPr>
        <w:t xml:space="preserve"> destiné à un véhicule écologique</w:t>
      </w:r>
      <w:r w:rsidRPr="00DF5ECC">
        <w:rPr>
          <w:rFonts w:ascii="BNPP Sans Light" w:eastAsia="Times New Roman" w:hAnsi="BNPP Sans Light" w:cs="Arial"/>
          <w:color w:val="000000"/>
          <w:szCs w:val="24"/>
          <w:lang w:eastAsia="fr-BE"/>
        </w:rPr>
        <w:t>, il est le suivant : un homme (6</w:t>
      </w:r>
      <w:r w:rsidR="00DF5ECC" w:rsidRPr="00DF5ECC">
        <w:rPr>
          <w:rFonts w:ascii="BNPP Sans Light" w:eastAsia="Times New Roman" w:hAnsi="BNPP Sans Light" w:cs="Arial"/>
          <w:color w:val="000000"/>
          <w:szCs w:val="24"/>
          <w:lang w:eastAsia="fr-BE"/>
        </w:rPr>
        <w:t>0</w:t>
      </w:r>
      <w:r w:rsidRPr="00DF5ECC">
        <w:rPr>
          <w:rFonts w:ascii="BNPP Sans Light" w:eastAsia="Times New Roman" w:hAnsi="BNPP Sans Light" w:cs="Arial"/>
          <w:color w:val="000000"/>
          <w:szCs w:val="24"/>
          <w:lang w:eastAsia="fr-BE"/>
        </w:rPr>
        <w:t>%)</w:t>
      </w:r>
      <w:r w:rsidR="00EE59DF">
        <w:rPr>
          <w:rFonts w:ascii="BNPP Sans Light" w:eastAsia="Times New Roman" w:hAnsi="BNPP Sans Light" w:cs="Arial"/>
          <w:color w:val="000000"/>
          <w:szCs w:val="24"/>
          <w:lang w:eastAsia="fr-BE"/>
        </w:rPr>
        <w:t>,</w:t>
      </w:r>
      <w:r w:rsidRPr="00DF5ECC">
        <w:rPr>
          <w:rFonts w:ascii="BNPP Sans Light" w:eastAsia="Times New Roman" w:hAnsi="BNPP Sans Light" w:cs="Arial"/>
          <w:color w:val="000000"/>
          <w:szCs w:val="24"/>
          <w:lang w:eastAsia="fr-BE"/>
        </w:rPr>
        <w:t xml:space="preserve"> âgé de </w:t>
      </w:r>
      <w:r w:rsidR="00DF5ECC" w:rsidRPr="00DF5ECC">
        <w:rPr>
          <w:rFonts w:ascii="BNPP Sans Light" w:eastAsia="Times New Roman" w:hAnsi="BNPP Sans Light" w:cs="Arial"/>
          <w:color w:val="000000"/>
          <w:szCs w:val="24"/>
          <w:lang w:eastAsia="fr-BE"/>
        </w:rPr>
        <w:t>50</w:t>
      </w:r>
      <w:r w:rsidRPr="00DF5ECC">
        <w:rPr>
          <w:rFonts w:ascii="BNPP Sans Light" w:eastAsia="Times New Roman" w:hAnsi="BNPP Sans Light" w:cs="Arial"/>
          <w:color w:val="000000"/>
          <w:szCs w:val="24"/>
          <w:lang w:eastAsia="fr-BE"/>
        </w:rPr>
        <w:t xml:space="preserve"> ans</w:t>
      </w:r>
      <w:r w:rsidRPr="006404BB">
        <w:rPr>
          <w:rFonts w:ascii="BNPP Sans Light" w:eastAsia="Times New Roman" w:hAnsi="BNPP Sans Light" w:cs="Arial"/>
          <w:color w:val="000000"/>
          <w:szCs w:val="24"/>
          <w:lang w:eastAsia="fr-BE"/>
        </w:rPr>
        <w:t xml:space="preserve">. </w:t>
      </w:r>
      <w:r w:rsidR="004847F6">
        <w:rPr>
          <w:rFonts w:ascii="BNPP Sans Light" w:eastAsia="Times New Roman" w:hAnsi="BNPP Sans Light" w:cs="Arial"/>
          <w:color w:val="000000"/>
          <w:szCs w:val="24"/>
          <w:lang w:eastAsia="fr-BE"/>
        </w:rPr>
        <w:t>À</w:t>
      </w:r>
      <w:r w:rsidRPr="006404BB">
        <w:rPr>
          <w:rFonts w:ascii="BNPP Sans Light" w:eastAsia="Times New Roman" w:hAnsi="BNPP Sans Light" w:cs="Arial"/>
          <w:color w:val="000000"/>
          <w:szCs w:val="24"/>
          <w:lang w:eastAsia="fr-BE"/>
        </w:rPr>
        <w:t xml:space="preserve"> noter </w:t>
      </w:r>
      <w:r w:rsidR="004847F6" w:rsidRPr="004847F6">
        <w:rPr>
          <w:rFonts w:ascii="BNPP Sans Light" w:eastAsia="Times New Roman" w:hAnsi="BNPP Sans Light" w:cs="Arial"/>
          <w:color w:val="000000"/>
          <w:szCs w:val="24"/>
          <w:lang w:eastAsia="fr-BE"/>
        </w:rPr>
        <w:t xml:space="preserve">que l’âge moyen de l’emprunteur </w:t>
      </w:r>
      <w:r w:rsidR="00980410">
        <w:rPr>
          <w:rFonts w:ascii="BNPP Sans Light" w:eastAsia="Times New Roman" w:hAnsi="BNPP Sans Light" w:cs="Arial"/>
          <w:color w:val="000000"/>
          <w:szCs w:val="24"/>
          <w:lang w:eastAsia="fr-BE"/>
        </w:rPr>
        <w:t>d’</w:t>
      </w:r>
      <w:r w:rsidR="004847F6" w:rsidRPr="004847F6">
        <w:rPr>
          <w:rFonts w:ascii="BNPP Sans Light" w:eastAsia="Times New Roman" w:hAnsi="BNPP Sans Light" w:cs="Arial"/>
          <w:color w:val="000000"/>
          <w:szCs w:val="24"/>
          <w:lang w:eastAsia="fr-BE"/>
        </w:rPr>
        <w:t>un prêt auto non écologique est de 49 ans</w:t>
      </w:r>
      <w:r w:rsidR="00980410">
        <w:rPr>
          <w:rFonts w:ascii="BNPP Sans Light" w:eastAsia="Times New Roman" w:hAnsi="BNPP Sans Light" w:cs="Arial"/>
          <w:color w:val="000000"/>
          <w:szCs w:val="24"/>
          <w:lang w:eastAsia="fr-BE"/>
        </w:rPr>
        <w:t xml:space="preserve"> contre</w:t>
      </w:r>
      <w:r w:rsidR="004847F6">
        <w:rPr>
          <w:rFonts w:ascii="BNPP Sans Light" w:eastAsia="Times New Roman" w:hAnsi="BNPP Sans Light" w:cs="Arial"/>
          <w:color w:val="000000"/>
          <w:szCs w:val="24"/>
          <w:lang w:eastAsia="fr-BE"/>
        </w:rPr>
        <w:t xml:space="preserve"> </w:t>
      </w:r>
      <w:r w:rsidR="006404BB" w:rsidRPr="006404BB">
        <w:rPr>
          <w:rFonts w:ascii="BNPP Sans Light" w:eastAsia="Times New Roman" w:hAnsi="BNPP Sans Light" w:cs="Arial"/>
          <w:color w:val="000000"/>
          <w:szCs w:val="24"/>
          <w:lang w:eastAsia="fr-BE"/>
        </w:rPr>
        <w:t>44 ans</w:t>
      </w:r>
      <w:r w:rsidR="00980410">
        <w:rPr>
          <w:rFonts w:ascii="BNPP Sans Light" w:eastAsia="Times New Roman" w:hAnsi="BNPP Sans Light" w:cs="Arial"/>
          <w:color w:val="000000"/>
          <w:szCs w:val="24"/>
          <w:lang w:eastAsia="fr-BE"/>
        </w:rPr>
        <w:t xml:space="preserve"> pour un </w:t>
      </w:r>
      <w:r w:rsidR="00980410" w:rsidRPr="006404BB">
        <w:rPr>
          <w:rFonts w:ascii="BNPP Sans Light" w:eastAsia="Times New Roman" w:hAnsi="BNPP Sans Light" w:cs="Arial"/>
          <w:color w:val="000000"/>
          <w:szCs w:val="24"/>
          <w:lang w:eastAsia="fr-BE"/>
        </w:rPr>
        <w:t>emprunteur d’un véhicule neuf ou d’occasion</w:t>
      </w:r>
      <w:r w:rsidRPr="006404BB">
        <w:rPr>
          <w:rFonts w:ascii="BNPP Sans Light" w:eastAsia="Times New Roman" w:hAnsi="BNPP Sans Light" w:cs="Arial"/>
          <w:color w:val="000000"/>
          <w:szCs w:val="24"/>
          <w:lang w:eastAsia="fr-BE"/>
        </w:rPr>
        <w:t>.</w:t>
      </w:r>
      <w:r w:rsidR="00CB77C2" w:rsidRPr="006404BB">
        <w:rPr>
          <w:rFonts w:ascii="BNPP Sans Light" w:eastAsia="Times New Roman" w:hAnsi="BNPP Sans Light" w:cs="Arial"/>
          <w:color w:val="000000"/>
          <w:szCs w:val="24"/>
          <w:lang w:eastAsia="fr-BE"/>
        </w:rPr>
        <w:t xml:space="preserve"> </w:t>
      </w:r>
    </w:p>
    <w:p w14:paraId="39A948C3" w14:textId="5BE99249" w:rsidR="006141CE" w:rsidRPr="00EB0A7F" w:rsidRDefault="00CB77C2" w:rsidP="006141CE">
      <w:pPr>
        <w:spacing w:after="270" w:line="240" w:lineRule="auto"/>
        <w:rPr>
          <w:rFonts w:ascii="BNPP Sans Light" w:eastAsia="Times New Roman" w:hAnsi="BNPP Sans Light" w:cs="Arial"/>
          <w:color w:val="000000"/>
          <w:szCs w:val="24"/>
          <w:lang w:eastAsia="fr-BE"/>
        </w:rPr>
      </w:pPr>
      <w:r w:rsidRPr="006404BB">
        <w:rPr>
          <w:rFonts w:ascii="BNPP Sans Light" w:eastAsia="Times New Roman" w:hAnsi="BNPP Sans Light" w:cs="Arial"/>
          <w:color w:val="000000"/>
          <w:szCs w:val="24"/>
          <w:lang w:eastAsia="fr-BE"/>
        </w:rPr>
        <w:t xml:space="preserve">En moyenne, la durée d’un </w:t>
      </w:r>
      <w:r w:rsidR="00EE59DF">
        <w:rPr>
          <w:rFonts w:ascii="BNPP Sans Light" w:eastAsia="Times New Roman" w:hAnsi="BNPP Sans Light" w:cs="Arial"/>
          <w:color w:val="000000"/>
          <w:szCs w:val="24"/>
          <w:lang w:eastAsia="fr-BE"/>
        </w:rPr>
        <w:t>prêt à tempérament</w:t>
      </w:r>
      <w:r w:rsidRPr="006404BB">
        <w:rPr>
          <w:rFonts w:ascii="BNPP Sans Light" w:eastAsia="Times New Roman" w:hAnsi="BNPP Sans Light" w:cs="Arial"/>
          <w:color w:val="000000"/>
          <w:szCs w:val="24"/>
          <w:lang w:eastAsia="fr-BE"/>
        </w:rPr>
        <w:t xml:space="preserve"> écomobilité pour une voiture neuve écologique s’étire sur 56 mois</w:t>
      </w:r>
      <w:r w:rsidR="004847F6">
        <w:rPr>
          <w:rFonts w:ascii="BNPP Sans Light" w:eastAsia="Times New Roman" w:hAnsi="BNPP Sans Light" w:cs="Arial"/>
          <w:color w:val="000000"/>
          <w:szCs w:val="24"/>
          <w:lang w:eastAsia="fr-BE"/>
        </w:rPr>
        <w:t>,</w:t>
      </w:r>
      <w:r w:rsidRPr="006404BB">
        <w:rPr>
          <w:rFonts w:ascii="BNPP Sans Light" w:eastAsia="Times New Roman" w:hAnsi="BNPP Sans Light" w:cs="Arial"/>
          <w:color w:val="000000"/>
          <w:szCs w:val="24"/>
          <w:lang w:eastAsia="fr-BE"/>
        </w:rPr>
        <w:t xml:space="preserve"> pour</w:t>
      </w:r>
      <w:r w:rsidRPr="00EB0A7F">
        <w:rPr>
          <w:rFonts w:ascii="BNPP Sans Light" w:eastAsia="Times New Roman" w:hAnsi="BNPP Sans Light" w:cs="Arial"/>
          <w:color w:val="000000"/>
          <w:szCs w:val="24"/>
          <w:lang w:eastAsia="fr-BE"/>
        </w:rPr>
        <w:t xml:space="preserve"> une mensualité moyenne de 352 euros. </w:t>
      </w:r>
      <w:r w:rsidR="004847F6">
        <w:rPr>
          <w:rFonts w:ascii="BNPP Sans Light" w:eastAsia="Times New Roman" w:hAnsi="BNPP Sans Light" w:cs="Arial"/>
          <w:color w:val="000000"/>
          <w:szCs w:val="24"/>
          <w:lang w:eastAsia="fr-BE"/>
        </w:rPr>
        <w:t>Par ailleurs,</w:t>
      </w:r>
      <w:r w:rsidRPr="00EB0A7F">
        <w:rPr>
          <w:rFonts w:ascii="BNPP Sans Light" w:eastAsia="Times New Roman" w:hAnsi="BNPP Sans Light" w:cs="Arial"/>
          <w:color w:val="000000"/>
          <w:szCs w:val="24"/>
          <w:lang w:eastAsia="fr-BE"/>
        </w:rPr>
        <w:t xml:space="preserve"> 7 </w:t>
      </w:r>
      <w:r w:rsidR="00980410">
        <w:rPr>
          <w:rFonts w:ascii="BNPP Sans Light" w:eastAsia="Times New Roman" w:hAnsi="BNPP Sans Light" w:cs="Arial"/>
          <w:color w:val="000000"/>
          <w:szCs w:val="24"/>
          <w:lang w:eastAsia="fr-BE"/>
        </w:rPr>
        <w:t xml:space="preserve">personnes qui optent </w:t>
      </w:r>
      <w:r w:rsidR="00980410">
        <w:rPr>
          <w:rFonts w:ascii="BNPP Sans Light" w:eastAsia="Times New Roman" w:hAnsi="BNPP Sans Light" w:cs="Arial"/>
          <w:color w:val="000000"/>
          <w:szCs w:val="24"/>
          <w:lang w:eastAsia="fr-BE"/>
        </w:rPr>
        <w:lastRenderedPageBreak/>
        <w:t xml:space="preserve">pour </w:t>
      </w:r>
      <w:r w:rsidRPr="00EB0A7F">
        <w:rPr>
          <w:rFonts w:ascii="BNPP Sans Light" w:eastAsia="Times New Roman" w:hAnsi="BNPP Sans Light" w:cs="Arial"/>
          <w:color w:val="000000"/>
          <w:szCs w:val="24"/>
          <w:lang w:eastAsia="fr-BE"/>
        </w:rPr>
        <w:t xml:space="preserve">un prêt </w:t>
      </w:r>
      <w:r w:rsidR="009070BE">
        <w:rPr>
          <w:rFonts w:ascii="BNPP Sans Light" w:eastAsia="Times New Roman" w:hAnsi="BNPP Sans Light" w:cs="Arial"/>
          <w:color w:val="000000"/>
          <w:szCs w:val="24"/>
          <w:lang w:eastAsia="fr-BE"/>
        </w:rPr>
        <w:t>à tempérament</w:t>
      </w:r>
      <w:r w:rsidR="009070BE" w:rsidRPr="006404BB">
        <w:rPr>
          <w:rFonts w:ascii="BNPP Sans Light" w:eastAsia="Times New Roman" w:hAnsi="BNPP Sans Light" w:cs="Arial"/>
          <w:color w:val="000000"/>
          <w:szCs w:val="24"/>
          <w:lang w:eastAsia="fr-BE"/>
        </w:rPr>
        <w:t xml:space="preserve"> </w:t>
      </w:r>
      <w:r w:rsidRPr="00EB0A7F">
        <w:rPr>
          <w:rFonts w:ascii="BNPP Sans Light" w:eastAsia="Times New Roman" w:hAnsi="BNPP Sans Light" w:cs="Arial"/>
          <w:color w:val="000000"/>
          <w:szCs w:val="24"/>
          <w:lang w:eastAsia="fr-BE"/>
        </w:rPr>
        <w:t>écomobilité sur 10 sont âgé</w:t>
      </w:r>
      <w:r w:rsidR="00980410">
        <w:rPr>
          <w:rFonts w:ascii="BNPP Sans Light" w:eastAsia="Times New Roman" w:hAnsi="BNPP Sans Light" w:cs="Arial"/>
          <w:color w:val="000000"/>
          <w:szCs w:val="24"/>
          <w:lang w:eastAsia="fr-BE"/>
        </w:rPr>
        <w:t>e</w:t>
      </w:r>
      <w:r w:rsidRPr="00EB0A7F">
        <w:rPr>
          <w:rFonts w:ascii="BNPP Sans Light" w:eastAsia="Times New Roman" w:hAnsi="BNPP Sans Light" w:cs="Arial"/>
          <w:color w:val="000000"/>
          <w:szCs w:val="24"/>
          <w:lang w:eastAsia="fr-BE"/>
        </w:rPr>
        <w:t xml:space="preserve">s de plus de 40 ans et </w:t>
      </w:r>
      <w:r w:rsidR="004847F6">
        <w:rPr>
          <w:rFonts w:ascii="BNPP Sans Light" w:eastAsia="Times New Roman" w:hAnsi="BNPP Sans Light" w:cs="Arial"/>
          <w:color w:val="000000"/>
          <w:szCs w:val="24"/>
          <w:lang w:eastAsia="fr-BE"/>
        </w:rPr>
        <w:t>2</w:t>
      </w:r>
      <w:r w:rsidRPr="00EB0A7F">
        <w:rPr>
          <w:rFonts w:ascii="BNPP Sans Light" w:eastAsia="Times New Roman" w:hAnsi="BNPP Sans Light" w:cs="Arial"/>
          <w:color w:val="000000"/>
          <w:szCs w:val="24"/>
          <w:lang w:eastAsia="fr-BE"/>
        </w:rPr>
        <w:t xml:space="preserve"> </w:t>
      </w:r>
      <w:r w:rsidR="00D979F7">
        <w:rPr>
          <w:rFonts w:ascii="BNPP Sans Light" w:eastAsia="Times New Roman" w:hAnsi="BNPP Sans Light" w:cs="Arial"/>
          <w:color w:val="000000"/>
          <w:szCs w:val="24"/>
          <w:lang w:eastAsia="fr-BE"/>
        </w:rPr>
        <w:t>prêts</w:t>
      </w:r>
      <w:r w:rsidRPr="00EB0A7F">
        <w:rPr>
          <w:rFonts w:ascii="BNPP Sans Light" w:eastAsia="Times New Roman" w:hAnsi="BNPP Sans Light" w:cs="Arial"/>
          <w:color w:val="000000"/>
          <w:szCs w:val="24"/>
          <w:lang w:eastAsia="fr-BE"/>
        </w:rPr>
        <w:t xml:space="preserve"> </w:t>
      </w:r>
      <w:r w:rsidR="004847F6">
        <w:rPr>
          <w:rFonts w:ascii="BNPP Sans Light" w:eastAsia="Times New Roman" w:hAnsi="BNPP Sans Light" w:cs="Arial"/>
          <w:color w:val="000000"/>
          <w:szCs w:val="24"/>
          <w:lang w:eastAsia="fr-BE"/>
        </w:rPr>
        <w:t xml:space="preserve">destinés à un véhicule </w:t>
      </w:r>
      <w:r w:rsidRPr="00EB0A7F">
        <w:rPr>
          <w:rFonts w:ascii="BNPP Sans Light" w:eastAsia="Times New Roman" w:hAnsi="BNPP Sans Light" w:cs="Arial"/>
          <w:color w:val="000000"/>
          <w:szCs w:val="24"/>
          <w:lang w:eastAsia="fr-BE"/>
        </w:rPr>
        <w:t xml:space="preserve">écologique sur 3 sont </w:t>
      </w:r>
      <w:r w:rsidR="00D979F7">
        <w:rPr>
          <w:rFonts w:ascii="BNPP Sans Light" w:eastAsia="Times New Roman" w:hAnsi="BNPP Sans Light" w:cs="Arial"/>
          <w:color w:val="000000"/>
          <w:szCs w:val="24"/>
          <w:lang w:eastAsia="fr-BE"/>
        </w:rPr>
        <w:t>souscrits</w:t>
      </w:r>
      <w:r w:rsidRPr="00EB0A7F">
        <w:rPr>
          <w:rFonts w:ascii="BNPP Sans Light" w:eastAsia="Times New Roman" w:hAnsi="BNPP Sans Light" w:cs="Arial"/>
          <w:color w:val="000000"/>
          <w:szCs w:val="24"/>
          <w:lang w:eastAsia="fr-BE"/>
        </w:rPr>
        <w:t xml:space="preserve"> e</w:t>
      </w:r>
      <w:r w:rsidR="004F03CA">
        <w:rPr>
          <w:rFonts w:ascii="BNPP Sans Light" w:eastAsia="Times New Roman" w:hAnsi="BNPP Sans Light" w:cs="Arial"/>
          <w:color w:val="000000"/>
          <w:szCs w:val="24"/>
          <w:lang w:eastAsia="fr-BE"/>
        </w:rPr>
        <w:t>n</w:t>
      </w:r>
      <w:r w:rsidRPr="00EB0A7F">
        <w:rPr>
          <w:rFonts w:ascii="BNPP Sans Light" w:eastAsia="Times New Roman" w:hAnsi="BNPP Sans Light" w:cs="Arial"/>
          <w:color w:val="000000"/>
          <w:szCs w:val="24"/>
          <w:lang w:eastAsia="fr-BE"/>
        </w:rPr>
        <w:t xml:space="preserve"> Wallonie et à Bruxelles. </w:t>
      </w:r>
    </w:p>
    <w:p w14:paraId="04F2F088" w14:textId="77777777" w:rsidR="00BF51B9" w:rsidRPr="00F75110" w:rsidRDefault="00BF51B9" w:rsidP="00BF51B9">
      <w:pPr>
        <w:spacing w:after="270" w:line="240" w:lineRule="auto"/>
        <w:rPr>
          <w:rFonts w:ascii="BNPP Sans Light" w:eastAsia="Times New Roman" w:hAnsi="BNPP Sans Light" w:cs="Arial"/>
          <w:color w:val="000000"/>
          <w:szCs w:val="24"/>
          <w:lang w:eastAsia="fr-BE"/>
        </w:rPr>
      </w:pPr>
      <w:r w:rsidRPr="00F75110">
        <w:rPr>
          <w:rFonts w:ascii="BNPP Sans Light" w:eastAsia="Times New Roman" w:hAnsi="BNPP Sans Light" w:cs="Arial"/>
          <w:color w:val="000000"/>
          <w:szCs w:val="24"/>
          <w:lang w:eastAsia="fr-BE"/>
        </w:rPr>
        <w:t>Découvrez l’infographie</w:t>
      </w:r>
      <w:r w:rsidRPr="00F75110">
        <w:rPr>
          <w:rFonts w:ascii="Calibri" w:eastAsia="Times New Roman" w:hAnsi="Calibri" w:cs="Calibri"/>
          <w:color w:val="000000"/>
          <w:szCs w:val="24"/>
          <w:lang w:eastAsia="fr-BE"/>
        </w:rPr>
        <w:t> </w:t>
      </w:r>
      <w:r w:rsidRPr="00F75110">
        <w:rPr>
          <w:rFonts w:ascii="BNPP Sans Light" w:eastAsia="Times New Roman" w:hAnsi="BNPP Sans Light" w:cs="Arial"/>
          <w:b/>
          <w:bCs/>
          <w:color w:val="000000"/>
          <w:szCs w:val="24"/>
          <w:lang w:eastAsia="fr-BE"/>
        </w:rPr>
        <w:t>ici (aussi en pièce jointe)</w:t>
      </w:r>
      <w:r w:rsidRPr="00F75110">
        <w:rPr>
          <w:rFonts w:ascii="BNPP Sans Light" w:eastAsia="Times New Roman" w:hAnsi="BNPP Sans Light" w:cs="Arial"/>
          <w:color w:val="000000"/>
          <w:szCs w:val="24"/>
          <w:lang w:eastAsia="fr-BE"/>
        </w:rPr>
        <w:t>.</w:t>
      </w:r>
    </w:p>
    <w:p w14:paraId="7D02DDDE" w14:textId="427E7CAA" w:rsidR="00BF51B9" w:rsidRDefault="00BF51B9" w:rsidP="006141CE">
      <w:pPr>
        <w:spacing w:after="270" w:line="240" w:lineRule="auto"/>
        <w:rPr>
          <w:rFonts w:ascii="BNPP Sans Light" w:eastAsia="Times New Roman" w:hAnsi="BNPP Sans Light" w:cs="Arial"/>
          <w:b/>
          <w:bCs/>
          <w:color w:val="000000"/>
          <w:szCs w:val="24"/>
          <w:lang w:eastAsia="fr-BE"/>
        </w:rPr>
      </w:pPr>
      <w:r>
        <w:rPr>
          <w:rFonts w:ascii="BNPP Sans Light" w:eastAsia="Times New Roman" w:hAnsi="BNPP Sans Light" w:cs="Arial"/>
          <w:b/>
          <w:bCs/>
          <w:color w:val="000000"/>
          <w:szCs w:val="24"/>
          <w:lang w:eastAsia="fr-BE"/>
        </w:rPr>
        <w:t xml:space="preserve">Les </w:t>
      </w:r>
      <w:r w:rsidR="00980410">
        <w:rPr>
          <w:rFonts w:ascii="BNPP Sans Light" w:eastAsia="Times New Roman" w:hAnsi="BNPP Sans Light" w:cs="Arial"/>
          <w:b/>
          <w:bCs/>
          <w:color w:val="000000"/>
          <w:szCs w:val="24"/>
          <w:lang w:eastAsia="fr-BE"/>
        </w:rPr>
        <w:t>demandes en ligne</w:t>
      </w:r>
      <w:r>
        <w:rPr>
          <w:rFonts w:ascii="BNPP Sans Light" w:eastAsia="Times New Roman" w:hAnsi="BNPP Sans Light" w:cs="Arial"/>
          <w:b/>
          <w:bCs/>
          <w:color w:val="000000"/>
          <w:szCs w:val="24"/>
          <w:lang w:eastAsia="fr-BE"/>
        </w:rPr>
        <w:t xml:space="preserve"> en hausse </w:t>
      </w:r>
    </w:p>
    <w:p w14:paraId="2BE3E1DB" w14:textId="4A816ABC" w:rsidR="00EE59DF" w:rsidRDefault="004847F6" w:rsidP="00EE59DF">
      <w:pPr>
        <w:spacing w:after="270" w:line="240" w:lineRule="auto"/>
        <w:rPr>
          <w:rFonts w:ascii="BNPP Sans Light" w:eastAsia="Times New Roman" w:hAnsi="BNPP Sans Light" w:cs="Arial"/>
          <w:color w:val="000000"/>
          <w:szCs w:val="24"/>
          <w:lang w:eastAsia="fr-BE"/>
        </w:rPr>
      </w:pPr>
      <w:r>
        <w:rPr>
          <w:rFonts w:ascii="BNPP Sans Light" w:eastAsia="Times New Roman" w:hAnsi="BNPP Sans Light" w:cs="Arial"/>
          <w:color w:val="000000"/>
          <w:szCs w:val="24"/>
          <w:lang w:eastAsia="fr-BE"/>
        </w:rPr>
        <w:t>P</w:t>
      </w:r>
      <w:r w:rsidR="00EE59DF" w:rsidRPr="00F75110">
        <w:rPr>
          <w:rFonts w:ascii="BNPP Sans Light" w:eastAsia="Times New Roman" w:hAnsi="BNPP Sans Light" w:cs="Arial"/>
          <w:color w:val="000000"/>
          <w:szCs w:val="24"/>
          <w:lang w:eastAsia="fr-BE"/>
        </w:rPr>
        <w:t>our faciliter la vie de ses clients</w:t>
      </w:r>
      <w:r w:rsidR="00980410">
        <w:rPr>
          <w:rFonts w:ascii="BNPP Sans Light" w:eastAsia="Times New Roman" w:hAnsi="BNPP Sans Light" w:cs="Arial"/>
          <w:color w:val="000000"/>
          <w:szCs w:val="24"/>
          <w:lang w:eastAsia="fr-BE"/>
        </w:rPr>
        <w:t xml:space="preserve"> et clientes</w:t>
      </w:r>
      <w:r>
        <w:rPr>
          <w:rFonts w:ascii="BNPP Sans Light" w:eastAsia="Times New Roman" w:hAnsi="BNPP Sans Light" w:cs="Arial"/>
          <w:color w:val="000000"/>
          <w:szCs w:val="24"/>
          <w:lang w:eastAsia="fr-BE"/>
        </w:rPr>
        <w:t xml:space="preserve"> et leur </w:t>
      </w:r>
      <w:r w:rsidRPr="00F75110">
        <w:rPr>
          <w:rFonts w:ascii="BNPP Sans Light" w:eastAsia="Times New Roman" w:hAnsi="BNPP Sans Light" w:cs="Arial"/>
          <w:color w:val="000000"/>
          <w:szCs w:val="24"/>
          <w:lang w:eastAsia="fr-BE"/>
        </w:rPr>
        <w:t>éviter tous déplacement inutile</w:t>
      </w:r>
      <w:r w:rsidR="00EE59DF" w:rsidRPr="00F75110">
        <w:rPr>
          <w:rFonts w:ascii="BNPP Sans Light" w:eastAsia="Times New Roman" w:hAnsi="BNPP Sans Light" w:cs="Arial"/>
          <w:color w:val="000000"/>
          <w:szCs w:val="24"/>
          <w:lang w:eastAsia="fr-BE"/>
        </w:rPr>
        <w:t>, BNP Paribas Fortis  propose de signer numériquement un certain nombre de produits et solutions sur l’</w:t>
      </w:r>
      <w:proofErr w:type="spellStart"/>
      <w:r w:rsidR="00EE59DF" w:rsidRPr="00F75110">
        <w:rPr>
          <w:rFonts w:ascii="BNPP Sans Light" w:eastAsia="Times New Roman" w:hAnsi="BNPP Sans Light" w:cs="Arial"/>
          <w:color w:val="000000"/>
          <w:szCs w:val="24"/>
          <w:lang w:eastAsia="fr-BE"/>
        </w:rPr>
        <w:t>Easy</w:t>
      </w:r>
      <w:proofErr w:type="spellEnd"/>
      <w:r w:rsidR="00EE59DF" w:rsidRPr="00F75110">
        <w:rPr>
          <w:rFonts w:ascii="BNPP Sans Light" w:eastAsia="Times New Roman" w:hAnsi="BNPP Sans Light" w:cs="Arial"/>
          <w:color w:val="000000"/>
          <w:szCs w:val="24"/>
          <w:lang w:eastAsia="fr-BE"/>
        </w:rPr>
        <w:t xml:space="preserve"> </w:t>
      </w:r>
      <w:r w:rsidR="00EE59DF">
        <w:rPr>
          <w:rFonts w:ascii="BNPP Sans Light" w:eastAsia="Times New Roman" w:hAnsi="BNPP Sans Light" w:cs="Arial"/>
          <w:color w:val="000000"/>
          <w:szCs w:val="24"/>
          <w:lang w:eastAsia="fr-BE"/>
        </w:rPr>
        <w:t>B</w:t>
      </w:r>
      <w:r w:rsidR="00EE59DF" w:rsidRPr="00F75110">
        <w:rPr>
          <w:rFonts w:ascii="BNPP Sans Light" w:eastAsia="Times New Roman" w:hAnsi="BNPP Sans Light" w:cs="Arial"/>
          <w:color w:val="000000"/>
          <w:szCs w:val="24"/>
          <w:lang w:eastAsia="fr-BE"/>
        </w:rPr>
        <w:t>anking Web</w:t>
      </w:r>
      <w:r w:rsidR="00EE59DF">
        <w:rPr>
          <w:rFonts w:ascii="BNPP Sans Light" w:eastAsia="Times New Roman" w:hAnsi="BNPP Sans Light" w:cs="Arial"/>
          <w:color w:val="000000"/>
          <w:szCs w:val="24"/>
          <w:lang w:eastAsia="fr-BE"/>
        </w:rPr>
        <w:t xml:space="preserve"> (EBW)</w:t>
      </w:r>
      <w:r w:rsidR="00EE59DF" w:rsidRPr="00F75110">
        <w:rPr>
          <w:rFonts w:ascii="BNPP Sans Light" w:eastAsia="Times New Roman" w:hAnsi="BNPP Sans Light" w:cs="Arial"/>
          <w:color w:val="000000"/>
          <w:szCs w:val="24"/>
          <w:lang w:eastAsia="fr-BE"/>
        </w:rPr>
        <w:t xml:space="preserve"> ou l’</w:t>
      </w:r>
      <w:proofErr w:type="spellStart"/>
      <w:r w:rsidR="00EE59DF" w:rsidRPr="00F75110">
        <w:rPr>
          <w:rFonts w:ascii="BNPP Sans Light" w:eastAsia="Times New Roman" w:hAnsi="BNPP Sans Light" w:cs="Arial"/>
          <w:color w:val="000000"/>
          <w:szCs w:val="24"/>
          <w:lang w:eastAsia="fr-BE"/>
        </w:rPr>
        <w:t>Easy</w:t>
      </w:r>
      <w:proofErr w:type="spellEnd"/>
      <w:r w:rsidR="00EE59DF" w:rsidRPr="00F75110">
        <w:rPr>
          <w:rFonts w:ascii="BNPP Sans Light" w:eastAsia="Times New Roman" w:hAnsi="BNPP Sans Light" w:cs="Arial"/>
          <w:color w:val="000000"/>
          <w:szCs w:val="24"/>
          <w:lang w:eastAsia="fr-BE"/>
        </w:rPr>
        <w:t xml:space="preserve"> </w:t>
      </w:r>
      <w:r w:rsidR="00EE59DF">
        <w:rPr>
          <w:rFonts w:ascii="BNPP Sans Light" w:eastAsia="Times New Roman" w:hAnsi="BNPP Sans Light" w:cs="Arial"/>
          <w:color w:val="000000"/>
          <w:szCs w:val="24"/>
          <w:lang w:eastAsia="fr-BE"/>
        </w:rPr>
        <w:t>B</w:t>
      </w:r>
      <w:r w:rsidR="00EE59DF" w:rsidRPr="00F75110">
        <w:rPr>
          <w:rFonts w:ascii="BNPP Sans Light" w:eastAsia="Times New Roman" w:hAnsi="BNPP Sans Light" w:cs="Arial"/>
          <w:color w:val="000000"/>
          <w:szCs w:val="24"/>
          <w:lang w:eastAsia="fr-BE"/>
        </w:rPr>
        <w:t>anking App</w:t>
      </w:r>
      <w:r w:rsidR="00EE59DF">
        <w:rPr>
          <w:rFonts w:ascii="BNPP Sans Light" w:eastAsia="Times New Roman" w:hAnsi="BNPP Sans Light" w:cs="Arial"/>
          <w:color w:val="000000"/>
          <w:szCs w:val="24"/>
          <w:lang w:eastAsia="fr-BE"/>
        </w:rPr>
        <w:t xml:space="preserve"> (EBA)</w:t>
      </w:r>
      <w:r w:rsidR="00EE59DF" w:rsidRPr="00F75110">
        <w:rPr>
          <w:rFonts w:ascii="BNPP Sans Light" w:eastAsia="Times New Roman" w:hAnsi="BNPP Sans Light" w:cs="Arial"/>
          <w:color w:val="000000"/>
          <w:szCs w:val="24"/>
          <w:lang w:eastAsia="fr-BE"/>
        </w:rPr>
        <w:t xml:space="preserve">. </w:t>
      </w:r>
      <w:r w:rsidR="00980410">
        <w:rPr>
          <w:rFonts w:ascii="BNPP Sans Light" w:eastAsia="Times New Roman" w:hAnsi="BNPP Sans Light" w:cs="Arial"/>
          <w:color w:val="000000"/>
          <w:szCs w:val="24"/>
          <w:lang w:eastAsia="fr-BE"/>
        </w:rPr>
        <w:t>Il est ainsi possible de</w:t>
      </w:r>
      <w:r w:rsidR="00EE59DF" w:rsidRPr="00F75110">
        <w:rPr>
          <w:rFonts w:ascii="BNPP Sans Light" w:eastAsia="Times New Roman" w:hAnsi="BNPP Sans Light" w:cs="Arial"/>
          <w:color w:val="000000"/>
          <w:szCs w:val="24"/>
          <w:lang w:eastAsia="fr-BE"/>
        </w:rPr>
        <w:t xml:space="preserve"> </w:t>
      </w:r>
      <w:r w:rsidR="00980410">
        <w:rPr>
          <w:rFonts w:ascii="BNPP Sans Light" w:eastAsia="Times New Roman" w:hAnsi="BNPP Sans Light" w:cs="Arial"/>
          <w:color w:val="000000"/>
          <w:szCs w:val="24"/>
          <w:lang w:eastAsia="fr-BE"/>
        </w:rPr>
        <w:t>souscrire</w:t>
      </w:r>
      <w:r w:rsidR="00EE59DF" w:rsidRPr="00F75110">
        <w:rPr>
          <w:rFonts w:ascii="BNPP Sans Light" w:eastAsia="Times New Roman" w:hAnsi="BNPP Sans Light" w:cs="Arial"/>
          <w:color w:val="000000"/>
          <w:szCs w:val="24"/>
          <w:lang w:eastAsia="fr-BE"/>
        </w:rPr>
        <w:t xml:space="preserve"> son prêt auto en ligne</w:t>
      </w:r>
      <w:r>
        <w:rPr>
          <w:rFonts w:ascii="BNPP Sans Light" w:eastAsia="Times New Roman" w:hAnsi="BNPP Sans Light" w:cs="Arial"/>
          <w:color w:val="000000"/>
          <w:szCs w:val="24"/>
          <w:lang w:eastAsia="fr-BE"/>
        </w:rPr>
        <w:t xml:space="preserve"> où et quand </w:t>
      </w:r>
      <w:r w:rsidR="00980410">
        <w:rPr>
          <w:rFonts w:ascii="BNPP Sans Light" w:eastAsia="Times New Roman" w:hAnsi="BNPP Sans Light" w:cs="Arial"/>
          <w:color w:val="000000"/>
          <w:szCs w:val="24"/>
          <w:lang w:eastAsia="fr-BE"/>
        </w:rPr>
        <w:t>on</w:t>
      </w:r>
      <w:r>
        <w:rPr>
          <w:rFonts w:ascii="BNPP Sans Light" w:eastAsia="Times New Roman" w:hAnsi="BNPP Sans Light" w:cs="Arial"/>
          <w:color w:val="000000"/>
          <w:szCs w:val="24"/>
          <w:lang w:eastAsia="fr-BE"/>
        </w:rPr>
        <w:t xml:space="preserve"> le souhaite</w:t>
      </w:r>
      <w:r w:rsidR="00EE59DF" w:rsidRPr="00F75110">
        <w:rPr>
          <w:rFonts w:ascii="BNPP Sans Light" w:eastAsia="Times New Roman" w:hAnsi="BNPP Sans Light" w:cs="Arial"/>
          <w:color w:val="000000"/>
          <w:szCs w:val="24"/>
          <w:lang w:eastAsia="fr-BE"/>
        </w:rPr>
        <w:t>.</w:t>
      </w:r>
      <w:r w:rsidR="00EE59DF">
        <w:rPr>
          <w:rFonts w:ascii="BNPP Sans Light" w:eastAsia="Times New Roman" w:hAnsi="BNPP Sans Light" w:cs="Arial"/>
          <w:color w:val="000000"/>
          <w:szCs w:val="24"/>
          <w:lang w:eastAsia="fr-BE"/>
        </w:rPr>
        <w:t xml:space="preserve"> </w:t>
      </w:r>
    </w:p>
    <w:p w14:paraId="2E593729" w14:textId="2566EC84" w:rsidR="006141CE" w:rsidRPr="00D979F7" w:rsidRDefault="00980410" w:rsidP="00EE59DF">
      <w:pPr>
        <w:spacing w:after="270" w:line="240" w:lineRule="auto"/>
        <w:rPr>
          <w:rFonts w:ascii="BNPP Sans Light" w:eastAsia="Times New Roman" w:hAnsi="BNPP Sans Light" w:cs="Arial"/>
          <w:szCs w:val="24"/>
          <w:lang w:eastAsia="fr-BE"/>
        </w:rPr>
      </w:pPr>
      <w:r>
        <w:rPr>
          <w:rFonts w:ascii="BNPP Sans Light" w:eastAsia="Times New Roman" w:hAnsi="BNPP Sans Light" w:cs="Arial"/>
          <w:color w:val="000000"/>
          <w:szCs w:val="24"/>
          <w:lang w:eastAsia="fr-BE"/>
        </w:rPr>
        <w:t>Une</w:t>
      </w:r>
      <w:r w:rsidR="00EE59DF">
        <w:rPr>
          <w:rFonts w:ascii="BNPP Sans Light" w:eastAsia="Times New Roman" w:hAnsi="BNPP Sans Light" w:cs="Arial"/>
          <w:color w:val="000000"/>
          <w:szCs w:val="24"/>
          <w:lang w:eastAsia="fr-BE"/>
        </w:rPr>
        <w:t xml:space="preserve"> facilité et </w:t>
      </w:r>
      <w:r>
        <w:rPr>
          <w:rFonts w:ascii="BNPP Sans Light" w:eastAsia="Times New Roman" w:hAnsi="BNPP Sans Light" w:cs="Arial"/>
          <w:color w:val="000000"/>
          <w:szCs w:val="24"/>
          <w:lang w:eastAsia="fr-BE"/>
        </w:rPr>
        <w:t xml:space="preserve">un </w:t>
      </w:r>
      <w:r w:rsidR="00EE59DF">
        <w:rPr>
          <w:rFonts w:ascii="BNPP Sans Light" w:eastAsia="Times New Roman" w:hAnsi="BNPP Sans Light" w:cs="Arial"/>
          <w:color w:val="000000"/>
          <w:szCs w:val="24"/>
          <w:lang w:eastAsia="fr-BE"/>
        </w:rPr>
        <w:t xml:space="preserve">gain de temps </w:t>
      </w:r>
      <w:r>
        <w:rPr>
          <w:rFonts w:ascii="BNPP Sans Light" w:eastAsia="Times New Roman" w:hAnsi="BNPP Sans Light" w:cs="Arial"/>
          <w:color w:val="000000"/>
          <w:szCs w:val="24"/>
          <w:lang w:eastAsia="fr-BE"/>
        </w:rPr>
        <w:t xml:space="preserve">qui </w:t>
      </w:r>
      <w:r w:rsidR="00EE59DF">
        <w:rPr>
          <w:rFonts w:ascii="BNPP Sans Light" w:eastAsia="Times New Roman" w:hAnsi="BNPP Sans Light" w:cs="Arial"/>
          <w:color w:val="000000"/>
          <w:szCs w:val="24"/>
          <w:lang w:eastAsia="fr-BE"/>
        </w:rPr>
        <w:t>séduisent de plus en plus</w:t>
      </w:r>
      <w:r w:rsidR="004847F6">
        <w:rPr>
          <w:rFonts w:ascii="BNPP Sans Light" w:eastAsia="Times New Roman" w:hAnsi="BNPP Sans Light" w:cs="Arial"/>
          <w:color w:val="000000"/>
          <w:szCs w:val="24"/>
          <w:lang w:eastAsia="fr-BE"/>
        </w:rPr>
        <w:t>.</w:t>
      </w:r>
      <w:r w:rsidR="00EE59DF">
        <w:rPr>
          <w:rFonts w:ascii="BNPP Sans Light" w:eastAsia="Times New Roman" w:hAnsi="BNPP Sans Light" w:cs="Arial"/>
          <w:color w:val="000000"/>
          <w:szCs w:val="24"/>
          <w:lang w:eastAsia="fr-BE"/>
        </w:rPr>
        <w:t xml:space="preserve"> </w:t>
      </w:r>
      <w:r w:rsidR="004847F6">
        <w:rPr>
          <w:rFonts w:ascii="BNPP Sans Light" w:eastAsia="Times New Roman" w:hAnsi="BNPP Sans Light" w:cs="Arial"/>
          <w:color w:val="000000"/>
          <w:szCs w:val="24"/>
          <w:lang w:eastAsia="fr-BE"/>
        </w:rPr>
        <w:t xml:space="preserve">En effet, </w:t>
      </w:r>
      <w:r w:rsidR="006141CE" w:rsidRPr="00D979F7">
        <w:rPr>
          <w:rFonts w:ascii="BNPP Sans Light" w:eastAsia="Times New Roman" w:hAnsi="BNPP Sans Light" w:cs="Arial"/>
          <w:color w:val="000000"/>
          <w:szCs w:val="24"/>
          <w:lang w:eastAsia="fr-BE"/>
        </w:rPr>
        <w:t xml:space="preserve">les ventes digitales pour un </w:t>
      </w:r>
      <w:r w:rsidR="00EE59DF">
        <w:rPr>
          <w:rFonts w:ascii="BNPP Sans Light" w:eastAsia="Times New Roman" w:hAnsi="BNPP Sans Light" w:cs="Arial"/>
          <w:color w:val="000000"/>
          <w:szCs w:val="24"/>
          <w:lang w:eastAsia="fr-BE"/>
        </w:rPr>
        <w:t>prêt à tempérament</w:t>
      </w:r>
      <w:r w:rsidR="00EE59DF" w:rsidRPr="006404BB">
        <w:rPr>
          <w:rFonts w:ascii="BNPP Sans Light" w:eastAsia="Times New Roman" w:hAnsi="BNPP Sans Light" w:cs="Arial"/>
          <w:color w:val="000000"/>
          <w:szCs w:val="24"/>
          <w:lang w:eastAsia="fr-BE"/>
        </w:rPr>
        <w:t xml:space="preserve"> </w:t>
      </w:r>
      <w:r w:rsidR="006141CE" w:rsidRPr="00D979F7">
        <w:rPr>
          <w:rFonts w:ascii="BNPP Sans Light" w:eastAsia="Times New Roman" w:hAnsi="BNPP Sans Light" w:cs="Arial"/>
          <w:color w:val="000000"/>
          <w:szCs w:val="24"/>
          <w:lang w:eastAsia="fr-BE"/>
        </w:rPr>
        <w:t>mobilité</w:t>
      </w:r>
      <w:r w:rsidR="00EE59DF">
        <w:rPr>
          <w:rFonts w:ascii="BNPP Sans Light" w:eastAsia="Times New Roman" w:hAnsi="BNPP Sans Light" w:cs="Arial"/>
          <w:color w:val="000000"/>
          <w:szCs w:val="24"/>
          <w:lang w:eastAsia="fr-BE"/>
        </w:rPr>
        <w:t xml:space="preserve"> </w:t>
      </w:r>
      <w:r w:rsidR="004847F6">
        <w:rPr>
          <w:rFonts w:ascii="BNPP Sans Light" w:eastAsia="Times New Roman" w:hAnsi="BNPP Sans Light" w:cs="Arial"/>
          <w:color w:val="000000"/>
          <w:szCs w:val="24"/>
          <w:lang w:eastAsia="fr-BE"/>
        </w:rPr>
        <w:t>connaissent</w:t>
      </w:r>
      <w:r w:rsidR="00EE59DF">
        <w:rPr>
          <w:rFonts w:ascii="BNPP Sans Light" w:eastAsia="Times New Roman" w:hAnsi="BNPP Sans Light" w:cs="Arial"/>
          <w:color w:val="000000"/>
          <w:szCs w:val="24"/>
          <w:lang w:eastAsia="fr-BE"/>
        </w:rPr>
        <w:t xml:space="preserve"> un</w:t>
      </w:r>
      <w:r w:rsidR="006141CE" w:rsidRPr="00D979F7">
        <w:rPr>
          <w:rFonts w:ascii="BNPP Sans Light" w:eastAsia="Times New Roman" w:hAnsi="BNPP Sans Light" w:cs="Arial"/>
          <w:color w:val="000000"/>
          <w:szCs w:val="24"/>
          <w:lang w:eastAsia="fr-BE"/>
        </w:rPr>
        <w:t>e forte croissance</w:t>
      </w:r>
      <w:r w:rsidR="004847F6">
        <w:rPr>
          <w:rFonts w:ascii="Calibri" w:eastAsia="Times New Roman" w:hAnsi="Calibri" w:cs="Calibri"/>
          <w:color w:val="000000"/>
          <w:szCs w:val="24"/>
          <w:lang w:eastAsia="fr-BE"/>
        </w:rPr>
        <w:t> </w:t>
      </w:r>
      <w:r w:rsidR="004847F6">
        <w:rPr>
          <w:rFonts w:ascii="BNPP Sans Light" w:eastAsia="Times New Roman" w:hAnsi="BNPP Sans Light" w:cs="Arial"/>
          <w:color w:val="000000"/>
          <w:szCs w:val="24"/>
          <w:lang w:eastAsia="fr-BE"/>
        </w:rPr>
        <w:t xml:space="preserve">: en </w:t>
      </w:r>
      <w:r w:rsidR="006141CE" w:rsidRPr="00D979F7">
        <w:rPr>
          <w:rFonts w:ascii="BNPP Sans Light" w:eastAsia="Times New Roman" w:hAnsi="BNPP Sans Light" w:cs="Arial"/>
          <w:color w:val="000000"/>
          <w:szCs w:val="24"/>
          <w:lang w:eastAsia="fr-BE"/>
        </w:rPr>
        <w:t>202</w:t>
      </w:r>
      <w:r w:rsidR="00DF5ECC" w:rsidRPr="00D979F7">
        <w:rPr>
          <w:rFonts w:ascii="BNPP Sans Light" w:eastAsia="Times New Roman" w:hAnsi="BNPP Sans Light" w:cs="Arial"/>
          <w:color w:val="000000"/>
          <w:szCs w:val="24"/>
          <w:lang w:eastAsia="fr-BE"/>
        </w:rPr>
        <w:t>1</w:t>
      </w:r>
      <w:r w:rsidR="006141CE" w:rsidRPr="00D979F7">
        <w:rPr>
          <w:rFonts w:ascii="BNPP Sans Light" w:eastAsia="Times New Roman" w:hAnsi="BNPP Sans Light" w:cs="Arial"/>
          <w:color w:val="000000"/>
          <w:szCs w:val="24"/>
          <w:lang w:eastAsia="fr-BE"/>
        </w:rPr>
        <w:t xml:space="preserve">, </w:t>
      </w:r>
      <w:r w:rsidR="004847F6">
        <w:rPr>
          <w:rFonts w:ascii="BNPP Sans Light" w:eastAsia="Times New Roman" w:hAnsi="BNPP Sans Light" w:cs="Arial"/>
          <w:color w:val="000000"/>
          <w:szCs w:val="24"/>
          <w:lang w:eastAsia="fr-BE"/>
        </w:rPr>
        <w:t xml:space="preserve">elles représentaient 18% de l’ensemble des ventes digitales contre seulement 6% en 2020. </w:t>
      </w:r>
      <w:r w:rsidR="00B20B1F" w:rsidRPr="00D979F7">
        <w:rPr>
          <w:rFonts w:ascii="BNPP Sans Light" w:eastAsia="Times New Roman" w:hAnsi="BNPP Sans Light" w:cs="Arial"/>
          <w:color w:val="000000"/>
          <w:szCs w:val="24"/>
          <w:lang w:eastAsia="fr-BE"/>
        </w:rPr>
        <w:t xml:space="preserve">Soit une croissance de </w:t>
      </w:r>
      <w:r w:rsidR="00D979F7" w:rsidRPr="00D979F7">
        <w:rPr>
          <w:rFonts w:ascii="BNPP Sans Light" w:eastAsia="Times New Roman" w:hAnsi="BNPP Sans Light" w:cs="Arial"/>
          <w:szCs w:val="24"/>
          <w:lang w:eastAsia="fr-BE"/>
        </w:rPr>
        <w:t>195</w:t>
      </w:r>
      <w:r w:rsidR="00B20B1F" w:rsidRPr="00D979F7">
        <w:rPr>
          <w:rFonts w:ascii="BNPP Sans Light" w:eastAsia="Times New Roman" w:hAnsi="BNPP Sans Light" w:cs="Arial"/>
          <w:szCs w:val="24"/>
          <w:lang w:eastAsia="fr-BE"/>
        </w:rPr>
        <w:t xml:space="preserve">% en </w:t>
      </w:r>
      <w:r w:rsidR="00B20B1F" w:rsidRPr="00D979F7">
        <w:rPr>
          <w:rFonts w:ascii="BNPP Sans Light" w:eastAsia="Times New Roman" w:hAnsi="BNPP Sans Light" w:cs="Arial"/>
          <w:color w:val="000000"/>
          <w:szCs w:val="24"/>
          <w:lang w:eastAsia="fr-BE"/>
        </w:rPr>
        <w:t xml:space="preserve">douze mois. </w:t>
      </w:r>
      <w:r w:rsidR="006404BB" w:rsidRPr="00D979F7">
        <w:rPr>
          <w:rFonts w:ascii="BNPP Sans Light" w:eastAsia="Times New Roman" w:hAnsi="BNPP Sans Light" w:cs="Arial"/>
          <w:color w:val="000000"/>
          <w:szCs w:val="24"/>
          <w:lang w:eastAsia="fr-BE"/>
        </w:rPr>
        <w:t xml:space="preserve">La souscription d’un prêt mobilité en ligne se fait principalement </w:t>
      </w:r>
      <w:r w:rsidR="004847F6">
        <w:rPr>
          <w:rFonts w:ascii="BNPP Sans Light" w:eastAsia="Times New Roman" w:hAnsi="BNPP Sans Light" w:cs="Arial"/>
          <w:color w:val="000000"/>
          <w:szCs w:val="24"/>
          <w:lang w:eastAsia="fr-BE"/>
        </w:rPr>
        <w:t>via l’ordinateur</w:t>
      </w:r>
      <w:r w:rsidR="00D979F7">
        <w:rPr>
          <w:rFonts w:ascii="BNPP Sans Light" w:eastAsia="Times New Roman" w:hAnsi="BNPP Sans Light" w:cs="Arial"/>
          <w:color w:val="000000"/>
          <w:szCs w:val="24"/>
          <w:lang w:eastAsia="fr-BE"/>
        </w:rPr>
        <w:t xml:space="preserve"> (EBW)</w:t>
      </w:r>
      <w:r w:rsidR="004847F6">
        <w:rPr>
          <w:rFonts w:ascii="BNPP Sans Light" w:eastAsia="Times New Roman" w:hAnsi="BNPP Sans Light" w:cs="Arial"/>
          <w:color w:val="000000"/>
          <w:szCs w:val="24"/>
          <w:lang w:eastAsia="fr-BE"/>
        </w:rPr>
        <w:t xml:space="preserve">, à hauteur de </w:t>
      </w:r>
      <w:r w:rsidR="00954D65" w:rsidRPr="00D979F7">
        <w:rPr>
          <w:rFonts w:ascii="BNPP Sans Light" w:eastAsia="Times New Roman" w:hAnsi="BNPP Sans Light" w:cs="Arial"/>
          <w:szCs w:val="24"/>
          <w:lang w:eastAsia="fr-BE"/>
        </w:rPr>
        <w:t>86</w:t>
      </w:r>
      <w:r w:rsidR="006141CE" w:rsidRPr="00D979F7">
        <w:rPr>
          <w:rFonts w:ascii="BNPP Sans Light" w:eastAsia="Times New Roman" w:hAnsi="BNPP Sans Light" w:cs="Arial"/>
          <w:szCs w:val="24"/>
          <w:lang w:eastAsia="fr-BE"/>
        </w:rPr>
        <w:t xml:space="preserve">% </w:t>
      </w:r>
      <w:r w:rsidR="006404BB" w:rsidRPr="00D979F7">
        <w:rPr>
          <w:rFonts w:ascii="BNPP Sans Light" w:eastAsia="Times New Roman" w:hAnsi="BNPP Sans Light" w:cs="Arial"/>
          <w:szCs w:val="24"/>
          <w:lang w:eastAsia="fr-BE"/>
        </w:rPr>
        <w:t xml:space="preserve">contre </w:t>
      </w:r>
      <w:r w:rsidR="00954D65" w:rsidRPr="00D979F7">
        <w:rPr>
          <w:rFonts w:ascii="BNPP Sans Light" w:eastAsia="Times New Roman" w:hAnsi="BNPP Sans Light" w:cs="Arial"/>
          <w:szCs w:val="24"/>
          <w:lang w:eastAsia="fr-BE"/>
        </w:rPr>
        <w:t>14</w:t>
      </w:r>
      <w:r w:rsidR="006404BB" w:rsidRPr="00D979F7">
        <w:rPr>
          <w:rFonts w:ascii="BNPP Sans Light" w:eastAsia="Times New Roman" w:hAnsi="BNPP Sans Light" w:cs="Arial"/>
          <w:szCs w:val="24"/>
          <w:lang w:eastAsia="fr-BE"/>
        </w:rPr>
        <w:t xml:space="preserve">% via </w:t>
      </w:r>
      <w:r w:rsidR="00D979F7">
        <w:rPr>
          <w:rFonts w:ascii="BNPP Sans Light" w:eastAsia="Times New Roman" w:hAnsi="BNPP Sans Light" w:cs="Arial"/>
          <w:szCs w:val="24"/>
          <w:lang w:eastAsia="fr-BE"/>
        </w:rPr>
        <w:t>l’application bancaire</w:t>
      </w:r>
      <w:r w:rsidR="006141CE" w:rsidRPr="00D979F7">
        <w:rPr>
          <w:rFonts w:ascii="BNPP Sans Light" w:eastAsia="Times New Roman" w:hAnsi="BNPP Sans Light" w:cs="Arial"/>
          <w:szCs w:val="24"/>
          <w:lang w:eastAsia="fr-BE"/>
        </w:rPr>
        <w:t xml:space="preserve"> </w:t>
      </w:r>
      <w:r w:rsidR="00EB0A7F" w:rsidRPr="00D979F7">
        <w:rPr>
          <w:rFonts w:ascii="BNPP Sans Light" w:eastAsia="Times New Roman" w:hAnsi="BNPP Sans Light" w:cs="Arial"/>
          <w:szCs w:val="24"/>
          <w:lang w:eastAsia="fr-BE"/>
        </w:rPr>
        <w:t>(EBA)</w:t>
      </w:r>
      <w:r w:rsidR="006404BB" w:rsidRPr="00D979F7">
        <w:rPr>
          <w:rFonts w:ascii="BNPP Sans Light" w:eastAsia="Times New Roman" w:hAnsi="BNPP Sans Light" w:cs="Arial"/>
          <w:szCs w:val="24"/>
          <w:lang w:eastAsia="fr-BE"/>
        </w:rPr>
        <w:t>.</w:t>
      </w:r>
    </w:p>
    <w:p w14:paraId="2FA5DCF6" w14:textId="788C4703" w:rsidR="006141CE" w:rsidRPr="006404BB" w:rsidRDefault="006141CE" w:rsidP="006141CE">
      <w:pPr>
        <w:spacing w:after="270" w:line="240" w:lineRule="auto"/>
        <w:rPr>
          <w:rFonts w:ascii="BNPP Sans Light" w:eastAsia="Times New Roman" w:hAnsi="BNPP Sans Light" w:cs="Arial"/>
          <w:color w:val="000000"/>
          <w:szCs w:val="24"/>
          <w:lang w:eastAsia="fr-BE"/>
        </w:rPr>
      </w:pPr>
      <w:r w:rsidRPr="006404BB">
        <w:rPr>
          <w:rFonts w:ascii="BNPP Sans Light" w:eastAsia="Times New Roman" w:hAnsi="BNPP Sans Light" w:cs="Arial"/>
          <w:color w:val="000000"/>
          <w:szCs w:val="24"/>
          <w:lang w:eastAsia="fr-BE"/>
        </w:rPr>
        <w:t>Les principales destinations des prêts mobilité souscrits en ligne (EBW ou EBA) sont les voitures d</w:t>
      </w:r>
      <w:r w:rsidRPr="006404BB">
        <w:rPr>
          <w:rFonts w:ascii="BNPP Sans Light" w:eastAsia="Times New Roman" w:hAnsi="BNPP Sans Light" w:cs="BNPP Sans Light"/>
          <w:color w:val="000000"/>
          <w:szCs w:val="24"/>
          <w:lang w:eastAsia="fr-BE"/>
        </w:rPr>
        <w:t>’</w:t>
      </w:r>
      <w:r w:rsidRPr="006404BB">
        <w:rPr>
          <w:rFonts w:ascii="BNPP Sans Light" w:eastAsia="Times New Roman" w:hAnsi="BNPP Sans Light" w:cs="Arial"/>
          <w:color w:val="000000"/>
          <w:szCs w:val="24"/>
          <w:lang w:eastAsia="fr-BE"/>
        </w:rPr>
        <w:t>occasion (</w:t>
      </w:r>
      <w:r w:rsidR="006404BB" w:rsidRPr="006404BB">
        <w:rPr>
          <w:rFonts w:ascii="BNPP Sans Light" w:eastAsia="Times New Roman" w:hAnsi="BNPP Sans Light" w:cs="Arial"/>
          <w:color w:val="000000"/>
          <w:szCs w:val="24"/>
          <w:lang w:eastAsia="fr-BE"/>
        </w:rPr>
        <w:t>56</w:t>
      </w:r>
      <w:r w:rsidRPr="006404BB">
        <w:rPr>
          <w:rFonts w:ascii="BNPP Sans Light" w:eastAsia="Times New Roman" w:hAnsi="BNPP Sans Light" w:cs="Arial"/>
          <w:color w:val="000000"/>
          <w:szCs w:val="24"/>
          <w:lang w:eastAsia="fr-BE"/>
        </w:rPr>
        <w:t>%), suivies des voitures neuves (</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 xml:space="preserve">cologiques ou non) avec </w:t>
      </w:r>
      <w:r w:rsidR="006404BB" w:rsidRPr="006404BB">
        <w:rPr>
          <w:rFonts w:ascii="BNPP Sans Light" w:eastAsia="Times New Roman" w:hAnsi="BNPP Sans Light" w:cs="Arial"/>
          <w:color w:val="000000"/>
          <w:szCs w:val="24"/>
          <w:lang w:eastAsia="fr-BE"/>
        </w:rPr>
        <w:t>28</w:t>
      </w:r>
      <w:r w:rsidRPr="006404BB">
        <w:rPr>
          <w:rFonts w:ascii="BNPP Sans Light" w:eastAsia="Times New Roman" w:hAnsi="BNPP Sans Light" w:cs="Arial"/>
          <w:color w:val="000000"/>
          <w:szCs w:val="24"/>
          <w:lang w:eastAsia="fr-BE"/>
        </w:rPr>
        <w:t>% des contrats en ligne et enfin de la mobilit</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 xml:space="preserve"> douce,</w:t>
      </w:r>
      <w:r w:rsidRPr="006404BB">
        <w:rPr>
          <w:rFonts w:ascii="Calibri" w:eastAsia="Times New Roman" w:hAnsi="Calibri" w:cs="Calibri"/>
          <w:color w:val="000000"/>
          <w:szCs w:val="24"/>
          <w:lang w:eastAsia="fr-BE"/>
        </w:rPr>
        <w:t> </w:t>
      </w:r>
      <w:r w:rsidRPr="006404BB">
        <w:rPr>
          <w:rFonts w:ascii="BNPP Sans Light" w:eastAsia="Times New Roman" w:hAnsi="BNPP Sans Light" w:cs="BNPP Sans Light"/>
          <w:color w:val="000000"/>
          <w:szCs w:val="24"/>
          <w:lang w:eastAsia="fr-BE"/>
        </w:rPr>
        <w:t>à</w:t>
      </w:r>
      <w:r w:rsidRPr="006404BB">
        <w:rPr>
          <w:rFonts w:ascii="BNPP Sans Light" w:eastAsia="Times New Roman" w:hAnsi="BNPP Sans Light" w:cs="Arial"/>
          <w:color w:val="000000"/>
          <w:szCs w:val="24"/>
          <w:lang w:eastAsia="fr-BE"/>
        </w:rPr>
        <w:t xml:space="preserve"> savoir le v</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lo, le v</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 xml:space="preserve">lo </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 xml:space="preserve">lectrique, le scooter </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 xml:space="preserve">lectrique, la trottinette </w:t>
      </w:r>
      <w:r w:rsidRPr="006404BB">
        <w:rPr>
          <w:rFonts w:ascii="BNPP Sans Light" w:eastAsia="Times New Roman" w:hAnsi="BNPP Sans Light" w:cs="BNPP Sans Light"/>
          <w:color w:val="000000"/>
          <w:szCs w:val="24"/>
          <w:lang w:eastAsia="fr-BE"/>
        </w:rPr>
        <w:t>é</w:t>
      </w:r>
      <w:r w:rsidRPr="006404BB">
        <w:rPr>
          <w:rFonts w:ascii="BNPP Sans Light" w:eastAsia="Times New Roman" w:hAnsi="BNPP Sans Light" w:cs="Arial"/>
          <w:color w:val="000000"/>
          <w:szCs w:val="24"/>
          <w:lang w:eastAsia="fr-BE"/>
        </w:rPr>
        <w:t xml:space="preserve">lectrique ou encore le gyropode, à hauteur de </w:t>
      </w:r>
      <w:r w:rsidR="006404BB" w:rsidRPr="006404BB">
        <w:rPr>
          <w:rFonts w:ascii="BNPP Sans Light" w:eastAsia="Times New Roman" w:hAnsi="BNPP Sans Light" w:cs="Arial"/>
          <w:color w:val="000000"/>
          <w:szCs w:val="24"/>
          <w:lang w:eastAsia="fr-BE"/>
        </w:rPr>
        <w:t>16</w:t>
      </w:r>
      <w:r w:rsidRPr="006404BB">
        <w:rPr>
          <w:rFonts w:ascii="BNPP Sans Light" w:eastAsia="Times New Roman" w:hAnsi="BNPP Sans Light" w:cs="Arial"/>
          <w:color w:val="000000"/>
          <w:szCs w:val="24"/>
          <w:lang w:eastAsia="fr-BE"/>
        </w:rPr>
        <w:t>% des souscriptions.</w:t>
      </w:r>
    </w:p>
    <w:p w14:paraId="600783F8" w14:textId="1A4A7364" w:rsidR="00BF51B9" w:rsidRPr="00BF51B9" w:rsidRDefault="00BF51B9" w:rsidP="00BF51B9">
      <w:pPr>
        <w:spacing w:after="270" w:line="240" w:lineRule="auto"/>
        <w:rPr>
          <w:rFonts w:ascii="BNPP Sans Light" w:eastAsia="Times New Roman" w:hAnsi="BNPP Sans Light" w:cs="Arial"/>
          <w:b/>
          <w:bCs/>
          <w:color w:val="000000"/>
          <w:szCs w:val="24"/>
          <w:lang w:eastAsia="fr-BE"/>
        </w:rPr>
      </w:pPr>
      <w:r w:rsidRPr="00BF51B9">
        <w:rPr>
          <w:rFonts w:ascii="BNPP Sans Light" w:eastAsia="Times New Roman" w:hAnsi="BNPP Sans Light" w:cs="Arial"/>
          <w:b/>
          <w:bCs/>
          <w:color w:val="000000"/>
          <w:szCs w:val="24"/>
          <w:lang w:eastAsia="fr-BE"/>
        </w:rPr>
        <w:t>La mobilité douce continue de séduire</w:t>
      </w:r>
    </w:p>
    <w:p w14:paraId="2301AE69" w14:textId="071B1911" w:rsidR="006141CE" w:rsidRPr="00F75110" w:rsidRDefault="00BF51B9" w:rsidP="006141CE">
      <w:pPr>
        <w:spacing w:after="270" w:line="240" w:lineRule="auto"/>
        <w:rPr>
          <w:rFonts w:ascii="BNPP Sans Light" w:eastAsia="Times New Roman" w:hAnsi="BNPP Sans Light" w:cs="Arial"/>
          <w:color w:val="000000"/>
          <w:szCs w:val="24"/>
          <w:lang w:eastAsia="fr-BE"/>
        </w:rPr>
      </w:pPr>
      <w:r w:rsidRPr="006404BB">
        <w:rPr>
          <w:rFonts w:ascii="BNPP Sans Light" w:eastAsia="Times New Roman" w:hAnsi="BNPP Sans Light" w:cs="Arial"/>
          <w:color w:val="000000"/>
          <w:szCs w:val="24"/>
          <w:lang w:eastAsia="fr-BE"/>
        </w:rPr>
        <w:t xml:space="preserve">Sur l’ensemble de la production des </w:t>
      </w:r>
      <w:r>
        <w:rPr>
          <w:rFonts w:ascii="BNPP Sans Light" w:eastAsia="Times New Roman" w:hAnsi="BNPP Sans Light" w:cs="Arial"/>
          <w:color w:val="000000"/>
          <w:szCs w:val="24"/>
          <w:lang w:eastAsia="fr-BE"/>
        </w:rPr>
        <w:t>prêts</w:t>
      </w:r>
      <w:r w:rsidRPr="006404BB">
        <w:rPr>
          <w:rFonts w:ascii="BNPP Sans Light" w:eastAsia="Times New Roman" w:hAnsi="BNPP Sans Light" w:cs="Arial"/>
          <w:color w:val="000000"/>
          <w:szCs w:val="24"/>
          <w:lang w:eastAsia="fr-BE"/>
        </w:rPr>
        <w:t xml:space="preserve"> </w:t>
      </w:r>
      <w:r w:rsidR="00EE59DF">
        <w:rPr>
          <w:rFonts w:ascii="BNPP Sans Light" w:eastAsia="Times New Roman" w:hAnsi="BNPP Sans Light" w:cs="Arial"/>
          <w:color w:val="000000"/>
          <w:szCs w:val="24"/>
          <w:lang w:eastAsia="fr-BE"/>
        </w:rPr>
        <w:t>à tempérament</w:t>
      </w:r>
      <w:r w:rsidR="00EE59DF" w:rsidRPr="006404BB">
        <w:rPr>
          <w:rFonts w:ascii="BNPP Sans Light" w:eastAsia="Times New Roman" w:hAnsi="BNPP Sans Light" w:cs="Arial"/>
          <w:color w:val="000000"/>
          <w:szCs w:val="24"/>
          <w:lang w:eastAsia="fr-BE"/>
        </w:rPr>
        <w:t xml:space="preserve"> </w:t>
      </w:r>
      <w:r w:rsidRPr="006404BB">
        <w:rPr>
          <w:rFonts w:ascii="BNPP Sans Light" w:eastAsia="Times New Roman" w:hAnsi="BNPP Sans Light" w:cs="Arial"/>
          <w:color w:val="000000"/>
          <w:szCs w:val="24"/>
          <w:lang w:eastAsia="fr-BE"/>
        </w:rPr>
        <w:t xml:space="preserve">mobilité, </w:t>
      </w:r>
      <w:r w:rsidRPr="006404BB">
        <w:rPr>
          <w:rFonts w:ascii="BNPP Sans Light" w:eastAsia="Times New Roman" w:hAnsi="BNPP Sans Light" w:cs="Arial"/>
          <w:szCs w:val="24"/>
          <w:lang w:eastAsia="fr-BE"/>
        </w:rPr>
        <w:t xml:space="preserve">6% </w:t>
      </w:r>
      <w:r w:rsidRPr="006404BB">
        <w:rPr>
          <w:rFonts w:ascii="BNPP Sans Light" w:eastAsia="Times New Roman" w:hAnsi="BNPP Sans Light" w:cs="Arial"/>
          <w:color w:val="000000"/>
          <w:szCs w:val="24"/>
          <w:lang w:eastAsia="fr-BE"/>
        </w:rPr>
        <w:t xml:space="preserve">sont désormais destinés à la mobilité douce. </w:t>
      </w:r>
      <w:r>
        <w:rPr>
          <w:rFonts w:ascii="BNPP Sans Light" w:eastAsia="Times New Roman" w:hAnsi="BNPP Sans Light" w:cs="Arial"/>
          <w:color w:val="000000"/>
          <w:szCs w:val="24"/>
          <w:lang w:eastAsia="fr-BE"/>
        </w:rPr>
        <w:t xml:space="preserve">Et si l’on jette un coup d’œil sur </w:t>
      </w:r>
      <w:r w:rsidR="006141CE" w:rsidRPr="00D236C6">
        <w:rPr>
          <w:rFonts w:ascii="BNPP Sans Light" w:eastAsia="Times New Roman" w:hAnsi="BNPP Sans Light" w:cs="Arial"/>
          <w:color w:val="000000"/>
          <w:szCs w:val="24"/>
          <w:lang w:eastAsia="fr-BE"/>
        </w:rPr>
        <w:t>le profil</w:t>
      </w:r>
      <w:r w:rsidR="004847F6">
        <w:rPr>
          <w:rFonts w:ascii="BNPP Sans Light" w:eastAsia="Times New Roman" w:hAnsi="BNPP Sans Light" w:cs="Arial"/>
          <w:color w:val="000000"/>
          <w:szCs w:val="24"/>
          <w:lang w:eastAsia="fr-BE"/>
        </w:rPr>
        <w:t xml:space="preserve"> type</w:t>
      </w:r>
      <w:r w:rsidR="006141CE" w:rsidRPr="00D236C6">
        <w:rPr>
          <w:rFonts w:ascii="BNPP Sans Light" w:eastAsia="Times New Roman" w:hAnsi="BNPP Sans Light" w:cs="Arial"/>
          <w:color w:val="000000"/>
          <w:szCs w:val="24"/>
          <w:lang w:eastAsia="fr-BE"/>
        </w:rPr>
        <w:t xml:space="preserve"> du preneur </w:t>
      </w:r>
      <w:r w:rsidR="004847F6">
        <w:rPr>
          <w:rFonts w:ascii="BNPP Sans Light" w:eastAsia="Times New Roman" w:hAnsi="BNPP Sans Light" w:cs="Arial"/>
          <w:color w:val="000000"/>
          <w:szCs w:val="24"/>
          <w:lang w:eastAsia="fr-BE"/>
        </w:rPr>
        <w:t>de</w:t>
      </w:r>
      <w:r w:rsidR="00954D65">
        <w:rPr>
          <w:rFonts w:ascii="BNPP Sans Light" w:eastAsia="Times New Roman" w:hAnsi="BNPP Sans Light" w:cs="Arial"/>
          <w:color w:val="000000"/>
          <w:szCs w:val="24"/>
          <w:lang w:eastAsia="fr-BE"/>
        </w:rPr>
        <w:t xml:space="preserve"> prêt </w:t>
      </w:r>
      <w:r w:rsidR="006141CE" w:rsidRPr="00D236C6">
        <w:rPr>
          <w:rFonts w:ascii="BNPP Sans Light" w:eastAsia="Times New Roman" w:hAnsi="BNPP Sans Light" w:cs="Arial"/>
          <w:color w:val="000000"/>
          <w:szCs w:val="24"/>
          <w:lang w:eastAsia="fr-BE"/>
        </w:rPr>
        <w:t>vélo électrique, celui-ci est âgé en moyenne de 4</w:t>
      </w:r>
      <w:r w:rsidR="00EB0A7F" w:rsidRPr="00D236C6">
        <w:rPr>
          <w:rFonts w:ascii="BNPP Sans Light" w:eastAsia="Times New Roman" w:hAnsi="BNPP Sans Light" w:cs="Arial"/>
          <w:color w:val="000000"/>
          <w:szCs w:val="24"/>
          <w:lang w:eastAsia="fr-BE"/>
        </w:rPr>
        <w:t>7</w:t>
      </w:r>
      <w:r w:rsidR="006141CE" w:rsidRPr="00D236C6">
        <w:rPr>
          <w:rFonts w:ascii="BNPP Sans Light" w:eastAsia="Times New Roman" w:hAnsi="BNPP Sans Light" w:cs="Arial"/>
          <w:color w:val="000000"/>
          <w:szCs w:val="24"/>
          <w:lang w:eastAsia="fr-BE"/>
        </w:rPr>
        <w:t xml:space="preserve"> ans et emprunte un montant moyen de 3.</w:t>
      </w:r>
      <w:r w:rsidR="00EB0A7F" w:rsidRPr="00D236C6">
        <w:rPr>
          <w:rFonts w:ascii="BNPP Sans Light" w:eastAsia="Times New Roman" w:hAnsi="BNPP Sans Light" w:cs="Arial"/>
          <w:color w:val="000000"/>
          <w:szCs w:val="24"/>
          <w:lang w:eastAsia="fr-BE"/>
        </w:rPr>
        <w:t>7</w:t>
      </w:r>
      <w:r w:rsidR="006141CE" w:rsidRPr="00D236C6">
        <w:rPr>
          <w:rFonts w:ascii="BNPP Sans Light" w:eastAsia="Times New Roman" w:hAnsi="BNPP Sans Light" w:cs="Arial"/>
          <w:color w:val="000000"/>
          <w:szCs w:val="24"/>
          <w:lang w:eastAsia="fr-BE"/>
        </w:rPr>
        <w:t>00 euros. La mensualité moyenne remboursée est de 1</w:t>
      </w:r>
      <w:r w:rsidR="00EB0A7F" w:rsidRPr="00D236C6">
        <w:rPr>
          <w:rFonts w:ascii="BNPP Sans Light" w:eastAsia="Times New Roman" w:hAnsi="BNPP Sans Light" w:cs="Arial"/>
          <w:color w:val="000000"/>
          <w:szCs w:val="24"/>
          <w:lang w:eastAsia="fr-BE"/>
        </w:rPr>
        <w:t>33</w:t>
      </w:r>
      <w:r w:rsidR="006141CE" w:rsidRPr="00D236C6">
        <w:rPr>
          <w:rFonts w:ascii="BNPP Sans Light" w:eastAsia="Times New Roman" w:hAnsi="BNPP Sans Light" w:cs="Arial"/>
          <w:color w:val="000000"/>
          <w:szCs w:val="24"/>
          <w:lang w:eastAsia="fr-BE"/>
        </w:rPr>
        <w:t xml:space="preserve"> euros tandis que la durée moyenne du </w:t>
      </w:r>
      <w:r w:rsidR="00954D65">
        <w:rPr>
          <w:rFonts w:ascii="BNPP Sans Light" w:eastAsia="Times New Roman" w:hAnsi="BNPP Sans Light" w:cs="Arial"/>
          <w:color w:val="000000"/>
          <w:szCs w:val="24"/>
          <w:lang w:eastAsia="fr-BE"/>
        </w:rPr>
        <w:t>prêt</w:t>
      </w:r>
      <w:r w:rsidR="006141CE" w:rsidRPr="00D236C6">
        <w:rPr>
          <w:rFonts w:ascii="BNPP Sans Light" w:eastAsia="Times New Roman" w:hAnsi="BNPP Sans Light" w:cs="Arial"/>
          <w:color w:val="000000"/>
          <w:szCs w:val="24"/>
          <w:lang w:eastAsia="fr-BE"/>
        </w:rPr>
        <w:t xml:space="preserve"> s’étire sur 2</w:t>
      </w:r>
      <w:r w:rsidR="00EB0A7F" w:rsidRPr="00D236C6">
        <w:rPr>
          <w:rFonts w:ascii="BNPP Sans Light" w:eastAsia="Times New Roman" w:hAnsi="BNPP Sans Light" w:cs="Arial"/>
          <w:color w:val="000000"/>
          <w:szCs w:val="24"/>
          <w:lang w:eastAsia="fr-BE"/>
        </w:rPr>
        <w:t>8</w:t>
      </w:r>
      <w:r w:rsidR="006141CE" w:rsidRPr="00D236C6">
        <w:rPr>
          <w:rFonts w:ascii="BNPP Sans Light" w:eastAsia="Times New Roman" w:hAnsi="BNPP Sans Light" w:cs="Arial"/>
          <w:color w:val="000000"/>
          <w:szCs w:val="24"/>
          <w:lang w:eastAsia="fr-BE"/>
        </w:rPr>
        <w:t xml:space="preserve"> mois. Précisons encore que </w:t>
      </w:r>
      <w:r w:rsidR="00EB0A7F" w:rsidRPr="00D236C6">
        <w:rPr>
          <w:rFonts w:ascii="BNPP Sans Light" w:eastAsia="Times New Roman" w:hAnsi="BNPP Sans Light" w:cs="Arial"/>
          <w:color w:val="000000"/>
          <w:szCs w:val="24"/>
          <w:lang w:eastAsia="fr-BE"/>
        </w:rPr>
        <w:t>79</w:t>
      </w:r>
      <w:r w:rsidR="006141CE" w:rsidRPr="00D236C6">
        <w:rPr>
          <w:rFonts w:ascii="BNPP Sans Light" w:eastAsia="Times New Roman" w:hAnsi="BNPP Sans Light" w:cs="Arial"/>
          <w:color w:val="000000"/>
          <w:szCs w:val="24"/>
          <w:lang w:eastAsia="fr-BE"/>
        </w:rPr>
        <w:t xml:space="preserve">% des clients </w:t>
      </w:r>
      <w:r w:rsidR="00980410">
        <w:rPr>
          <w:rFonts w:ascii="BNPP Sans Light" w:eastAsia="Times New Roman" w:hAnsi="BNPP Sans Light" w:cs="Arial"/>
          <w:color w:val="000000"/>
          <w:szCs w:val="24"/>
          <w:lang w:eastAsia="fr-BE"/>
        </w:rPr>
        <w:t xml:space="preserve">et clientes </w:t>
      </w:r>
      <w:r w:rsidR="006141CE" w:rsidRPr="00D236C6">
        <w:rPr>
          <w:rFonts w:ascii="BNPP Sans Light" w:eastAsia="Times New Roman" w:hAnsi="BNPP Sans Light" w:cs="Arial"/>
          <w:color w:val="000000"/>
          <w:szCs w:val="24"/>
          <w:lang w:eastAsia="fr-BE"/>
        </w:rPr>
        <w:t xml:space="preserve">de BNP Paribas Fortis ayant souscrit à un emprunt pour un vélo électrique </w:t>
      </w:r>
      <w:r w:rsidR="004847F6">
        <w:rPr>
          <w:rFonts w:ascii="BNPP Sans Light" w:eastAsia="Times New Roman" w:hAnsi="BNPP Sans Light" w:cs="Arial"/>
          <w:color w:val="000000"/>
          <w:szCs w:val="24"/>
          <w:lang w:eastAsia="fr-BE"/>
        </w:rPr>
        <w:t>sont domiciliés</w:t>
      </w:r>
      <w:r w:rsidR="006141CE" w:rsidRPr="00D236C6">
        <w:rPr>
          <w:rFonts w:ascii="BNPP Sans Light" w:eastAsia="Times New Roman" w:hAnsi="BNPP Sans Light" w:cs="Arial"/>
          <w:color w:val="000000"/>
          <w:szCs w:val="24"/>
          <w:lang w:eastAsia="fr-BE"/>
        </w:rPr>
        <w:t xml:space="preserve"> dans le Nord du pays.</w:t>
      </w:r>
    </w:p>
    <w:p w14:paraId="128CC77E" w14:textId="374CBBBF" w:rsidR="006141CE" w:rsidRDefault="006141CE" w:rsidP="006141CE">
      <w:pPr>
        <w:spacing w:after="270" w:line="240" w:lineRule="auto"/>
        <w:rPr>
          <w:rFonts w:ascii="BNPP Sans Light" w:eastAsia="Times New Roman" w:hAnsi="BNPP Sans Light" w:cs="Arial"/>
          <w:color w:val="000000"/>
          <w:szCs w:val="24"/>
          <w:lang w:eastAsia="fr-BE"/>
        </w:rPr>
      </w:pPr>
      <w:r w:rsidRPr="00F75110">
        <w:rPr>
          <w:rFonts w:ascii="BNPP Sans Light" w:eastAsia="Times New Roman" w:hAnsi="BNPP Sans Light" w:cs="Arial"/>
          <w:color w:val="000000"/>
          <w:szCs w:val="24"/>
          <w:lang w:eastAsia="fr-BE"/>
        </w:rPr>
        <w:t>Découvrez l’infographie</w:t>
      </w:r>
      <w:r w:rsidRPr="00F75110">
        <w:rPr>
          <w:rFonts w:ascii="Calibri" w:eastAsia="Times New Roman" w:hAnsi="Calibri" w:cs="Calibri"/>
          <w:color w:val="000000"/>
          <w:szCs w:val="24"/>
          <w:lang w:eastAsia="fr-BE"/>
        </w:rPr>
        <w:t> </w:t>
      </w:r>
      <w:r w:rsidRPr="00F75110">
        <w:rPr>
          <w:rFonts w:ascii="BNPP Sans Light" w:eastAsia="Times New Roman" w:hAnsi="BNPP Sans Light" w:cs="Arial"/>
          <w:b/>
          <w:bCs/>
          <w:color w:val="000000"/>
          <w:szCs w:val="24"/>
          <w:lang w:eastAsia="fr-BE"/>
        </w:rPr>
        <w:t>ici (aussi en pièce jointe)</w:t>
      </w:r>
      <w:r w:rsidRPr="00F75110">
        <w:rPr>
          <w:rFonts w:ascii="BNPP Sans Light" w:eastAsia="Times New Roman" w:hAnsi="BNPP Sans Light" w:cs="Arial"/>
          <w:color w:val="000000"/>
          <w:szCs w:val="24"/>
          <w:lang w:eastAsia="fr-BE"/>
        </w:rPr>
        <w:t>.</w:t>
      </w:r>
    </w:p>
    <w:p w14:paraId="3E95108B" w14:textId="16E29C51" w:rsidR="00EE59DF" w:rsidRPr="00EE59DF" w:rsidRDefault="00EE59DF" w:rsidP="00EE59DF">
      <w:pPr>
        <w:spacing w:after="270" w:line="240" w:lineRule="auto"/>
        <w:rPr>
          <w:rFonts w:ascii="BNPP Sans Light" w:eastAsia="Times New Roman" w:hAnsi="BNPP Sans Light" w:cs="Arial"/>
          <w:b/>
          <w:bCs/>
          <w:color w:val="000000"/>
          <w:szCs w:val="24"/>
          <w:lang w:eastAsia="fr-BE"/>
        </w:rPr>
      </w:pPr>
      <w:r w:rsidRPr="00EE59DF">
        <w:rPr>
          <w:rFonts w:ascii="BNPP Sans Light" w:eastAsia="Times New Roman" w:hAnsi="BNPP Sans Light" w:cs="Arial"/>
          <w:b/>
          <w:bCs/>
          <w:color w:val="000000"/>
          <w:szCs w:val="24"/>
          <w:lang w:eastAsia="fr-BE"/>
        </w:rPr>
        <w:t>Du 4 janvier au 28 février 2022, un taux «</w:t>
      </w:r>
      <w:r w:rsidRPr="00EE59DF">
        <w:rPr>
          <w:rFonts w:ascii="Calibri" w:eastAsia="Times New Roman" w:hAnsi="Calibri" w:cs="Calibri"/>
          <w:b/>
          <w:bCs/>
          <w:color w:val="000000"/>
          <w:szCs w:val="24"/>
          <w:lang w:eastAsia="fr-BE"/>
        </w:rPr>
        <w:t> </w:t>
      </w:r>
      <w:r w:rsidRPr="00EE59DF">
        <w:rPr>
          <w:rFonts w:ascii="BNPP Sans Light" w:eastAsia="Times New Roman" w:hAnsi="BNPP Sans Light" w:cs="Arial"/>
          <w:b/>
          <w:bCs/>
          <w:color w:val="000000"/>
          <w:szCs w:val="24"/>
          <w:lang w:eastAsia="fr-BE"/>
        </w:rPr>
        <w:t>Salon de l’Auto</w:t>
      </w:r>
      <w:r w:rsidRPr="00EE59DF">
        <w:rPr>
          <w:rFonts w:ascii="Calibri" w:eastAsia="Times New Roman" w:hAnsi="Calibri" w:cs="Calibri"/>
          <w:b/>
          <w:bCs/>
          <w:color w:val="000000"/>
          <w:szCs w:val="24"/>
          <w:lang w:eastAsia="fr-BE"/>
        </w:rPr>
        <w:t> </w:t>
      </w:r>
      <w:r w:rsidRPr="00EE59DF">
        <w:rPr>
          <w:rFonts w:ascii="BNPP Sans Light" w:eastAsia="Times New Roman" w:hAnsi="BNPP Sans Light" w:cs="BNPP Sans Light"/>
          <w:b/>
          <w:bCs/>
          <w:color w:val="000000"/>
          <w:szCs w:val="24"/>
          <w:lang w:eastAsia="fr-BE"/>
        </w:rPr>
        <w:t>»</w:t>
      </w:r>
      <w:r w:rsidRPr="00EE59DF">
        <w:rPr>
          <w:rFonts w:ascii="BNPP Sans Light" w:eastAsia="Times New Roman" w:hAnsi="BNPP Sans Light" w:cs="Arial"/>
          <w:b/>
          <w:bCs/>
          <w:color w:val="000000"/>
          <w:szCs w:val="24"/>
          <w:lang w:eastAsia="fr-BE"/>
        </w:rPr>
        <w:t xml:space="preserve"> de 0,60</w:t>
      </w:r>
      <w:r w:rsidR="00980410">
        <w:rPr>
          <w:rFonts w:ascii="BNPP Sans Light" w:eastAsia="Times New Roman" w:hAnsi="BNPP Sans Light" w:cs="Arial"/>
          <w:b/>
          <w:bCs/>
          <w:color w:val="000000"/>
          <w:szCs w:val="24"/>
          <w:lang w:eastAsia="fr-BE"/>
        </w:rPr>
        <w:t>%</w:t>
      </w:r>
      <w:r w:rsidRPr="00EE59DF">
        <w:rPr>
          <w:rFonts w:ascii="BNPP Sans Light" w:eastAsia="Times New Roman" w:hAnsi="BNPP Sans Light" w:cs="Arial"/>
          <w:b/>
          <w:bCs/>
          <w:color w:val="000000"/>
          <w:szCs w:val="24"/>
          <w:lang w:eastAsia="fr-BE"/>
        </w:rPr>
        <w:t xml:space="preserve"> </w:t>
      </w:r>
    </w:p>
    <w:p w14:paraId="080F51C5" w14:textId="7C8AFFBE" w:rsidR="00EE59DF" w:rsidRDefault="00EE59DF" w:rsidP="00EE59DF">
      <w:pPr>
        <w:spacing w:after="270" w:line="240" w:lineRule="auto"/>
        <w:rPr>
          <w:rFonts w:ascii="BNPP Sans Light" w:eastAsia="Times New Roman" w:hAnsi="BNPP Sans Light" w:cs="Arial"/>
          <w:color w:val="000000"/>
          <w:szCs w:val="24"/>
          <w:lang w:eastAsia="fr-BE"/>
        </w:rPr>
      </w:pPr>
      <w:r w:rsidRPr="00F75110">
        <w:rPr>
          <w:rFonts w:ascii="BNPP Sans Light" w:eastAsia="Times New Roman" w:hAnsi="BNPP Sans Light" w:cs="Arial"/>
          <w:color w:val="000000"/>
          <w:szCs w:val="24"/>
          <w:lang w:eastAsia="fr-BE"/>
        </w:rPr>
        <w:t xml:space="preserve">Décarboner la mobilité reste </w:t>
      </w:r>
      <w:r>
        <w:rPr>
          <w:rFonts w:ascii="BNPP Sans Light" w:eastAsia="Times New Roman" w:hAnsi="BNPP Sans Light" w:cs="Arial"/>
          <w:color w:val="000000"/>
          <w:szCs w:val="24"/>
          <w:lang w:eastAsia="fr-BE"/>
        </w:rPr>
        <w:t xml:space="preserve">donc </w:t>
      </w:r>
      <w:r w:rsidRPr="00F75110">
        <w:rPr>
          <w:rFonts w:ascii="BNPP Sans Light" w:eastAsia="Times New Roman" w:hAnsi="BNPP Sans Light" w:cs="Arial"/>
          <w:color w:val="000000"/>
          <w:szCs w:val="24"/>
          <w:lang w:eastAsia="fr-BE"/>
        </w:rPr>
        <w:t xml:space="preserve">au cœur de l’offre de BNP Paribas Fortis et </w:t>
      </w:r>
      <w:proofErr w:type="spellStart"/>
      <w:r w:rsidRPr="00F75110">
        <w:rPr>
          <w:rFonts w:ascii="BNPP Sans Light" w:eastAsia="Times New Roman" w:hAnsi="BNPP Sans Light" w:cs="Arial"/>
          <w:color w:val="000000"/>
          <w:szCs w:val="24"/>
          <w:lang w:eastAsia="fr-BE"/>
        </w:rPr>
        <w:t>Fintro</w:t>
      </w:r>
      <w:proofErr w:type="spellEnd"/>
      <w:r w:rsidRPr="00F75110">
        <w:rPr>
          <w:rFonts w:ascii="BNPP Sans Light" w:eastAsia="Times New Roman" w:hAnsi="BNPP Sans Light" w:cs="Arial"/>
          <w:color w:val="000000"/>
          <w:szCs w:val="24"/>
          <w:lang w:eastAsia="fr-BE"/>
        </w:rPr>
        <w:t xml:space="preserve">. C’est pourquoi, </w:t>
      </w:r>
      <w:r w:rsidRPr="00A67DD8">
        <w:rPr>
          <w:rFonts w:ascii="BNPP Sans Light" w:eastAsia="Times New Roman" w:hAnsi="BNPP Sans Light" w:cs="Arial"/>
          <w:color w:val="000000"/>
          <w:szCs w:val="24"/>
          <w:lang w:eastAsia="fr-BE"/>
        </w:rPr>
        <w:t xml:space="preserve">du 4 janvier au 28 février 2022 </w:t>
      </w:r>
      <w:r w:rsidR="004847F6">
        <w:rPr>
          <w:rFonts w:ascii="BNPP Sans Light" w:eastAsia="Times New Roman" w:hAnsi="BNPP Sans Light" w:cs="Arial"/>
          <w:color w:val="000000"/>
          <w:szCs w:val="24"/>
          <w:lang w:eastAsia="fr-BE"/>
        </w:rPr>
        <w:t xml:space="preserve">inclus, </w:t>
      </w:r>
      <w:r w:rsidRPr="00F75110">
        <w:rPr>
          <w:rFonts w:ascii="BNPP Sans Light" w:eastAsia="Times New Roman" w:hAnsi="BNPP Sans Light" w:cs="Arial"/>
          <w:color w:val="000000"/>
          <w:szCs w:val="24"/>
          <w:lang w:eastAsia="fr-BE"/>
        </w:rPr>
        <w:t xml:space="preserve">le prêt </w:t>
      </w:r>
      <w:r>
        <w:rPr>
          <w:rFonts w:ascii="BNPP Sans Light" w:eastAsia="Times New Roman" w:hAnsi="BNPP Sans Light" w:cs="Arial"/>
          <w:color w:val="000000"/>
          <w:szCs w:val="24"/>
          <w:lang w:eastAsia="fr-BE"/>
        </w:rPr>
        <w:t xml:space="preserve">à tempérament </w:t>
      </w:r>
      <w:r w:rsidRPr="00F75110">
        <w:rPr>
          <w:rFonts w:ascii="BNPP Sans Light" w:eastAsia="Times New Roman" w:hAnsi="BNPP Sans Light" w:cs="Arial"/>
          <w:color w:val="000000"/>
          <w:szCs w:val="24"/>
          <w:lang w:eastAsia="fr-BE"/>
        </w:rPr>
        <w:t xml:space="preserve">écomobilité de BNP Paribas Fortis et de </w:t>
      </w:r>
      <w:proofErr w:type="spellStart"/>
      <w:r w:rsidRPr="00F75110">
        <w:rPr>
          <w:rFonts w:ascii="BNPP Sans Light" w:eastAsia="Times New Roman" w:hAnsi="BNPP Sans Light" w:cs="Arial"/>
          <w:color w:val="000000"/>
          <w:szCs w:val="24"/>
          <w:lang w:eastAsia="fr-BE"/>
        </w:rPr>
        <w:t>Fintro</w:t>
      </w:r>
      <w:proofErr w:type="spellEnd"/>
      <w:r w:rsidRPr="00F75110">
        <w:rPr>
          <w:rFonts w:ascii="BNPP Sans Light" w:eastAsia="Times New Roman" w:hAnsi="BNPP Sans Light" w:cs="Arial"/>
          <w:color w:val="000000"/>
          <w:szCs w:val="24"/>
          <w:lang w:eastAsia="fr-BE"/>
        </w:rPr>
        <w:t xml:space="preserve"> affiche un taux à partir de 0,60% </w:t>
      </w:r>
      <w:r w:rsidR="000A5F4F" w:rsidRPr="000A5F4F">
        <w:rPr>
          <w:rFonts w:ascii="BNPP Sans Light" w:eastAsia="Times New Roman" w:hAnsi="BNPP Sans Light" w:cs="Arial"/>
          <w:color w:val="000000"/>
          <w:szCs w:val="24"/>
          <w:u w:val="single"/>
          <w:lang w:eastAsia="fr-BE"/>
        </w:rPr>
        <w:t>(lire les exemples représentatifs ci-dessous)</w:t>
      </w:r>
      <w:r w:rsidR="000A5F4F">
        <w:rPr>
          <w:rFonts w:ascii="BNPP Sans Light" w:eastAsia="Times New Roman" w:hAnsi="BNPP Sans Light" w:cs="Arial"/>
          <w:color w:val="000000"/>
          <w:szCs w:val="24"/>
          <w:lang w:eastAsia="fr-BE"/>
        </w:rPr>
        <w:t xml:space="preserve"> </w:t>
      </w:r>
      <w:r w:rsidRPr="00F75110">
        <w:rPr>
          <w:rFonts w:ascii="BNPP Sans Light" w:eastAsia="Times New Roman" w:hAnsi="BNPP Sans Light" w:cs="Arial"/>
          <w:color w:val="000000"/>
          <w:szCs w:val="24"/>
          <w:lang w:eastAsia="fr-BE"/>
        </w:rPr>
        <w:t>pour tout achat par un particulier d’un véhicule neuf écologique</w:t>
      </w:r>
      <w:r w:rsidR="00CF77FE">
        <w:rPr>
          <w:rStyle w:val="FootnoteReference"/>
          <w:rFonts w:ascii="BNPP Sans Light" w:eastAsia="Times New Roman" w:hAnsi="BNPP Sans Light" w:cs="Arial"/>
          <w:color w:val="000000"/>
          <w:szCs w:val="24"/>
          <w:lang w:eastAsia="fr-BE"/>
        </w:rPr>
        <w:footnoteReference w:id="1"/>
      </w:r>
      <w:r w:rsidRPr="00F75110">
        <w:rPr>
          <w:rFonts w:ascii="BNPP Sans Light" w:eastAsia="Times New Roman" w:hAnsi="BNPP Sans Light" w:cs="Arial"/>
          <w:color w:val="000000"/>
          <w:szCs w:val="24"/>
          <w:lang w:eastAsia="fr-BE"/>
        </w:rPr>
        <w:t xml:space="preserve">. </w:t>
      </w:r>
      <w:r w:rsidR="004847F6" w:rsidRPr="004847F6">
        <w:rPr>
          <w:rFonts w:ascii="BNPP Sans Light" w:eastAsia="Times New Roman" w:hAnsi="BNPP Sans Light" w:cs="Arial"/>
          <w:color w:val="000000"/>
          <w:szCs w:val="24"/>
          <w:lang w:eastAsia="fr-BE"/>
        </w:rPr>
        <w:t>Un taux aussi bien valable en agences que via l’</w:t>
      </w:r>
      <w:proofErr w:type="spellStart"/>
      <w:r w:rsidR="004847F6" w:rsidRPr="004847F6">
        <w:rPr>
          <w:rFonts w:ascii="BNPP Sans Light" w:eastAsia="Times New Roman" w:hAnsi="BNPP Sans Light" w:cs="Arial"/>
          <w:color w:val="000000"/>
          <w:szCs w:val="24"/>
          <w:lang w:eastAsia="fr-BE"/>
        </w:rPr>
        <w:t>Easy</w:t>
      </w:r>
      <w:proofErr w:type="spellEnd"/>
      <w:r w:rsidR="004847F6" w:rsidRPr="004847F6">
        <w:rPr>
          <w:rFonts w:ascii="BNPP Sans Light" w:eastAsia="Times New Roman" w:hAnsi="BNPP Sans Light" w:cs="Arial"/>
          <w:color w:val="000000"/>
          <w:szCs w:val="24"/>
          <w:lang w:eastAsia="fr-BE"/>
        </w:rPr>
        <w:t xml:space="preserve"> Banking Centr</w:t>
      </w:r>
      <w:r w:rsidR="00980410">
        <w:rPr>
          <w:rFonts w:ascii="BNPP Sans Light" w:eastAsia="Times New Roman" w:hAnsi="BNPP Sans Light" w:cs="Arial"/>
          <w:color w:val="000000"/>
          <w:szCs w:val="24"/>
          <w:lang w:eastAsia="fr-BE"/>
        </w:rPr>
        <w:t>e</w:t>
      </w:r>
      <w:r w:rsidR="004847F6" w:rsidRPr="004847F6">
        <w:rPr>
          <w:rFonts w:ascii="BNPP Sans Light" w:eastAsia="Times New Roman" w:hAnsi="BNPP Sans Light" w:cs="Arial"/>
          <w:color w:val="000000"/>
          <w:szCs w:val="24"/>
          <w:lang w:eastAsia="fr-BE"/>
        </w:rPr>
        <w:t>, l’</w:t>
      </w:r>
      <w:proofErr w:type="spellStart"/>
      <w:r w:rsidR="004847F6" w:rsidRPr="004847F6">
        <w:rPr>
          <w:rFonts w:ascii="BNPP Sans Light" w:eastAsia="Times New Roman" w:hAnsi="BNPP Sans Light" w:cs="Arial"/>
          <w:color w:val="000000"/>
          <w:szCs w:val="24"/>
          <w:lang w:eastAsia="fr-BE"/>
        </w:rPr>
        <w:t>Easy</w:t>
      </w:r>
      <w:proofErr w:type="spellEnd"/>
      <w:r w:rsidR="004847F6" w:rsidRPr="004847F6">
        <w:rPr>
          <w:rFonts w:ascii="BNPP Sans Light" w:eastAsia="Times New Roman" w:hAnsi="BNPP Sans Light" w:cs="Arial"/>
          <w:color w:val="000000"/>
          <w:szCs w:val="24"/>
          <w:lang w:eastAsia="fr-BE"/>
        </w:rPr>
        <w:t xml:space="preserve"> Banking Web et l’</w:t>
      </w:r>
      <w:proofErr w:type="spellStart"/>
      <w:r w:rsidR="004847F6" w:rsidRPr="004847F6">
        <w:rPr>
          <w:rFonts w:ascii="BNPP Sans Light" w:eastAsia="Times New Roman" w:hAnsi="BNPP Sans Light" w:cs="Arial"/>
          <w:color w:val="000000"/>
          <w:szCs w:val="24"/>
          <w:lang w:eastAsia="fr-BE"/>
        </w:rPr>
        <w:t>Easy</w:t>
      </w:r>
      <w:proofErr w:type="spellEnd"/>
      <w:r w:rsidR="004847F6" w:rsidRPr="004847F6">
        <w:rPr>
          <w:rFonts w:ascii="BNPP Sans Light" w:eastAsia="Times New Roman" w:hAnsi="BNPP Sans Light" w:cs="Arial"/>
          <w:color w:val="000000"/>
          <w:szCs w:val="24"/>
          <w:lang w:eastAsia="fr-BE"/>
        </w:rPr>
        <w:t xml:space="preserve"> Banking App.</w:t>
      </w:r>
    </w:p>
    <w:p w14:paraId="7B84A0CE" w14:textId="5C7ECEFD" w:rsidR="00EE59DF" w:rsidRDefault="00EE59DF" w:rsidP="00EE59DF">
      <w:pPr>
        <w:spacing w:after="270" w:line="240" w:lineRule="auto"/>
        <w:rPr>
          <w:rFonts w:ascii="BNPP Sans Light" w:eastAsia="Times New Roman" w:hAnsi="BNPP Sans Light" w:cs="Arial"/>
          <w:color w:val="000000"/>
          <w:szCs w:val="24"/>
          <w:lang w:eastAsia="fr-BE"/>
        </w:rPr>
      </w:pPr>
      <w:r w:rsidRPr="00F75110">
        <w:rPr>
          <w:rFonts w:ascii="BNPP Sans Light" w:eastAsia="Times New Roman" w:hAnsi="BNPP Sans Light" w:cs="Arial"/>
          <w:color w:val="000000"/>
          <w:szCs w:val="24"/>
          <w:lang w:eastAsia="fr-BE"/>
        </w:rPr>
        <w:lastRenderedPageBreak/>
        <w:t>Pour les voitures neuves ne figurant pas dans cette catégorie</w:t>
      </w:r>
      <w:r>
        <w:rPr>
          <w:rFonts w:ascii="BNPP Sans Light" w:eastAsia="Times New Roman" w:hAnsi="BNPP Sans Light" w:cs="Arial"/>
          <w:color w:val="000000"/>
          <w:szCs w:val="24"/>
          <w:lang w:eastAsia="fr-BE"/>
        </w:rPr>
        <w:t xml:space="preserve"> ainsi que pour les</w:t>
      </w:r>
      <w:r w:rsidRPr="00EB0A7F">
        <w:rPr>
          <w:rFonts w:ascii="BNPP Sans Light" w:eastAsia="Times New Roman" w:hAnsi="BNPP Sans Light" w:cs="Arial"/>
          <w:color w:val="000000"/>
          <w:szCs w:val="24"/>
          <w:lang w:eastAsia="fr-BE"/>
        </w:rPr>
        <w:t xml:space="preserve"> occasions </w:t>
      </w:r>
      <w:r w:rsidR="00980410">
        <w:rPr>
          <w:rFonts w:ascii="BNPP Sans Light" w:eastAsia="Times New Roman" w:hAnsi="BNPP Sans Light" w:cs="Arial"/>
          <w:color w:val="000000"/>
          <w:szCs w:val="24"/>
          <w:lang w:eastAsia="fr-BE"/>
        </w:rPr>
        <w:t xml:space="preserve">récentes </w:t>
      </w:r>
      <w:r w:rsidRPr="00EB0A7F">
        <w:rPr>
          <w:rFonts w:ascii="BNPP Sans Light" w:eastAsia="Times New Roman" w:hAnsi="BNPP Sans Light" w:cs="Arial"/>
          <w:color w:val="000000"/>
          <w:szCs w:val="24"/>
          <w:lang w:eastAsia="fr-BE"/>
        </w:rPr>
        <w:t>(&lt; 3 ans)</w:t>
      </w:r>
      <w:r w:rsidRPr="00F75110">
        <w:rPr>
          <w:rFonts w:ascii="BNPP Sans Light" w:eastAsia="Times New Roman" w:hAnsi="BNPP Sans Light" w:cs="Arial"/>
          <w:color w:val="000000"/>
          <w:szCs w:val="24"/>
          <w:lang w:eastAsia="fr-BE"/>
        </w:rPr>
        <w:t>, le taux est de 0,90%</w:t>
      </w:r>
      <w:r>
        <w:rPr>
          <w:rFonts w:ascii="BNPP Sans Light" w:eastAsia="Times New Roman" w:hAnsi="BNPP Sans Light" w:cs="Arial"/>
          <w:color w:val="000000"/>
          <w:szCs w:val="24"/>
          <w:lang w:eastAsia="fr-BE"/>
        </w:rPr>
        <w:t>*</w:t>
      </w:r>
      <w:r w:rsidR="000A5F4F">
        <w:rPr>
          <w:rFonts w:ascii="BNPP Sans Light" w:eastAsia="Times New Roman" w:hAnsi="BNPP Sans Light" w:cs="Arial"/>
          <w:color w:val="000000"/>
          <w:szCs w:val="24"/>
          <w:lang w:eastAsia="fr-BE"/>
        </w:rPr>
        <w:t xml:space="preserve"> </w:t>
      </w:r>
      <w:r w:rsidR="000A5F4F" w:rsidRPr="000A5F4F">
        <w:rPr>
          <w:rFonts w:ascii="BNPP Sans Light" w:eastAsia="Times New Roman" w:hAnsi="BNPP Sans Light" w:cs="Arial"/>
          <w:color w:val="000000"/>
          <w:szCs w:val="24"/>
          <w:u w:val="single"/>
          <w:lang w:eastAsia="fr-BE"/>
        </w:rPr>
        <w:t>(lire les exemples représentatifs ci-dessous)</w:t>
      </w:r>
      <w:r w:rsidRPr="00F75110">
        <w:rPr>
          <w:rFonts w:ascii="BNPP Sans Light" w:eastAsia="Times New Roman" w:hAnsi="BNPP Sans Light" w:cs="Arial"/>
          <w:color w:val="000000"/>
          <w:szCs w:val="24"/>
          <w:lang w:eastAsia="fr-BE"/>
        </w:rPr>
        <w:t>.</w:t>
      </w:r>
      <w:r>
        <w:rPr>
          <w:rFonts w:ascii="BNPP Sans Light" w:eastAsia="Times New Roman" w:hAnsi="BNPP Sans Light" w:cs="Arial"/>
          <w:color w:val="000000"/>
          <w:szCs w:val="24"/>
          <w:lang w:eastAsia="fr-BE"/>
        </w:rPr>
        <w:t xml:space="preserve"> </w:t>
      </w:r>
      <w:r w:rsidR="00980410">
        <w:rPr>
          <w:rFonts w:ascii="BNPP Sans Light" w:eastAsia="Times New Roman" w:hAnsi="BNPP Sans Light" w:cs="Arial"/>
          <w:color w:val="000000"/>
          <w:szCs w:val="24"/>
          <w:lang w:eastAsia="fr-BE"/>
        </w:rPr>
        <w:t>Ainsi</w:t>
      </w:r>
      <w:r>
        <w:rPr>
          <w:rFonts w:ascii="BNPP Sans Light" w:eastAsia="Times New Roman" w:hAnsi="BNPP Sans Light" w:cs="Arial"/>
          <w:color w:val="000000"/>
          <w:szCs w:val="24"/>
          <w:lang w:eastAsia="fr-BE"/>
        </w:rPr>
        <w:t xml:space="preserve">, BNP Paribas Fortis se positionne plus que jamais comme un </w:t>
      </w:r>
      <w:r w:rsidRPr="004F03CA">
        <w:rPr>
          <w:rFonts w:ascii="BNPP Sans Light" w:eastAsia="Times New Roman" w:hAnsi="BNPP Sans Light" w:cs="Arial"/>
          <w:color w:val="000000"/>
          <w:szCs w:val="24"/>
          <w:lang w:eastAsia="fr-BE"/>
        </w:rPr>
        <w:t>partenaire financier</w:t>
      </w:r>
      <w:r>
        <w:rPr>
          <w:rFonts w:ascii="BNPP Sans Light" w:eastAsia="Times New Roman" w:hAnsi="BNPP Sans Light" w:cs="Arial"/>
          <w:color w:val="000000"/>
          <w:szCs w:val="24"/>
          <w:lang w:eastAsia="fr-BE"/>
        </w:rPr>
        <w:t xml:space="preserve"> </w:t>
      </w:r>
      <w:r w:rsidR="00980410">
        <w:rPr>
          <w:rFonts w:ascii="BNPP Sans Light" w:eastAsia="Times New Roman" w:hAnsi="BNPP Sans Light" w:cs="Arial"/>
          <w:color w:val="000000"/>
          <w:szCs w:val="24"/>
          <w:lang w:eastAsia="fr-BE"/>
        </w:rPr>
        <w:t xml:space="preserve">de confiance </w:t>
      </w:r>
      <w:r>
        <w:rPr>
          <w:rFonts w:ascii="BNPP Sans Light" w:eastAsia="Times New Roman" w:hAnsi="BNPP Sans Light" w:cs="Arial"/>
          <w:color w:val="000000"/>
          <w:szCs w:val="24"/>
          <w:lang w:eastAsia="fr-BE"/>
        </w:rPr>
        <w:t xml:space="preserve">et </w:t>
      </w:r>
      <w:r w:rsidRPr="004F03CA">
        <w:rPr>
          <w:rFonts w:ascii="BNPP Sans Light" w:eastAsia="Times New Roman" w:hAnsi="BNPP Sans Light" w:cs="Arial"/>
          <w:color w:val="000000"/>
          <w:szCs w:val="24"/>
          <w:lang w:eastAsia="fr-BE"/>
        </w:rPr>
        <w:t>un partenaire en matière de mobilité</w:t>
      </w:r>
      <w:r>
        <w:rPr>
          <w:rFonts w:ascii="BNPP Sans Light" w:eastAsia="Times New Roman" w:hAnsi="BNPP Sans Light" w:cs="Arial"/>
          <w:color w:val="000000"/>
          <w:szCs w:val="24"/>
          <w:lang w:eastAsia="fr-BE"/>
        </w:rPr>
        <w:t>.</w:t>
      </w:r>
    </w:p>
    <w:p w14:paraId="7021C8EA" w14:textId="16F3F9AF" w:rsidR="00EE59DF" w:rsidRDefault="00EE59DF" w:rsidP="00EE59DF">
      <w:pPr>
        <w:spacing w:after="270" w:line="240" w:lineRule="auto"/>
        <w:rPr>
          <w:rFonts w:ascii="BNPP Sans Light" w:eastAsia="Times New Roman" w:hAnsi="BNPP Sans Light" w:cs="Arial"/>
          <w:color w:val="000000"/>
          <w:szCs w:val="24"/>
          <w:lang w:eastAsia="fr-BE"/>
        </w:rPr>
      </w:pPr>
      <w:r w:rsidRPr="00F75110">
        <w:rPr>
          <w:rFonts w:ascii="BNPP Sans Light" w:eastAsia="Times New Roman" w:hAnsi="BNPP Sans Light" w:cs="Arial"/>
          <w:color w:val="000000"/>
          <w:szCs w:val="24"/>
          <w:lang w:eastAsia="fr-BE"/>
        </w:rPr>
        <w:t xml:space="preserve">Et </w:t>
      </w:r>
      <w:r w:rsidR="0032516B">
        <w:rPr>
          <w:rFonts w:ascii="BNPP Sans Light" w:eastAsia="Times New Roman" w:hAnsi="BNPP Sans Light" w:cs="Arial"/>
          <w:color w:val="000000"/>
          <w:szCs w:val="24"/>
          <w:lang w:eastAsia="fr-BE"/>
        </w:rPr>
        <w:t>puisque</w:t>
      </w:r>
      <w:r w:rsidRPr="00F75110">
        <w:rPr>
          <w:rFonts w:ascii="BNPP Sans Light" w:eastAsia="Times New Roman" w:hAnsi="BNPP Sans Light" w:cs="Arial"/>
          <w:color w:val="000000"/>
          <w:szCs w:val="24"/>
          <w:lang w:eastAsia="fr-BE"/>
        </w:rPr>
        <w:t xml:space="preserve"> la mobilité évolue vers une mobilité douce, BNP Paribas Fortis propose aussi un taux d’emprunt </w:t>
      </w:r>
      <w:r w:rsidRPr="00D35853">
        <w:rPr>
          <w:rFonts w:ascii="BNPP Sans Light" w:eastAsia="Times New Roman" w:hAnsi="BNPP Sans Light" w:cs="Arial"/>
          <w:color w:val="000000"/>
          <w:szCs w:val="24"/>
          <w:lang w:eastAsia="fr-BE"/>
        </w:rPr>
        <w:t>de 0,60% pour</w:t>
      </w:r>
      <w:r>
        <w:rPr>
          <w:rFonts w:ascii="BNPP Sans Light" w:eastAsia="Times New Roman" w:hAnsi="BNPP Sans Light" w:cs="Arial"/>
          <w:color w:val="000000"/>
          <w:szCs w:val="24"/>
          <w:lang w:eastAsia="fr-BE"/>
        </w:rPr>
        <w:t xml:space="preserve"> </w:t>
      </w:r>
      <w:r w:rsidRPr="00F75110">
        <w:rPr>
          <w:rFonts w:ascii="BNPP Sans Light" w:eastAsia="Times New Roman" w:hAnsi="BNPP Sans Light" w:cs="Arial"/>
          <w:color w:val="000000"/>
          <w:szCs w:val="24"/>
          <w:lang w:eastAsia="fr-BE"/>
        </w:rPr>
        <w:t xml:space="preserve">l’acquisition </w:t>
      </w:r>
      <w:r w:rsidRPr="00D35853">
        <w:rPr>
          <w:rFonts w:ascii="BNPP Sans Light" w:eastAsia="Times New Roman" w:hAnsi="BNPP Sans Light" w:cs="Arial"/>
          <w:color w:val="000000"/>
          <w:szCs w:val="24"/>
          <w:lang w:eastAsia="fr-BE"/>
        </w:rPr>
        <w:t xml:space="preserve">de </w:t>
      </w:r>
      <w:r>
        <w:rPr>
          <w:rFonts w:ascii="BNPP Sans Light" w:eastAsia="Times New Roman" w:hAnsi="BNPP Sans Light" w:cs="Arial"/>
          <w:color w:val="000000"/>
          <w:szCs w:val="24"/>
          <w:lang w:eastAsia="fr-BE"/>
        </w:rPr>
        <w:t xml:space="preserve">tout engin de </w:t>
      </w:r>
      <w:r w:rsidRPr="00D35853">
        <w:rPr>
          <w:rFonts w:ascii="BNPP Sans Light" w:eastAsia="Times New Roman" w:hAnsi="BNPP Sans Light" w:cs="Arial"/>
          <w:color w:val="000000"/>
          <w:szCs w:val="24"/>
          <w:lang w:eastAsia="fr-BE"/>
        </w:rPr>
        <w:t>transport considérés comme « propre »</w:t>
      </w:r>
      <w:r>
        <w:rPr>
          <w:rFonts w:ascii="BNPP Sans Light" w:eastAsia="Times New Roman" w:hAnsi="BNPP Sans Light" w:cs="Arial"/>
          <w:color w:val="000000"/>
          <w:szCs w:val="24"/>
          <w:lang w:eastAsia="fr-BE"/>
        </w:rPr>
        <w:t xml:space="preserve"> </w:t>
      </w:r>
      <w:r w:rsidR="0032516B">
        <w:rPr>
          <w:rFonts w:ascii="BNPP Sans Light" w:eastAsia="Times New Roman" w:hAnsi="BNPP Sans Light" w:cs="Arial"/>
          <w:color w:val="000000"/>
          <w:szCs w:val="24"/>
          <w:lang w:eastAsia="fr-BE"/>
        </w:rPr>
        <w:t>(</w:t>
      </w:r>
      <w:r>
        <w:rPr>
          <w:rFonts w:ascii="BNPP Sans Light" w:eastAsia="Times New Roman" w:hAnsi="BNPP Sans Light" w:cs="Arial"/>
          <w:color w:val="000000"/>
          <w:szCs w:val="24"/>
          <w:lang w:eastAsia="fr-BE"/>
        </w:rPr>
        <w:t>v</w:t>
      </w:r>
      <w:r w:rsidRPr="00D35853">
        <w:rPr>
          <w:rFonts w:ascii="BNPP Sans Light" w:eastAsia="Times New Roman" w:hAnsi="BNPP Sans Light" w:cs="Arial"/>
          <w:color w:val="000000"/>
          <w:szCs w:val="24"/>
          <w:lang w:eastAsia="fr-BE"/>
        </w:rPr>
        <w:t>élos et trottinettes électriques, hoverboard, gyropode, mono-roue…</w:t>
      </w:r>
      <w:r w:rsidR="0032516B">
        <w:rPr>
          <w:rFonts w:ascii="BNPP Sans Light" w:eastAsia="Times New Roman" w:hAnsi="BNPP Sans Light" w:cs="Arial"/>
          <w:color w:val="000000"/>
          <w:szCs w:val="24"/>
          <w:lang w:eastAsia="fr-BE"/>
        </w:rPr>
        <w:t>).</w:t>
      </w:r>
      <w:r>
        <w:rPr>
          <w:rFonts w:ascii="BNPP Sans Light" w:eastAsia="Times New Roman" w:hAnsi="BNPP Sans Light" w:cs="Arial"/>
          <w:color w:val="000000"/>
          <w:szCs w:val="24"/>
          <w:lang w:eastAsia="fr-BE"/>
        </w:rPr>
        <w:t xml:space="preserve"> </w:t>
      </w:r>
      <w:r w:rsidR="0032516B">
        <w:rPr>
          <w:rFonts w:ascii="BNPP Sans Light" w:eastAsia="Times New Roman" w:hAnsi="BNPP Sans Light" w:cs="Arial"/>
          <w:color w:val="000000"/>
          <w:szCs w:val="24"/>
          <w:lang w:eastAsia="fr-BE"/>
        </w:rPr>
        <w:t>C</w:t>
      </w:r>
      <w:r w:rsidRPr="00F75110">
        <w:rPr>
          <w:rFonts w:ascii="BNPP Sans Light" w:eastAsia="Times New Roman" w:hAnsi="BNPP Sans Light" w:cs="Arial"/>
          <w:color w:val="000000"/>
          <w:szCs w:val="24"/>
          <w:lang w:eastAsia="fr-BE"/>
        </w:rPr>
        <w:t xml:space="preserve">e </w:t>
      </w:r>
      <w:r w:rsidR="00980410">
        <w:rPr>
          <w:rFonts w:ascii="BNPP Sans Light" w:eastAsia="Times New Roman" w:hAnsi="BNPP Sans Light" w:cs="Arial"/>
          <w:color w:val="000000"/>
          <w:szCs w:val="24"/>
          <w:lang w:eastAsia="fr-BE"/>
        </w:rPr>
        <w:t>prêt</w:t>
      </w:r>
      <w:r>
        <w:rPr>
          <w:rFonts w:ascii="BNPP Sans Light" w:eastAsia="Times New Roman" w:hAnsi="BNPP Sans Light" w:cs="Arial"/>
          <w:color w:val="000000"/>
          <w:szCs w:val="24"/>
          <w:lang w:eastAsia="fr-BE"/>
        </w:rPr>
        <w:t xml:space="preserve"> </w:t>
      </w:r>
      <w:r w:rsidR="000A5F4F">
        <w:rPr>
          <w:rFonts w:ascii="BNPP Sans Light" w:eastAsia="Times New Roman" w:hAnsi="BNPP Sans Light" w:cs="Arial"/>
          <w:color w:val="000000"/>
          <w:szCs w:val="24"/>
          <w:lang w:eastAsia="fr-BE"/>
        </w:rPr>
        <w:t xml:space="preserve">à tempérament </w:t>
      </w:r>
      <w:r>
        <w:rPr>
          <w:rFonts w:ascii="BNPP Sans Light" w:eastAsia="Times New Roman" w:hAnsi="BNPP Sans Light" w:cs="Arial"/>
          <w:color w:val="000000"/>
          <w:szCs w:val="24"/>
          <w:lang w:eastAsia="fr-BE"/>
        </w:rPr>
        <w:t>«</w:t>
      </w:r>
      <w:r>
        <w:rPr>
          <w:rFonts w:ascii="Calibri" w:eastAsia="Times New Roman" w:hAnsi="Calibri" w:cs="Calibri"/>
          <w:color w:val="000000"/>
          <w:szCs w:val="24"/>
          <w:lang w:eastAsia="fr-BE"/>
        </w:rPr>
        <w:t> </w:t>
      </w:r>
      <w:r>
        <w:rPr>
          <w:rFonts w:ascii="BNPP Sans Light" w:eastAsia="Times New Roman" w:hAnsi="BNPP Sans Light" w:cs="Arial"/>
          <w:color w:val="000000"/>
          <w:szCs w:val="24"/>
          <w:lang w:eastAsia="fr-BE"/>
        </w:rPr>
        <w:t>mobilité douce</w:t>
      </w:r>
      <w:r>
        <w:rPr>
          <w:rFonts w:ascii="Calibri" w:eastAsia="Times New Roman" w:hAnsi="Calibri" w:cs="Calibri"/>
          <w:color w:val="000000"/>
          <w:szCs w:val="24"/>
          <w:lang w:eastAsia="fr-BE"/>
        </w:rPr>
        <w:t> </w:t>
      </w:r>
      <w:r>
        <w:rPr>
          <w:rFonts w:ascii="BNPP Sans Light" w:eastAsia="Times New Roman" w:hAnsi="BNPP Sans Light" w:cs="BNPP Sans Light"/>
          <w:color w:val="000000"/>
          <w:szCs w:val="24"/>
          <w:lang w:eastAsia="fr-BE"/>
        </w:rPr>
        <w:t>»</w:t>
      </w:r>
      <w:r w:rsidR="0032516B">
        <w:rPr>
          <w:rFonts w:ascii="BNPP Sans Light" w:eastAsia="Times New Roman" w:hAnsi="BNPP Sans Light" w:cs="BNPP Sans Light"/>
          <w:color w:val="000000"/>
          <w:szCs w:val="24"/>
          <w:lang w:eastAsia="fr-BE"/>
        </w:rPr>
        <w:t xml:space="preserve"> permet </w:t>
      </w:r>
      <w:r w:rsidRPr="00F75110">
        <w:rPr>
          <w:rFonts w:ascii="BNPP Sans Light" w:eastAsia="Times New Roman" w:hAnsi="BNPP Sans Light" w:cs="Arial"/>
          <w:color w:val="000000"/>
          <w:szCs w:val="24"/>
          <w:lang w:eastAsia="fr-BE"/>
        </w:rPr>
        <w:t xml:space="preserve">d’emprunter </w:t>
      </w:r>
      <w:r w:rsidRPr="006404BB">
        <w:rPr>
          <w:rFonts w:ascii="BNPP Sans Light" w:eastAsia="Times New Roman" w:hAnsi="BNPP Sans Light" w:cs="Arial"/>
          <w:color w:val="000000"/>
          <w:szCs w:val="24"/>
          <w:lang w:eastAsia="fr-BE"/>
        </w:rPr>
        <w:t>au minimum 500 euros et jusqu’à 110% du prix total</w:t>
      </w:r>
      <w:r w:rsidRPr="00F75110">
        <w:rPr>
          <w:rFonts w:ascii="BNPP Sans Light" w:eastAsia="Times New Roman" w:hAnsi="BNPP Sans Light" w:cs="Arial"/>
          <w:color w:val="000000"/>
          <w:szCs w:val="24"/>
          <w:lang w:eastAsia="fr-BE"/>
        </w:rPr>
        <w:t xml:space="preserve"> d</w:t>
      </w:r>
      <w:r>
        <w:rPr>
          <w:rFonts w:ascii="BNPP Sans Light" w:eastAsia="Times New Roman" w:hAnsi="BNPP Sans Light" w:cs="Arial"/>
          <w:color w:val="000000"/>
          <w:szCs w:val="24"/>
          <w:lang w:eastAsia="fr-BE"/>
        </w:rPr>
        <w:t xml:space="preserve">u moyen de transport propre </w:t>
      </w:r>
      <w:r w:rsidRPr="00F75110">
        <w:rPr>
          <w:rFonts w:ascii="BNPP Sans Light" w:eastAsia="Times New Roman" w:hAnsi="BNPP Sans Light" w:cs="Arial"/>
          <w:color w:val="000000"/>
          <w:szCs w:val="24"/>
          <w:lang w:eastAsia="fr-BE"/>
        </w:rPr>
        <w:t>(TVA incluse), selon le besoin du client</w:t>
      </w:r>
      <w:r w:rsidR="00980410">
        <w:rPr>
          <w:rFonts w:ascii="BNPP Sans Light" w:eastAsia="Times New Roman" w:hAnsi="BNPP Sans Light" w:cs="Arial"/>
          <w:color w:val="000000"/>
          <w:szCs w:val="24"/>
          <w:lang w:eastAsia="fr-BE"/>
        </w:rPr>
        <w:t xml:space="preserve"> ou de la cliente</w:t>
      </w:r>
      <w:r w:rsidRPr="00F75110">
        <w:rPr>
          <w:rFonts w:ascii="BNPP Sans Light" w:eastAsia="Times New Roman" w:hAnsi="BNPP Sans Light" w:cs="Arial"/>
          <w:color w:val="000000"/>
          <w:szCs w:val="24"/>
          <w:lang w:eastAsia="fr-BE"/>
        </w:rPr>
        <w:t>.</w:t>
      </w:r>
    </w:p>
    <w:p w14:paraId="393F2B59" w14:textId="63D52896" w:rsidR="0032516B" w:rsidRDefault="00EE59DF" w:rsidP="0032516B">
      <w:pPr>
        <w:spacing w:after="270" w:line="240" w:lineRule="auto"/>
        <w:rPr>
          <w:rFonts w:ascii="BNPP Sans Light" w:eastAsia="Times New Roman" w:hAnsi="BNPP Sans Light" w:cs="Arial"/>
          <w:color w:val="000000"/>
          <w:szCs w:val="24"/>
          <w:lang w:eastAsia="fr-BE"/>
        </w:rPr>
      </w:pPr>
      <w:r>
        <w:rPr>
          <w:rFonts w:ascii="BNPP Sans Light" w:eastAsia="Times New Roman" w:hAnsi="BNPP Sans Light" w:cs="Arial"/>
          <w:color w:val="000000"/>
          <w:szCs w:val="24"/>
          <w:lang w:eastAsia="fr-BE"/>
        </w:rPr>
        <w:t xml:space="preserve">Enfin, rappelons que dans </w:t>
      </w:r>
      <w:r w:rsidR="0032516B">
        <w:rPr>
          <w:rFonts w:ascii="BNPP Sans Light" w:eastAsia="Times New Roman" w:hAnsi="BNPP Sans Light" w:cs="Arial"/>
          <w:color w:val="000000"/>
          <w:szCs w:val="24"/>
          <w:lang w:eastAsia="fr-BE"/>
        </w:rPr>
        <w:t xml:space="preserve">le cadre </w:t>
      </w:r>
      <w:r>
        <w:rPr>
          <w:rFonts w:ascii="BNPP Sans Light" w:eastAsia="Times New Roman" w:hAnsi="BNPP Sans Light" w:cs="Arial"/>
          <w:color w:val="000000"/>
          <w:szCs w:val="24"/>
          <w:lang w:eastAsia="fr-BE"/>
        </w:rPr>
        <w:t>d</w:t>
      </w:r>
      <w:r w:rsidR="00980410">
        <w:rPr>
          <w:rFonts w:ascii="BNPP Sans Light" w:eastAsia="Times New Roman" w:hAnsi="BNPP Sans Light" w:cs="Arial"/>
          <w:color w:val="000000"/>
          <w:szCs w:val="24"/>
          <w:lang w:eastAsia="fr-BE"/>
        </w:rPr>
        <w:t>e l’</w:t>
      </w:r>
      <w:r w:rsidRPr="00EE59DF">
        <w:rPr>
          <w:rFonts w:ascii="BNPP Sans Light" w:eastAsia="Times New Roman" w:hAnsi="BNPP Sans Light" w:cs="Arial"/>
          <w:color w:val="000000"/>
          <w:szCs w:val="24"/>
          <w:lang w:eastAsia="fr-BE"/>
        </w:rPr>
        <w:t>approche globale</w:t>
      </w:r>
      <w:r w:rsidR="0032516B">
        <w:rPr>
          <w:rFonts w:ascii="BNPP Sans Light" w:eastAsia="Times New Roman" w:hAnsi="BNPP Sans Light" w:cs="Arial"/>
          <w:color w:val="000000"/>
          <w:szCs w:val="24"/>
          <w:lang w:eastAsia="fr-BE"/>
        </w:rPr>
        <w:t xml:space="preserve"> de BNP Paribas Fortis</w:t>
      </w:r>
      <w:r>
        <w:rPr>
          <w:rFonts w:ascii="BNPP Sans Light" w:eastAsia="Times New Roman" w:hAnsi="BNPP Sans Light" w:cs="Arial"/>
          <w:color w:val="000000"/>
          <w:szCs w:val="24"/>
          <w:lang w:eastAsia="fr-BE"/>
        </w:rPr>
        <w:t xml:space="preserve">, </w:t>
      </w:r>
      <w:r w:rsidR="0032516B">
        <w:rPr>
          <w:rFonts w:ascii="BNPP Sans Light" w:eastAsia="Times New Roman" w:hAnsi="BNPP Sans Light" w:cs="Arial"/>
          <w:color w:val="000000"/>
          <w:szCs w:val="24"/>
          <w:lang w:eastAsia="fr-BE"/>
        </w:rPr>
        <w:t>chaque</w:t>
      </w:r>
      <w:r>
        <w:rPr>
          <w:rFonts w:ascii="BNPP Sans Light" w:eastAsia="Times New Roman" w:hAnsi="BNPP Sans Light" w:cs="Arial"/>
          <w:color w:val="000000"/>
          <w:szCs w:val="24"/>
          <w:lang w:eastAsia="fr-BE"/>
        </w:rPr>
        <w:t xml:space="preserve"> </w:t>
      </w:r>
      <w:r w:rsidRPr="00EE59DF">
        <w:rPr>
          <w:rFonts w:ascii="BNPP Sans Light" w:eastAsia="Times New Roman" w:hAnsi="BNPP Sans Light" w:cs="Arial"/>
          <w:color w:val="000000"/>
          <w:szCs w:val="24"/>
          <w:lang w:eastAsia="fr-BE"/>
        </w:rPr>
        <w:t>projet de mobilité</w:t>
      </w:r>
      <w:r>
        <w:rPr>
          <w:rFonts w:ascii="BNPP Sans Light" w:eastAsia="Times New Roman" w:hAnsi="BNPP Sans Light" w:cs="Arial"/>
          <w:color w:val="000000"/>
          <w:szCs w:val="24"/>
          <w:lang w:eastAsia="fr-BE"/>
        </w:rPr>
        <w:t xml:space="preserve"> </w:t>
      </w:r>
      <w:r w:rsidR="00980410">
        <w:rPr>
          <w:rFonts w:ascii="BNPP Sans Light" w:eastAsia="Times New Roman" w:hAnsi="BNPP Sans Light" w:cs="Arial"/>
          <w:color w:val="000000"/>
          <w:szCs w:val="24"/>
          <w:lang w:eastAsia="fr-BE"/>
        </w:rPr>
        <w:t>implique</w:t>
      </w:r>
      <w:r>
        <w:rPr>
          <w:rFonts w:ascii="BNPP Sans Light" w:eastAsia="Times New Roman" w:hAnsi="BNPP Sans Light" w:cs="Arial"/>
          <w:color w:val="000000"/>
          <w:szCs w:val="24"/>
          <w:lang w:eastAsia="fr-BE"/>
        </w:rPr>
        <w:t xml:space="preserve"> </w:t>
      </w:r>
      <w:r w:rsidRPr="00EE59DF">
        <w:rPr>
          <w:rFonts w:ascii="BNPP Sans Light" w:eastAsia="Times New Roman" w:hAnsi="BNPP Sans Light" w:cs="Arial"/>
          <w:color w:val="000000"/>
          <w:szCs w:val="24"/>
          <w:lang w:eastAsia="fr-BE"/>
        </w:rPr>
        <w:t xml:space="preserve">une protection optimale pour </w:t>
      </w:r>
      <w:r>
        <w:rPr>
          <w:rFonts w:ascii="BNPP Sans Light" w:eastAsia="Times New Roman" w:hAnsi="BNPP Sans Light" w:cs="Arial"/>
          <w:color w:val="000000"/>
          <w:szCs w:val="24"/>
          <w:lang w:eastAsia="fr-BE"/>
        </w:rPr>
        <w:t>le client</w:t>
      </w:r>
      <w:r w:rsidR="00980410">
        <w:rPr>
          <w:rFonts w:ascii="BNPP Sans Light" w:eastAsia="Times New Roman" w:hAnsi="BNPP Sans Light" w:cs="Arial"/>
          <w:color w:val="000000"/>
          <w:szCs w:val="24"/>
          <w:lang w:eastAsia="fr-BE"/>
        </w:rPr>
        <w:t xml:space="preserve"> ou la cliente</w:t>
      </w:r>
      <w:r w:rsidRPr="00EE59DF">
        <w:rPr>
          <w:rFonts w:ascii="BNPP Sans Light" w:eastAsia="Times New Roman" w:hAnsi="BNPP Sans Light" w:cs="Arial"/>
          <w:color w:val="000000"/>
          <w:szCs w:val="24"/>
          <w:lang w:eastAsia="fr-BE"/>
        </w:rPr>
        <w:t>, ses proches et son véhicule.</w:t>
      </w:r>
      <w:r>
        <w:rPr>
          <w:rFonts w:ascii="BNPP Sans Light" w:eastAsia="Times New Roman" w:hAnsi="BNPP Sans Light" w:cs="Arial"/>
          <w:color w:val="000000"/>
          <w:szCs w:val="24"/>
          <w:lang w:eastAsia="fr-BE"/>
        </w:rPr>
        <w:t xml:space="preserve"> BNP Paribas Fortis propose </w:t>
      </w:r>
      <w:r w:rsidR="0032516B">
        <w:rPr>
          <w:rFonts w:ascii="BNPP Sans Light" w:eastAsia="Times New Roman" w:hAnsi="BNPP Sans Light" w:cs="Arial"/>
          <w:color w:val="000000"/>
          <w:szCs w:val="24"/>
          <w:lang w:eastAsia="fr-BE"/>
        </w:rPr>
        <w:t>en effet</w:t>
      </w:r>
      <w:r>
        <w:rPr>
          <w:rFonts w:ascii="BNPP Sans Light" w:eastAsia="Times New Roman" w:hAnsi="BNPP Sans Light" w:cs="Arial"/>
          <w:color w:val="000000"/>
          <w:szCs w:val="24"/>
          <w:lang w:eastAsia="fr-BE"/>
        </w:rPr>
        <w:t xml:space="preserve"> de souscrire un</w:t>
      </w:r>
      <w:r w:rsidR="00980410">
        <w:rPr>
          <w:rFonts w:ascii="BNPP Sans Light" w:eastAsia="Times New Roman" w:hAnsi="BNPP Sans Light" w:cs="Arial"/>
          <w:color w:val="000000"/>
          <w:szCs w:val="24"/>
          <w:lang w:eastAsia="fr-BE"/>
        </w:rPr>
        <w:t>e</w:t>
      </w:r>
      <w:r>
        <w:rPr>
          <w:rFonts w:ascii="BNPP Sans Light" w:eastAsia="Times New Roman" w:hAnsi="BNPP Sans Light" w:cs="Arial"/>
          <w:color w:val="000000"/>
          <w:szCs w:val="24"/>
          <w:lang w:eastAsia="fr-BE"/>
        </w:rPr>
        <w:t xml:space="preserve"> assurance </w:t>
      </w:r>
      <w:r w:rsidR="00980410">
        <w:rPr>
          <w:rFonts w:ascii="BNPP Sans Light" w:eastAsia="Times New Roman" w:hAnsi="BNPP Sans Light" w:cs="Arial"/>
          <w:color w:val="000000"/>
          <w:szCs w:val="24"/>
          <w:lang w:eastAsia="fr-BE"/>
        </w:rPr>
        <w:t>R</w:t>
      </w:r>
      <w:r>
        <w:rPr>
          <w:rFonts w:ascii="BNPP Sans Light" w:eastAsia="Times New Roman" w:hAnsi="BNPP Sans Light" w:cs="Arial"/>
          <w:color w:val="000000"/>
          <w:szCs w:val="24"/>
          <w:lang w:eastAsia="fr-BE"/>
        </w:rPr>
        <w:t xml:space="preserve">esponsabilité </w:t>
      </w:r>
      <w:r w:rsidR="00980410">
        <w:rPr>
          <w:rFonts w:ascii="BNPP Sans Light" w:eastAsia="Times New Roman" w:hAnsi="BNPP Sans Light" w:cs="Arial"/>
          <w:color w:val="000000"/>
          <w:szCs w:val="24"/>
          <w:lang w:eastAsia="fr-BE"/>
        </w:rPr>
        <w:t>C</w:t>
      </w:r>
      <w:r>
        <w:rPr>
          <w:rFonts w:ascii="BNPP Sans Light" w:eastAsia="Times New Roman" w:hAnsi="BNPP Sans Light" w:cs="Arial"/>
          <w:color w:val="000000"/>
          <w:szCs w:val="24"/>
          <w:lang w:eastAsia="fr-BE"/>
        </w:rPr>
        <w:t>ivile</w:t>
      </w:r>
      <w:r w:rsidRPr="00EE59DF">
        <w:rPr>
          <w:rFonts w:ascii="BNPP Sans Light" w:eastAsia="Times New Roman" w:hAnsi="BNPP Sans Light" w:cs="Arial"/>
          <w:color w:val="000000"/>
          <w:szCs w:val="24"/>
          <w:lang w:eastAsia="fr-BE"/>
        </w:rPr>
        <w:t xml:space="preserve"> Auto, </w:t>
      </w:r>
      <w:r>
        <w:rPr>
          <w:rFonts w:ascii="BNPP Sans Light" w:eastAsia="Times New Roman" w:hAnsi="BNPP Sans Light" w:cs="Arial"/>
          <w:color w:val="000000"/>
          <w:szCs w:val="24"/>
          <w:lang w:eastAsia="fr-BE"/>
        </w:rPr>
        <w:t>u</w:t>
      </w:r>
      <w:r w:rsidRPr="00EE59DF">
        <w:rPr>
          <w:rFonts w:ascii="BNPP Sans Light" w:eastAsia="Times New Roman" w:hAnsi="BNPP Sans Light" w:cs="Arial"/>
          <w:color w:val="000000"/>
          <w:szCs w:val="24"/>
          <w:lang w:eastAsia="fr-BE"/>
        </w:rPr>
        <w:t xml:space="preserve">ne </w:t>
      </w:r>
      <w:r w:rsidR="00980410">
        <w:rPr>
          <w:rFonts w:ascii="BNPP Sans Light" w:eastAsia="Times New Roman" w:hAnsi="BNPP Sans Light" w:cs="Arial"/>
          <w:color w:val="000000"/>
          <w:szCs w:val="24"/>
          <w:lang w:eastAsia="fr-BE"/>
        </w:rPr>
        <w:t>O</w:t>
      </w:r>
      <w:r w:rsidRPr="00EE59DF">
        <w:rPr>
          <w:rFonts w:ascii="BNPP Sans Light" w:eastAsia="Times New Roman" w:hAnsi="BNPP Sans Light" w:cs="Arial"/>
          <w:color w:val="000000"/>
          <w:szCs w:val="24"/>
          <w:lang w:eastAsia="fr-BE"/>
        </w:rPr>
        <w:t>mnium</w:t>
      </w:r>
      <w:r>
        <w:rPr>
          <w:rFonts w:ascii="BNPP Sans Light" w:eastAsia="Times New Roman" w:hAnsi="BNPP Sans Light" w:cs="Arial"/>
          <w:color w:val="000000"/>
          <w:szCs w:val="24"/>
          <w:lang w:eastAsia="fr-BE"/>
        </w:rPr>
        <w:t xml:space="preserve">, une </w:t>
      </w:r>
      <w:proofErr w:type="spellStart"/>
      <w:r w:rsidR="00980410">
        <w:rPr>
          <w:rFonts w:ascii="BNPP Sans Light" w:eastAsia="Times New Roman" w:hAnsi="BNPP Sans Light" w:cs="Arial"/>
          <w:color w:val="000000"/>
          <w:szCs w:val="24"/>
          <w:lang w:eastAsia="fr-BE"/>
        </w:rPr>
        <w:t>O</w:t>
      </w:r>
      <w:r>
        <w:rPr>
          <w:rFonts w:ascii="BNPP Sans Light" w:eastAsia="Times New Roman" w:hAnsi="BNPP Sans Light" w:cs="Arial"/>
          <w:color w:val="000000"/>
          <w:szCs w:val="24"/>
          <w:lang w:eastAsia="fr-BE"/>
        </w:rPr>
        <w:t>ccasium</w:t>
      </w:r>
      <w:proofErr w:type="spellEnd"/>
      <w:r>
        <w:rPr>
          <w:rFonts w:ascii="BNPP Sans Light" w:eastAsia="Times New Roman" w:hAnsi="BNPP Sans Light" w:cs="Arial"/>
          <w:color w:val="000000"/>
          <w:szCs w:val="24"/>
          <w:lang w:eastAsia="fr-BE"/>
        </w:rPr>
        <w:t>, la</w:t>
      </w:r>
      <w:r w:rsidRPr="00EE59DF">
        <w:rPr>
          <w:rFonts w:ascii="BNPP Sans Light" w:eastAsia="Times New Roman" w:hAnsi="BNPP Sans Light" w:cs="Arial"/>
          <w:color w:val="000000"/>
          <w:szCs w:val="24"/>
          <w:lang w:eastAsia="fr-BE"/>
        </w:rPr>
        <w:t xml:space="preserve"> protection du conducteur et de ses passagers</w:t>
      </w:r>
      <w:r>
        <w:rPr>
          <w:rFonts w:ascii="BNPP Sans Light" w:eastAsia="Times New Roman" w:hAnsi="BNPP Sans Light" w:cs="Arial"/>
          <w:color w:val="000000"/>
          <w:szCs w:val="24"/>
          <w:lang w:eastAsia="fr-BE"/>
        </w:rPr>
        <w:t>, u</w:t>
      </w:r>
      <w:r w:rsidRPr="00EE59DF">
        <w:rPr>
          <w:rFonts w:ascii="BNPP Sans Light" w:eastAsia="Times New Roman" w:hAnsi="BNPP Sans Light" w:cs="Arial"/>
          <w:color w:val="000000"/>
          <w:szCs w:val="24"/>
          <w:lang w:eastAsia="fr-BE"/>
        </w:rPr>
        <w:t>ne assistance</w:t>
      </w:r>
      <w:r>
        <w:rPr>
          <w:rFonts w:ascii="BNPP Sans Light" w:eastAsia="Times New Roman" w:hAnsi="BNPP Sans Light" w:cs="Arial"/>
          <w:color w:val="000000"/>
          <w:szCs w:val="24"/>
          <w:lang w:eastAsia="fr-BE"/>
        </w:rPr>
        <w:t xml:space="preserve"> et u</w:t>
      </w:r>
      <w:r w:rsidRPr="00EE59DF">
        <w:rPr>
          <w:rFonts w:ascii="BNPP Sans Light" w:eastAsia="Times New Roman" w:hAnsi="BNPP Sans Light" w:cs="Arial"/>
          <w:color w:val="000000"/>
          <w:szCs w:val="24"/>
          <w:lang w:eastAsia="fr-BE"/>
        </w:rPr>
        <w:t>ne protection juridique</w:t>
      </w:r>
      <w:r w:rsidR="00CF77FE">
        <w:rPr>
          <w:rStyle w:val="FootnoteReference"/>
          <w:rFonts w:ascii="BNPP Sans Light" w:eastAsia="Times New Roman" w:hAnsi="BNPP Sans Light" w:cs="Arial"/>
          <w:color w:val="000000"/>
          <w:szCs w:val="24"/>
          <w:lang w:eastAsia="fr-BE"/>
        </w:rPr>
        <w:footnoteReference w:id="2"/>
      </w:r>
      <w:r>
        <w:rPr>
          <w:rFonts w:ascii="BNPP Sans Light" w:eastAsia="Times New Roman" w:hAnsi="BNPP Sans Light" w:cs="Arial"/>
          <w:color w:val="000000"/>
          <w:szCs w:val="24"/>
          <w:lang w:eastAsia="fr-BE"/>
        </w:rPr>
        <w:t xml:space="preserve">. </w:t>
      </w:r>
      <w:r w:rsidR="0032516B" w:rsidRPr="0032516B">
        <w:rPr>
          <w:rFonts w:ascii="BNPP Sans Light" w:eastAsia="Times New Roman" w:hAnsi="BNPP Sans Light" w:cs="Arial"/>
          <w:color w:val="000000"/>
          <w:szCs w:val="24"/>
          <w:lang w:eastAsia="fr-BE"/>
        </w:rPr>
        <w:t>Autant de produits et solutions disponibles sous un même toit</w:t>
      </w:r>
      <w:r w:rsidR="00C04FAE">
        <w:rPr>
          <w:rStyle w:val="FootnoteReference"/>
          <w:rFonts w:ascii="BNPP Sans Light" w:eastAsia="Times New Roman" w:hAnsi="BNPP Sans Light" w:cs="Arial"/>
          <w:color w:val="000000"/>
          <w:szCs w:val="24"/>
          <w:lang w:eastAsia="fr-BE"/>
        </w:rPr>
        <w:footnoteReference w:id="3"/>
      </w:r>
      <w:r w:rsidR="0032516B" w:rsidRPr="0032516B">
        <w:rPr>
          <w:rFonts w:ascii="BNPP Sans Light" w:eastAsia="Times New Roman" w:hAnsi="BNPP Sans Light" w:cs="Arial"/>
          <w:color w:val="000000"/>
          <w:szCs w:val="24"/>
          <w:lang w:eastAsia="fr-BE"/>
        </w:rPr>
        <w:t>.</w:t>
      </w:r>
    </w:p>
    <w:p w14:paraId="18C6C8E6" w14:textId="74337667" w:rsidR="00BE5A28" w:rsidRDefault="00BE5A28" w:rsidP="0032516B">
      <w:pPr>
        <w:spacing w:after="270" w:line="240" w:lineRule="auto"/>
        <w:jc w:val="center"/>
        <w:rPr>
          <w:rFonts w:ascii="BNPP Sans Light" w:eastAsia="Times New Roman" w:hAnsi="BNPP Sans Light" w:cs="Arial"/>
          <w:color w:val="000000"/>
          <w:szCs w:val="24"/>
          <w:lang w:eastAsia="fr-BE"/>
        </w:rPr>
      </w:pPr>
      <w:r>
        <w:rPr>
          <w:rFonts w:ascii="BNPP Sans Light" w:eastAsia="Times New Roman" w:hAnsi="BNPP Sans Light" w:cs="Arial"/>
          <w:color w:val="000000"/>
          <w:szCs w:val="24"/>
          <w:lang w:eastAsia="fr-BE"/>
        </w:rPr>
        <w:t>---</w:t>
      </w:r>
    </w:p>
    <w:p w14:paraId="66643588" w14:textId="77777777" w:rsidR="008B1A70" w:rsidRPr="00F75110" w:rsidRDefault="008B1A70" w:rsidP="008B1A70">
      <w:pPr>
        <w:pBdr>
          <w:top w:val="single" w:sz="4" w:space="1" w:color="auto"/>
          <w:left w:val="single" w:sz="4" w:space="4" w:color="auto"/>
          <w:bottom w:val="single" w:sz="4" w:space="1" w:color="auto"/>
          <w:right w:val="single" w:sz="4" w:space="4" w:color="auto"/>
        </w:pBdr>
        <w:shd w:val="clear" w:color="auto" w:fill="E5E5E5" w:themeFill="accent3" w:themeFillTint="66"/>
        <w:spacing w:before="270" w:after="270" w:line="240" w:lineRule="auto"/>
        <w:jc w:val="center"/>
        <w:outlineLvl w:val="1"/>
        <w:rPr>
          <w:rFonts w:ascii="BNPP Sans Light" w:eastAsia="Times New Roman" w:hAnsi="BNPP Sans Light" w:cs="Arial"/>
          <w:color w:val="000000"/>
          <w:sz w:val="27"/>
          <w:szCs w:val="27"/>
          <w:lang w:eastAsia="fr-BE"/>
        </w:rPr>
      </w:pPr>
      <w:r w:rsidRPr="00F75110">
        <w:rPr>
          <w:rFonts w:ascii="BNPP Sans Light" w:eastAsia="Times New Roman" w:hAnsi="BNPP Sans Light" w:cs="Arial"/>
          <w:color w:val="000000"/>
          <w:sz w:val="27"/>
          <w:szCs w:val="27"/>
          <w:lang w:eastAsia="fr-BE"/>
        </w:rPr>
        <w:t>ATTENTION, EMPRUNTER DE L’ARGENT COÛTE AUSSI DE L’ARGENT</w:t>
      </w:r>
    </w:p>
    <w:p w14:paraId="2D66841D" w14:textId="7D17DD38" w:rsidR="008B1A70" w:rsidRPr="00F75110" w:rsidRDefault="008B1A70" w:rsidP="008B1A70">
      <w:pPr>
        <w:pBdr>
          <w:top w:val="single" w:sz="4" w:space="1" w:color="auto"/>
          <w:left w:val="single" w:sz="4" w:space="4" w:color="auto"/>
          <w:bottom w:val="single" w:sz="4" w:space="1" w:color="auto"/>
          <w:right w:val="single" w:sz="4" w:space="4" w:color="auto"/>
        </w:pBdr>
        <w:shd w:val="clear" w:color="auto" w:fill="E5E5E5" w:themeFill="accent3" w:themeFillTint="66"/>
        <w:spacing w:line="240" w:lineRule="auto"/>
        <w:rPr>
          <w:rFonts w:ascii="BNPP Sans Light" w:eastAsia="Times New Roman" w:hAnsi="BNPP Sans Light"/>
          <w:szCs w:val="24"/>
          <w:lang w:eastAsia="fr-BE"/>
        </w:rPr>
      </w:pPr>
      <w:r w:rsidRPr="00F75110">
        <w:rPr>
          <w:rFonts w:ascii="BNPP Sans Light" w:eastAsia="Times New Roman" w:hAnsi="BNPP Sans Light" w:cs="Arial"/>
          <w:i/>
          <w:iCs/>
          <w:color w:val="000000"/>
          <w:sz w:val="20"/>
          <w:lang w:eastAsia="fr-BE"/>
        </w:rPr>
        <w:t>Forme de crédit</w:t>
      </w:r>
      <w:r w:rsidR="00980410">
        <w:rPr>
          <w:rFonts w:ascii="Calibri" w:eastAsia="Times New Roman" w:hAnsi="Calibri" w:cs="Calibri"/>
          <w:i/>
          <w:iCs/>
          <w:color w:val="000000"/>
          <w:sz w:val="20"/>
          <w:lang w:eastAsia="fr-BE"/>
        </w:rPr>
        <w:t> </w:t>
      </w:r>
      <w:r w:rsidR="00980410">
        <w:rPr>
          <w:rFonts w:ascii="BNPP Sans Light" w:eastAsia="Times New Roman" w:hAnsi="BNPP Sans Light" w:cs="Arial"/>
          <w:i/>
          <w:iCs/>
          <w:color w:val="000000"/>
          <w:sz w:val="20"/>
          <w:lang w:eastAsia="fr-BE"/>
        </w:rPr>
        <w:t>:</w:t>
      </w:r>
      <w:r w:rsidRPr="00F75110">
        <w:rPr>
          <w:rFonts w:ascii="BNPP Sans Light" w:eastAsia="Times New Roman" w:hAnsi="BNPP Sans Light" w:cs="Arial"/>
          <w:i/>
          <w:iCs/>
          <w:color w:val="000000"/>
          <w:sz w:val="20"/>
          <w:lang w:eastAsia="fr-BE"/>
        </w:rPr>
        <w:t xml:space="preserve"> prêt à tempérament. Sous réserve d’acceptation de votre demande par Alpha </w:t>
      </w:r>
      <w:proofErr w:type="spellStart"/>
      <w:r w:rsidRPr="00F75110">
        <w:rPr>
          <w:rFonts w:ascii="BNPP Sans Light" w:eastAsia="Times New Roman" w:hAnsi="BNPP Sans Light" w:cs="Arial"/>
          <w:i/>
          <w:iCs/>
          <w:color w:val="000000"/>
          <w:sz w:val="20"/>
          <w:lang w:eastAsia="fr-BE"/>
        </w:rPr>
        <w:t>Credit</w:t>
      </w:r>
      <w:proofErr w:type="spellEnd"/>
      <w:r w:rsidRPr="00F75110">
        <w:rPr>
          <w:rFonts w:ascii="BNPP Sans Light" w:eastAsia="Times New Roman" w:hAnsi="BNPP Sans Light" w:cs="Arial"/>
          <w:i/>
          <w:iCs/>
          <w:color w:val="000000"/>
          <w:sz w:val="20"/>
          <w:lang w:eastAsia="fr-BE"/>
        </w:rPr>
        <w:t xml:space="preserve"> SA, prêteur, Boulevard Saint-Lazare 4-10/3, B-1210 Bruxelles, RPM Bruxelles, TVA BE 0445.781.316, filiale de BNP Paribas Fortis SA. Agent lié</w:t>
      </w:r>
      <w:r w:rsidR="00980410">
        <w:rPr>
          <w:rFonts w:ascii="Calibri" w:eastAsia="Times New Roman" w:hAnsi="Calibri" w:cs="Calibri"/>
          <w:i/>
          <w:iCs/>
          <w:color w:val="000000"/>
          <w:sz w:val="20"/>
          <w:lang w:eastAsia="fr-BE"/>
        </w:rPr>
        <w:t> </w:t>
      </w:r>
      <w:r w:rsidR="00980410">
        <w:rPr>
          <w:rFonts w:ascii="BNPP Sans Light" w:eastAsia="Times New Roman" w:hAnsi="BNPP Sans Light" w:cs="Arial"/>
          <w:i/>
          <w:iCs/>
          <w:color w:val="000000"/>
          <w:sz w:val="20"/>
          <w:lang w:eastAsia="fr-BE"/>
        </w:rPr>
        <w:t>:</w:t>
      </w:r>
      <w:r w:rsidRPr="00F75110">
        <w:rPr>
          <w:rFonts w:ascii="BNPP Sans Light" w:eastAsia="Times New Roman" w:hAnsi="BNPP Sans Light" w:cs="Arial"/>
          <w:i/>
          <w:iCs/>
          <w:color w:val="000000"/>
          <w:sz w:val="20"/>
          <w:lang w:eastAsia="fr-BE"/>
        </w:rPr>
        <w:t xml:space="preserve"> BNP Paribas Fortis SA, Montagne du Parc 3, B-1000 Bruxelles, RPM Bruxelles, TVA BE 0403.199.702. Crédit soumis aux dispositions relatives au crédit à la consommation du chapitre 1 du titre 4 du livre VII du Code du droit économique. Retrouvez toutes les conditions en agences et sur le site www.bnpparibasfortis.be.</w:t>
      </w:r>
    </w:p>
    <w:p w14:paraId="2524C03D" w14:textId="5004B8A4" w:rsidR="0004593B" w:rsidRPr="00C73CDA" w:rsidRDefault="006141CE" w:rsidP="0004593B">
      <w:pPr>
        <w:spacing w:after="270" w:line="240" w:lineRule="auto"/>
        <w:rPr>
          <w:rFonts w:ascii="BNPP Sans Light" w:eastAsia="Times New Roman" w:hAnsi="BNPP Sans Light" w:cs="Arial"/>
          <w:szCs w:val="24"/>
          <w:lang w:eastAsia="fr-BE"/>
        </w:rPr>
      </w:pPr>
      <w:r w:rsidRPr="00F75110">
        <w:rPr>
          <w:rFonts w:ascii="BNPP Sans Light" w:eastAsia="Times New Roman" w:hAnsi="BNPP Sans Light" w:cs="Arial"/>
          <w:i/>
          <w:iCs/>
          <w:color w:val="000000"/>
          <w:sz w:val="20"/>
          <w:lang w:eastAsia="fr-BE"/>
        </w:rPr>
        <w:br/>
      </w:r>
      <w:r w:rsidR="0004593B" w:rsidRPr="00C73CDA">
        <w:rPr>
          <w:rFonts w:ascii="BNPP Sans Light" w:eastAsia="Times New Roman" w:hAnsi="BNPP Sans Light" w:cs="Arial"/>
          <w:b/>
          <w:bCs/>
          <w:i/>
          <w:iCs/>
          <w:szCs w:val="24"/>
          <w:lang w:eastAsia="fr-BE"/>
        </w:rPr>
        <w:t>Exemple représentatif</w:t>
      </w:r>
      <w:r w:rsidR="000B5384">
        <w:rPr>
          <w:rFonts w:ascii="Calibri" w:eastAsia="Times New Roman" w:hAnsi="Calibri" w:cs="Calibri"/>
          <w:b/>
          <w:bCs/>
          <w:i/>
          <w:iCs/>
          <w:szCs w:val="24"/>
          <w:lang w:eastAsia="fr-BE"/>
        </w:rPr>
        <w:t> </w:t>
      </w:r>
      <w:r w:rsidR="000B5384">
        <w:rPr>
          <w:rFonts w:ascii="BNPP Sans Light" w:eastAsia="Times New Roman" w:hAnsi="BNPP Sans Light" w:cs="Arial"/>
          <w:b/>
          <w:bCs/>
          <w:i/>
          <w:iCs/>
          <w:szCs w:val="24"/>
          <w:lang w:eastAsia="fr-BE"/>
        </w:rPr>
        <w:t>:</w:t>
      </w:r>
      <w:r w:rsidR="0004593B" w:rsidRPr="00C73CDA">
        <w:rPr>
          <w:rFonts w:ascii="BNPP Sans Light" w:eastAsia="Times New Roman" w:hAnsi="BNPP Sans Light" w:cs="Arial"/>
          <w:b/>
          <w:bCs/>
          <w:i/>
          <w:iCs/>
          <w:szCs w:val="24"/>
          <w:lang w:eastAsia="fr-BE"/>
        </w:rPr>
        <w:t xml:space="preserve"> </w:t>
      </w:r>
      <w:r w:rsidR="000B5384" w:rsidRPr="000B5384">
        <w:rPr>
          <w:rFonts w:ascii="BNPP Sans Light" w:eastAsia="Times New Roman" w:hAnsi="BNPP Sans Light" w:cs="Arial"/>
          <w:b/>
          <w:bCs/>
          <w:i/>
          <w:iCs/>
          <w:szCs w:val="24"/>
          <w:lang w:eastAsia="fr-BE"/>
        </w:rPr>
        <w:t xml:space="preserve">Prêt à tempérament </w:t>
      </w:r>
      <w:r w:rsidR="000B5384">
        <w:rPr>
          <w:rFonts w:ascii="BNPP Sans Light" w:eastAsia="Times New Roman" w:hAnsi="BNPP Sans Light" w:cs="Arial"/>
          <w:b/>
          <w:bCs/>
          <w:i/>
          <w:iCs/>
          <w:szCs w:val="24"/>
          <w:lang w:eastAsia="fr-BE"/>
        </w:rPr>
        <w:t xml:space="preserve">pour une </w:t>
      </w:r>
      <w:r w:rsidR="0004593B" w:rsidRPr="00C73CDA">
        <w:rPr>
          <w:rFonts w:ascii="BNPP Sans Light" w:eastAsia="Times New Roman" w:hAnsi="BNPP Sans Light" w:cs="Arial"/>
          <w:b/>
          <w:bCs/>
          <w:i/>
          <w:iCs/>
          <w:szCs w:val="24"/>
          <w:lang w:eastAsia="fr-BE"/>
        </w:rPr>
        <w:t>voiture neuve à faibles émissions de CO2</w:t>
      </w:r>
    </w:p>
    <w:p w14:paraId="588E3D0C" w14:textId="1D408725" w:rsidR="000B5384" w:rsidRDefault="0004593B" w:rsidP="000B5384">
      <w:pPr>
        <w:spacing w:after="270" w:line="240" w:lineRule="auto"/>
        <w:rPr>
          <w:rFonts w:ascii="BNPP Sans Light" w:eastAsia="Times New Roman" w:hAnsi="BNPP Sans Light" w:cs="Arial"/>
          <w:i/>
          <w:iCs/>
          <w:sz w:val="20"/>
          <w:lang w:eastAsia="fr-BE"/>
        </w:rPr>
      </w:pPr>
      <w:r w:rsidRPr="00C73CDA">
        <w:rPr>
          <w:rFonts w:ascii="BNPP Sans Light" w:eastAsia="Times New Roman" w:hAnsi="BNPP Sans Light" w:cs="Arial"/>
          <w:b/>
          <w:bCs/>
          <w:i/>
          <w:iCs/>
          <w:szCs w:val="24"/>
          <w:lang w:eastAsia="fr-BE"/>
        </w:rPr>
        <w:t>Prêt à tempérament</w:t>
      </w:r>
      <w:r w:rsidRPr="008B1A70">
        <w:rPr>
          <w:rFonts w:ascii="Calibri" w:eastAsia="Times New Roman" w:hAnsi="Calibri" w:cs="Calibri"/>
          <w:i/>
          <w:iCs/>
          <w:sz w:val="20"/>
          <w:lang w:eastAsia="fr-BE"/>
        </w:rPr>
        <w:t> </w:t>
      </w:r>
      <w:r w:rsidRPr="008B1A70">
        <w:rPr>
          <w:rFonts w:ascii="BNPP Sans Light" w:eastAsia="Times New Roman" w:hAnsi="BNPP Sans Light" w:cs="Arial"/>
          <w:i/>
          <w:iCs/>
          <w:sz w:val="20"/>
          <w:lang w:eastAsia="fr-BE"/>
        </w:rPr>
        <w:t xml:space="preserve">pour </w:t>
      </w:r>
      <w:r w:rsidR="00FC21AA" w:rsidRPr="008B1A70">
        <w:rPr>
          <w:rFonts w:ascii="BNPP Sans Light" w:eastAsia="Times New Roman" w:hAnsi="BNPP Sans Light" w:cs="Arial"/>
          <w:i/>
          <w:iCs/>
          <w:sz w:val="20"/>
          <w:lang w:eastAsia="fr-BE"/>
        </w:rPr>
        <w:t>20</w:t>
      </w:r>
      <w:r w:rsidRPr="008B1A70">
        <w:rPr>
          <w:rFonts w:ascii="BNPP Sans Light" w:eastAsia="Times New Roman" w:hAnsi="BNPP Sans Light" w:cs="Arial"/>
          <w:i/>
          <w:iCs/>
          <w:sz w:val="20"/>
          <w:lang w:eastAsia="fr-BE"/>
        </w:rPr>
        <w:t>.000 EUR,</w:t>
      </w:r>
      <w:r w:rsidRPr="008B1A70">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TAEG</w:t>
      </w:r>
      <w:r w:rsidRPr="008B1A70">
        <w:rPr>
          <w:rFonts w:ascii="Calibri" w:eastAsia="Times New Roman" w:hAnsi="Calibri" w:cs="Calibri"/>
          <w:i/>
          <w:iCs/>
          <w:sz w:val="20"/>
          <w:lang w:eastAsia="fr-BE"/>
        </w:rPr>
        <w:t> </w:t>
      </w:r>
      <w:r w:rsidRPr="008B1A70">
        <w:rPr>
          <w:rFonts w:ascii="BNPP Sans Light" w:eastAsia="Times New Roman" w:hAnsi="BNPP Sans Light" w:cs="Arial"/>
          <w:i/>
          <w:iCs/>
          <w:sz w:val="20"/>
          <w:lang w:eastAsia="fr-BE"/>
        </w:rPr>
        <w:t>(Taux Annuel Effectif Global) de</w:t>
      </w:r>
      <w:r w:rsidRPr="008B1A70">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0,60%</w:t>
      </w:r>
      <w:r w:rsidRPr="008B1A70">
        <w:rPr>
          <w:rFonts w:ascii="Calibri" w:eastAsia="Times New Roman" w:hAnsi="Calibri" w:cs="Calibri"/>
          <w:i/>
          <w:iCs/>
          <w:sz w:val="20"/>
          <w:lang w:eastAsia="fr-BE"/>
        </w:rPr>
        <w:t> </w:t>
      </w:r>
      <w:r w:rsidRPr="008B1A70">
        <w:rPr>
          <w:rFonts w:ascii="BNPP Sans Light" w:eastAsia="Times New Roman" w:hAnsi="BNPP Sans Light" w:cs="Arial"/>
          <w:i/>
          <w:iCs/>
          <w:sz w:val="20"/>
          <w:lang w:eastAsia="fr-BE"/>
        </w:rPr>
        <w:t>(taux d</w:t>
      </w:r>
      <w:r w:rsidRPr="008B1A70">
        <w:rPr>
          <w:rFonts w:ascii="BNPP Sans Light" w:eastAsia="Times New Roman" w:hAnsi="BNPP Sans Light" w:cs="BNPP Sans Light"/>
          <w:i/>
          <w:iCs/>
          <w:sz w:val="20"/>
          <w:lang w:eastAsia="fr-BE"/>
        </w:rPr>
        <w:t>é</w:t>
      </w:r>
      <w:r w:rsidRPr="008B1A70">
        <w:rPr>
          <w:rFonts w:ascii="BNPP Sans Light" w:eastAsia="Times New Roman" w:hAnsi="BNPP Sans Light" w:cs="Arial"/>
          <w:i/>
          <w:iCs/>
          <w:sz w:val="20"/>
          <w:lang w:eastAsia="fr-BE"/>
        </w:rPr>
        <w:t>biteur annuel</w:t>
      </w:r>
      <w:r w:rsidRPr="008B1A70">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fixe</w:t>
      </w:r>
      <w:r w:rsidRPr="008B1A70">
        <w:rPr>
          <w:rFonts w:ascii="Calibri" w:eastAsia="Times New Roman" w:hAnsi="Calibri" w:cs="Calibri"/>
          <w:i/>
          <w:iCs/>
          <w:sz w:val="20"/>
          <w:lang w:eastAsia="fr-BE"/>
        </w:rPr>
        <w:t> </w:t>
      </w:r>
      <w:r w:rsidRPr="008B1A70">
        <w:rPr>
          <w:rFonts w:ascii="BNPP Sans Light" w:eastAsia="Times New Roman" w:hAnsi="BNPP Sans Light" w:cs="Arial"/>
          <w:i/>
          <w:iCs/>
          <w:sz w:val="20"/>
          <w:lang w:eastAsia="fr-BE"/>
        </w:rPr>
        <w:t>: 0,60%)</w:t>
      </w:r>
      <w:r w:rsidR="000B5384">
        <w:rPr>
          <w:rFonts w:ascii="BNPP Sans Light" w:eastAsia="Times New Roman" w:hAnsi="BNPP Sans Light" w:cs="Arial"/>
          <w:i/>
          <w:iCs/>
          <w:sz w:val="20"/>
          <w:lang w:eastAsia="fr-BE"/>
        </w:rPr>
        <w:t>. M</w:t>
      </w:r>
      <w:r w:rsidRPr="008B1A70">
        <w:rPr>
          <w:rFonts w:ascii="BNPP Sans Light" w:eastAsia="Times New Roman" w:hAnsi="BNPP Sans Light" w:cs="Arial"/>
          <w:i/>
          <w:iCs/>
          <w:sz w:val="20"/>
          <w:lang w:eastAsia="fr-BE"/>
        </w:rPr>
        <w:t>ensualit</w:t>
      </w:r>
      <w:r w:rsidRPr="008B1A70">
        <w:rPr>
          <w:rFonts w:ascii="BNPP Sans Light" w:eastAsia="Times New Roman" w:hAnsi="BNPP Sans Light" w:cs="BNPP Sans Light"/>
          <w:i/>
          <w:iCs/>
          <w:sz w:val="20"/>
          <w:lang w:eastAsia="fr-BE"/>
        </w:rPr>
        <w:t>é</w:t>
      </w:r>
      <w:r w:rsidRPr="008B1A70">
        <w:rPr>
          <w:rFonts w:ascii="BNPP Sans Light" w:eastAsia="Times New Roman" w:hAnsi="BNPP Sans Light" w:cs="Arial"/>
          <w:i/>
          <w:iCs/>
          <w:sz w:val="20"/>
          <w:lang w:eastAsia="fr-BE"/>
        </w:rPr>
        <w:t xml:space="preserve"> de</w:t>
      </w:r>
      <w:r w:rsidRPr="008B1A70">
        <w:rPr>
          <w:rFonts w:ascii="Calibri" w:eastAsia="Times New Roman" w:hAnsi="Calibri" w:cs="Calibri"/>
          <w:i/>
          <w:iCs/>
          <w:sz w:val="20"/>
          <w:lang w:eastAsia="fr-BE"/>
        </w:rPr>
        <w:t> </w:t>
      </w:r>
      <w:r w:rsidR="00FC21AA" w:rsidRPr="00C73CDA">
        <w:rPr>
          <w:rFonts w:ascii="BNPP Sans Light" w:eastAsia="Times New Roman" w:hAnsi="BNPP Sans Light" w:cs="Arial"/>
          <w:b/>
          <w:bCs/>
          <w:i/>
          <w:iCs/>
          <w:szCs w:val="24"/>
          <w:lang w:eastAsia="fr-BE"/>
        </w:rPr>
        <w:t>338,43</w:t>
      </w:r>
      <w:r w:rsidRPr="00C73CDA">
        <w:rPr>
          <w:rFonts w:ascii="BNPP Sans Light" w:eastAsia="Times New Roman" w:hAnsi="BNPP Sans Light" w:cs="Arial"/>
          <w:b/>
          <w:bCs/>
          <w:i/>
          <w:iCs/>
          <w:szCs w:val="24"/>
          <w:lang w:eastAsia="fr-BE"/>
        </w:rPr>
        <w:t xml:space="preserve"> EUR</w:t>
      </w:r>
      <w:r w:rsidRPr="008B1A70">
        <w:rPr>
          <w:rFonts w:ascii="Calibri" w:eastAsia="Times New Roman" w:hAnsi="Calibri" w:cs="Calibri"/>
          <w:i/>
          <w:iCs/>
          <w:sz w:val="20"/>
          <w:lang w:eastAsia="fr-BE"/>
        </w:rPr>
        <w:t> </w:t>
      </w:r>
      <w:r w:rsidRPr="008B1A70">
        <w:rPr>
          <w:rFonts w:ascii="BNPP Sans Light" w:eastAsia="Times New Roman" w:hAnsi="BNPP Sans Light" w:cs="Arial"/>
          <w:i/>
          <w:iCs/>
          <w:sz w:val="20"/>
          <w:lang w:eastAsia="fr-BE"/>
        </w:rPr>
        <w:t>en</w:t>
      </w:r>
      <w:r w:rsidRPr="008B1A70">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6</w:t>
      </w:r>
      <w:r w:rsidR="00FC21AA" w:rsidRPr="00C73CDA">
        <w:rPr>
          <w:rFonts w:ascii="BNPP Sans Light" w:eastAsia="Times New Roman" w:hAnsi="BNPP Sans Light" w:cs="Arial"/>
          <w:b/>
          <w:bCs/>
          <w:i/>
          <w:iCs/>
          <w:szCs w:val="24"/>
          <w:lang w:eastAsia="fr-BE"/>
        </w:rPr>
        <w:t>0</w:t>
      </w:r>
      <w:r w:rsidR="000A5F4F">
        <w:rPr>
          <w:rFonts w:ascii="BNPP Sans Light" w:eastAsia="Times New Roman" w:hAnsi="BNPP Sans Light" w:cs="Arial"/>
          <w:b/>
          <w:bCs/>
          <w:i/>
          <w:iCs/>
          <w:szCs w:val="24"/>
          <w:lang w:eastAsia="fr-BE"/>
        </w:rPr>
        <w:t xml:space="preserve"> </w:t>
      </w:r>
      <w:r w:rsidRPr="00C73CDA">
        <w:rPr>
          <w:rFonts w:ascii="BNPP Sans Light" w:eastAsia="Times New Roman" w:hAnsi="BNPP Sans Light" w:cs="Arial"/>
          <w:b/>
          <w:bCs/>
          <w:i/>
          <w:iCs/>
          <w:szCs w:val="24"/>
          <w:lang w:eastAsia="fr-BE"/>
        </w:rPr>
        <w:t>mois</w:t>
      </w:r>
      <w:r w:rsidRPr="008B1A70">
        <w:rPr>
          <w:rFonts w:ascii="BNPP Sans Light" w:eastAsia="Times New Roman" w:hAnsi="BNPP Sans Light" w:cs="Arial"/>
          <w:i/>
          <w:iCs/>
          <w:sz w:val="20"/>
          <w:lang w:eastAsia="fr-BE"/>
        </w:rPr>
        <w:t xml:space="preserve">. Montant total </w:t>
      </w:r>
      <w:r w:rsidR="000B5384">
        <w:rPr>
          <w:rFonts w:ascii="BNPP Sans Light" w:eastAsia="Times New Roman" w:hAnsi="BNPP Sans Light" w:cs="Arial"/>
          <w:i/>
          <w:iCs/>
          <w:sz w:val="20"/>
          <w:lang w:eastAsia="fr-BE"/>
        </w:rPr>
        <w:t>dû</w:t>
      </w:r>
      <w:r w:rsidRPr="008B1A70">
        <w:rPr>
          <w:rFonts w:ascii="BNPP Sans Light" w:eastAsia="Times New Roman" w:hAnsi="BNPP Sans Light" w:cs="Arial"/>
          <w:i/>
          <w:iCs/>
          <w:sz w:val="20"/>
          <w:lang w:eastAsia="fr-BE"/>
        </w:rPr>
        <w:t xml:space="preserve"> : </w:t>
      </w:r>
      <w:r w:rsidR="00FC21AA" w:rsidRPr="008B1A70">
        <w:rPr>
          <w:rFonts w:ascii="BNPP Sans Light" w:eastAsia="Times New Roman" w:hAnsi="BNPP Sans Light" w:cs="Arial"/>
          <w:i/>
          <w:iCs/>
          <w:sz w:val="20"/>
          <w:lang w:eastAsia="fr-BE"/>
        </w:rPr>
        <w:t xml:space="preserve">20.305,80 </w:t>
      </w:r>
      <w:r w:rsidRPr="008B1A70">
        <w:rPr>
          <w:rFonts w:ascii="BNPP Sans Light" w:eastAsia="Times New Roman" w:hAnsi="BNPP Sans Light" w:cs="Arial"/>
          <w:i/>
          <w:iCs/>
          <w:sz w:val="20"/>
          <w:lang w:eastAsia="fr-BE"/>
        </w:rPr>
        <w:t xml:space="preserve">EUR. TAEG valable </w:t>
      </w:r>
      <w:r w:rsidRPr="008B1A70">
        <w:rPr>
          <w:rFonts w:ascii="BNPP Sans Light" w:eastAsia="Times New Roman" w:hAnsi="BNPP Sans Light" w:cs="BNPP Sans Light"/>
          <w:i/>
          <w:iCs/>
          <w:sz w:val="20"/>
          <w:lang w:eastAsia="fr-BE"/>
        </w:rPr>
        <w:t>à</w:t>
      </w:r>
      <w:r w:rsidRPr="008B1A70">
        <w:rPr>
          <w:rFonts w:ascii="BNPP Sans Light" w:eastAsia="Times New Roman" w:hAnsi="BNPP Sans Light" w:cs="Arial"/>
          <w:i/>
          <w:iCs/>
          <w:sz w:val="20"/>
          <w:lang w:eastAsia="fr-BE"/>
        </w:rPr>
        <w:t xml:space="preserve"> partir</w:t>
      </w:r>
      <w:r w:rsidRPr="008B1A70">
        <w:rPr>
          <w:rFonts w:ascii="Calibri" w:eastAsia="Times New Roman" w:hAnsi="Calibri" w:cs="Calibri"/>
          <w:i/>
          <w:iCs/>
          <w:sz w:val="20"/>
          <w:lang w:eastAsia="fr-BE"/>
        </w:rPr>
        <w:t> </w:t>
      </w:r>
      <w:r w:rsidRPr="008B1A70">
        <w:rPr>
          <w:rFonts w:ascii="BNPP Sans Light" w:eastAsia="Times New Roman" w:hAnsi="BNPP Sans Light" w:cs="Arial"/>
          <w:b/>
          <w:bCs/>
          <w:i/>
          <w:iCs/>
          <w:sz w:val="20"/>
          <w:lang w:eastAsia="fr-BE"/>
        </w:rPr>
        <w:t xml:space="preserve">du </w:t>
      </w:r>
      <w:r w:rsidRPr="00C73CDA">
        <w:rPr>
          <w:rFonts w:ascii="BNPP Sans Light" w:eastAsia="Times New Roman" w:hAnsi="BNPP Sans Light" w:cs="Arial"/>
          <w:b/>
          <w:bCs/>
          <w:i/>
          <w:iCs/>
          <w:szCs w:val="24"/>
          <w:lang w:eastAsia="fr-BE"/>
        </w:rPr>
        <w:t>04/01/2022 au 28/02/2022</w:t>
      </w:r>
      <w:r w:rsidRPr="008B1A70">
        <w:rPr>
          <w:rFonts w:ascii="BNPP Sans Light" w:eastAsia="Times New Roman" w:hAnsi="BNPP Sans Light" w:cs="Arial"/>
          <w:b/>
          <w:bCs/>
          <w:i/>
          <w:iCs/>
          <w:sz w:val="20"/>
          <w:lang w:eastAsia="fr-BE"/>
        </w:rPr>
        <w:t>.</w:t>
      </w:r>
      <w:r w:rsidRPr="008B1A70">
        <w:rPr>
          <w:rFonts w:ascii="Calibri" w:eastAsia="Times New Roman" w:hAnsi="Calibri" w:cs="Calibri"/>
          <w:b/>
          <w:bCs/>
          <w:i/>
          <w:iCs/>
          <w:sz w:val="20"/>
          <w:lang w:eastAsia="fr-BE"/>
        </w:rPr>
        <w:t> </w:t>
      </w:r>
      <w:r w:rsidRPr="008B1A70">
        <w:rPr>
          <w:rFonts w:ascii="BNPP Sans Light" w:eastAsia="Times New Roman" w:hAnsi="BNPP Sans Light" w:cs="Arial"/>
          <w:i/>
          <w:iCs/>
          <w:sz w:val="20"/>
          <w:lang w:eastAsia="fr-BE"/>
        </w:rPr>
        <w:t xml:space="preserve">Tarif non valable pour un emprunt servant à regrouper d'autres crédits. </w:t>
      </w:r>
      <w:r w:rsidR="000B5384" w:rsidRPr="000B5384">
        <w:rPr>
          <w:rFonts w:ascii="BNPP Sans Light" w:eastAsia="Times New Roman" w:hAnsi="BNPP Sans Light" w:cs="Arial"/>
          <w:i/>
          <w:iCs/>
          <w:sz w:val="20"/>
          <w:lang w:eastAsia="fr-BE"/>
        </w:rPr>
        <w:t xml:space="preserve">Exemple valable pour les clients existants de BNP Paribas Fortis. </w:t>
      </w:r>
    </w:p>
    <w:p w14:paraId="410E1B09" w14:textId="257A1BEE" w:rsidR="0004593B" w:rsidRPr="00F75110" w:rsidRDefault="00C04FAE" w:rsidP="000B5384">
      <w:pPr>
        <w:spacing w:after="270" w:line="240" w:lineRule="auto"/>
        <w:rPr>
          <w:rFonts w:ascii="BNPP Sans Light" w:eastAsia="Times New Roman" w:hAnsi="BNPP Sans Light" w:cs="Arial"/>
          <w:i/>
          <w:iCs/>
          <w:color w:val="000000"/>
          <w:sz w:val="20"/>
          <w:lang w:eastAsia="fr-BE"/>
        </w:rPr>
      </w:pPr>
      <w:hyperlink r:id="rId7" w:anchor="page=sim" w:tgtFrame="_blank" w:history="1">
        <w:r w:rsidR="0004593B" w:rsidRPr="00F75110">
          <w:rPr>
            <w:rFonts w:ascii="BNPP Sans Light" w:eastAsia="Times New Roman" w:hAnsi="BNPP Sans Light" w:cs="Arial"/>
            <w:i/>
            <w:iCs/>
            <w:color w:val="0000FF"/>
            <w:sz w:val="20"/>
            <w:u w:val="single"/>
            <w:lang w:eastAsia="fr-BE"/>
          </w:rPr>
          <w:t>Faire une simulation</w:t>
        </w:r>
        <w:r w:rsidR="0004593B" w:rsidRPr="00F75110">
          <w:rPr>
            <w:rFonts w:ascii="Calibri" w:eastAsia="Times New Roman" w:hAnsi="Calibri" w:cs="Calibri"/>
            <w:i/>
            <w:iCs/>
            <w:color w:val="0000FF"/>
            <w:sz w:val="20"/>
            <w:u w:val="single"/>
            <w:lang w:eastAsia="fr-BE"/>
          </w:rPr>
          <w:t> </w:t>
        </w:r>
        <w:r w:rsidR="0004593B" w:rsidRPr="00F75110">
          <w:rPr>
            <w:rFonts w:ascii="BNPP Sans Light" w:eastAsia="Times New Roman" w:hAnsi="BNPP Sans Light" w:cs="Arial"/>
            <w:b/>
            <w:bCs/>
            <w:i/>
            <w:iCs/>
            <w:color w:val="0000FF"/>
            <w:sz w:val="20"/>
            <w:u w:val="single"/>
            <w:lang w:eastAsia="fr-BE"/>
          </w:rPr>
          <w:t>ici</w:t>
        </w:r>
      </w:hyperlink>
    </w:p>
    <w:p w14:paraId="552FF9B7" w14:textId="5253ED0A" w:rsidR="0004593B" w:rsidRPr="00C73CDA" w:rsidRDefault="0004593B" w:rsidP="0004593B">
      <w:pPr>
        <w:spacing w:before="270" w:line="240" w:lineRule="auto"/>
        <w:outlineLvl w:val="4"/>
        <w:rPr>
          <w:rFonts w:ascii="BNPP Sans Light" w:eastAsia="Times New Roman" w:hAnsi="BNPP Sans Light" w:cs="Arial"/>
          <w:i/>
          <w:iCs/>
          <w:color w:val="000000"/>
          <w:szCs w:val="24"/>
          <w:lang w:eastAsia="fr-BE"/>
        </w:rPr>
      </w:pPr>
      <w:r w:rsidRPr="00C73CDA">
        <w:rPr>
          <w:rFonts w:ascii="BNPP Sans Light" w:eastAsia="Times New Roman" w:hAnsi="BNPP Sans Light" w:cs="Arial"/>
          <w:b/>
          <w:bCs/>
          <w:i/>
          <w:iCs/>
          <w:color w:val="000000"/>
          <w:szCs w:val="24"/>
          <w:lang w:eastAsia="fr-BE"/>
        </w:rPr>
        <w:t>Exemple représentatif</w:t>
      </w:r>
      <w:r w:rsidR="000B5384">
        <w:rPr>
          <w:rFonts w:ascii="Calibri" w:eastAsia="Times New Roman" w:hAnsi="Calibri" w:cs="Calibri"/>
          <w:b/>
          <w:bCs/>
          <w:i/>
          <w:iCs/>
          <w:color w:val="000000"/>
          <w:szCs w:val="24"/>
          <w:lang w:eastAsia="fr-BE"/>
        </w:rPr>
        <w:t> </w:t>
      </w:r>
      <w:r w:rsidR="000B5384">
        <w:rPr>
          <w:rFonts w:ascii="BNPP Sans Light" w:eastAsia="Times New Roman" w:hAnsi="BNPP Sans Light" w:cs="Arial"/>
          <w:b/>
          <w:bCs/>
          <w:i/>
          <w:iCs/>
          <w:color w:val="000000"/>
          <w:szCs w:val="24"/>
          <w:lang w:eastAsia="fr-BE"/>
        </w:rPr>
        <w:t>:</w:t>
      </w:r>
      <w:r w:rsidR="000B5384" w:rsidRPr="000B5384">
        <w:t xml:space="preserve"> </w:t>
      </w:r>
      <w:r w:rsidR="000B5384" w:rsidRPr="000B5384">
        <w:rPr>
          <w:rFonts w:ascii="BNPP Sans Light" w:eastAsia="Times New Roman" w:hAnsi="BNPP Sans Light" w:cs="Arial"/>
          <w:b/>
          <w:bCs/>
          <w:i/>
          <w:iCs/>
          <w:color w:val="000000"/>
          <w:szCs w:val="24"/>
          <w:lang w:eastAsia="fr-BE"/>
        </w:rPr>
        <w:t>Prêt à tempérament</w:t>
      </w:r>
      <w:r w:rsidRPr="00C73CDA">
        <w:rPr>
          <w:rFonts w:ascii="Calibri" w:eastAsia="Times New Roman" w:hAnsi="Calibri" w:cs="Calibri"/>
          <w:b/>
          <w:bCs/>
          <w:i/>
          <w:iCs/>
          <w:color w:val="000000"/>
          <w:szCs w:val="24"/>
          <w:lang w:eastAsia="fr-BE"/>
        </w:rPr>
        <w:t> </w:t>
      </w:r>
      <w:r w:rsidRPr="00C73CDA">
        <w:rPr>
          <w:rFonts w:ascii="BNPP Sans Light" w:eastAsia="Times New Roman" w:hAnsi="BNPP Sans Light" w:cs="Arial"/>
          <w:b/>
          <w:bCs/>
          <w:i/>
          <w:iCs/>
          <w:color w:val="000000"/>
          <w:szCs w:val="24"/>
          <w:lang w:eastAsia="fr-BE"/>
        </w:rPr>
        <w:t xml:space="preserve">pour </w:t>
      </w:r>
      <w:r w:rsidR="000B5384">
        <w:rPr>
          <w:rFonts w:ascii="BNPP Sans Light" w:eastAsia="Times New Roman" w:hAnsi="BNPP Sans Light" w:cs="Arial"/>
          <w:b/>
          <w:bCs/>
          <w:i/>
          <w:iCs/>
          <w:color w:val="000000"/>
          <w:szCs w:val="24"/>
          <w:lang w:eastAsia="fr-BE"/>
        </w:rPr>
        <w:t xml:space="preserve">un engin de </w:t>
      </w:r>
      <w:r w:rsidRPr="00C73CDA">
        <w:rPr>
          <w:rFonts w:ascii="BNPP Sans Light" w:eastAsia="Times New Roman" w:hAnsi="BNPP Sans Light" w:cs="Arial"/>
          <w:b/>
          <w:bCs/>
          <w:i/>
          <w:iCs/>
          <w:color w:val="000000"/>
          <w:szCs w:val="24"/>
          <w:lang w:eastAsia="fr-BE"/>
        </w:rPr>
        <w:t>mobilité douce</w:t>
      </w:r>
    </w:p>
    <w:p w14:paraId="2C8BCC54" w14:textId="7CBAF29F" w:rsidR="0004593B" w:rsidRPr="00C73CDA" w:rsidRDefault="0004593B" w:rsidP="0004593B">
      <w:pPr>
        <w:spacing w:before="270" w:line="240" w:lineRule="auto"/>
        <w:outlineLvl w:val="4"/>
        <w:rPr>
          <w:rFonts w:ascii="BNPP Sans Light" w:eastAsia="Times New Roman" w:hAnsi="BNPP Sans Light" w:cs="Arial"/>
          <w:i/>
          <w:iCs/>
          <w:sz w:val="20"/>
          <w:lang w:eastAsia="fr-BE"/>
        </w:rPr>
      </w:pPr>
      <w:r w:rsidRPr="00C73CDA">
        <w:rPr>
          <w:rFonts w:ascii="BNPP Sans Light" w:eastAsia="Times New Roman" w:hAnsi="BNPP Sans Light" w:cs="Arial"/>
          <w:b/>
          <w:bCs/>
          <w:i/>
          <w:iCs/>
          <w:szCs w:val="24"/>
          <w:lang w:eastAsia="fr-BE"/>
        </w:rPr>
        <w:t>Prêt à tempérament</w:t>
      </w:r>
      <w:r w:rsidRPr="00C73CDA">
        <w:rPr>
          <w:rFonts w:ascii="Calibri" w:eastAsia="Times New Roman" w:hAnsi="Calibri" w:cs="Calibri"/>
          <w:b/>
          <w:bCs/>
          <w:i/>
          <w:iCs/>
          <w:sz w:val="20"/>
          <w:lang w:eastAsia="fr-BE"/>
        </w:rPr>
        <w:t> </w:t>
      </w:r>
      <w:r w:rsidRPr="00C73CDA">
        <w:rPr>
          <w:rFonts w:ascii="BNPP Sans Light" w:eastAsia="Times New Roman" w:hAnsi="BNPP Sans Light" w:cs="Arial"/>
          <w:i/>
          <w:iCs/>
          <w:sz w:val="20"/>
          <w:lang w:eastAsia="fr-BE"/>
        </w:rPr>
        <w:t xml:space="preserve">pour l'achat </w:t>
      </w:r>
      <w:r w:rsidR="00D35853" w:rsidRPr="00C73CDA">
        <w:rPr>
          <w:rFonts w:ascii="BNPP Sans Light" w:eastAsia="Times New Roman" w:hAnsi="BNPP Sans Light" w:cs="Arial"/>
          <w:i/>
          <w:iCs/>
          <w:sz w:val="20"/>
          <w:lang w:eastAsia="fr-BE"/>
        </w:rPr>
        <w:t xml:space="preserve">d’un engin de transport à </w:t>
      </w:r>
      <w:r w:rsidRPr="00C73CDA">
        <w:rPr>
          <w:rFonts w:ascii="BNPP Sans Light" w:eastAsia="Times New Roman" w:hAnsi="BNPP Sans Light" w:cs="Arial"/>
          <w:i/>
          <w:iCs/>
          <w:sz w:val="20"/>
          <w:lang w:eastAsia="fr-BE"/>
        </w:rPr>
        <w:t>mobilité douce pour 3.000 EUR,</w:t>
      </w:r>
      <w:r w:rsidRPr="00C73CDA">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TAEG</w:t>
      </w:r>
      <w:r w:rsidRPr="00C73CDA">
        <w:rPr>
          <w:rFonts w:ascii="Calibri" w:eastAsia="Times New Roman" w:hAnsi="Calibri" w:cs="Calibri"/>
          <w:i/>
          <w:iCs/>
          <w:sz w:val="20"/>
          <w:lang w:eastAsia="fr-BE"/>
        </w:rPr>
        <w:t> </w:t>
      </w:r>
      <w:r w:rsidRPr="00C73CDA">
        <w:rPr>
          <w:rFonts w:ascii="BNPP Sans Light" w:eastAsia="Times New Roman" w:hAnsi="BNPP Sans Light" w:cs="Arial"/>
          <w:i/>
          <w:iCs/>
          <w:sz w:val="20"/>
          <w:lang w:eastAsia="fr-BE"/>
        </w:rPr>
        <w:t>(Taux Annuel Effectif Global) de</w:t>
      </w:r>
      <w:r w:rsidRPr="00C73CDA">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0,60%</w:t>
      </w:r>
      <w:r w:rsidRPr="00C73CDA">
        <w:rPr>
          <w:rFonts w:ascii="Calibri" w:eastAsia="Times New Roman" w:hAnsi="Calibri" w:cs="Calibri"/>
          <w:i/>
          <w:iCs/>
          <w:sz w:val="20"/>
          <w:lang w:eastAsia="fr-BE"/>
        </w:rPr>
        <w:t> </w:t>
      </w:r>
      <w:r w:rsidRPr="00C73CDA">
        <w:rPr>
          <w:rFonts w:ascii="BNPP Sans Light" w:eastAsia="Times New Roman" w:hAnsi="BNPP Sans Light" w:cs="Arial"/>
          <w:i/>
          <w:iCs/>
          <w:sz w:val="20"/>
          <w:lang w:eastAsia="fr-BE"/>
        </w:rPr>
        <w:t>(taux d</w:t>
      </w:r>
      <w:r w:rsidRPr="00C73CDA">
        <w:rPr>
          <w:rFonts w:ascii="BNPP Sans Light" w:eastAsia="Times New Roman" w:hAnsi="BNPP Sans Light" w:cs="BNPP Sans Light"/>
          <w:i/>
          <w:iCs/>
          <w:sz w:val="20"/>
          <w:lang w:eastAsia="fr-BE"/>
        </w:rPr>
        <w:t>é</w:t>
      </w:r>
      <w:r w:rsidRPr="00C73CDA">
        <w:rPr>
          <w:rFonts w:ascii="BNPP Sans Light" w:eastAsia="Times New Roman" w:hAnsi="BNPP Sans Light" w:cs="Arial"/>
          <w:i/>
          <w:iCs/>
          <w:sz w:val="20"/>
          <w:lang w:eastAsia="fr-BE"/>
        </w:rPr>
        <w:t>biteur annuel</w:t>
      </w:r>
      <w:r w:rsidRPr="00C73CDA">
        <w:rPr>
          <w:rFonts w:ascii="Calibri" w:eastAsia="Times New Roman" w:hAnsi="Calibri" w:cs="Calibri"/>
          <w:i/>
          <w:iCs/>
          <w:sz w:val="20"/>
          <w:lang w:eastAsia="fr-BE"/>
        </w:rPr>
        <w:t> </w:t>
      </w:r>
      <w:r w:rsidRPr="00C73CDA">
        <w:rPr>
          <w:rFonts w:ascii="BNPP Sans Light" w:eastAsia="Times New Roman" w:hAnsi="BNPP Sans Light" w:cs="Arial"/>
          <w:b/>
          <w:bCs/>
          <w:i/>
          <w:iCs/>
          <w:sz w:val="20"/>
          <w:lang w:eastAsia="fr-BE"/>
        </w:rPr>
        <w:t>fixe</w:t>
      </w:r>
      <w:r w:rsidRPr="00C73CDA">
        <w:rPr>
          <w:rFonts w:ascii="Calibri" w:eastAsia="Times New Roman" w:hAnsi="Calibri" w:cs="Calibri"/>
          <w:i/>
          <w:iCs/>
          <w:sz w:val="20"/>
          <w:lang w:eastAsia="fr-BE"/>
        </w:rPr>
        <w:t> </w:t>
      </w:r>
      <w:r w:rsidRPr="00C73CDA">
        <w:rPr>
          <w:rFonts w:ascii="BNPP Sans Light" w:eastAsia="Times New Roman" w:hAnsi="BNPP Sans Light" w:cs="Arial"/>
          <w:i/>
          <w:iCs/>
          <w:sz w:val="20"/>
          <w:lang w:eastAsia="fr-BE"/>
        </w:rPr>
        <w:t>: 0,60%). Mensualit</w:t>
      </w:r>
      <w:r w:rsidRPr="00C73CDA">
        <w:rPr>
          <w:rFonts w:ascii="BNPP Sans Light" w:eastAsia="Times New Roman" w:hAnsi="BNPP Sans Light" w:cs="BNPP Sans Light"/>
          <w:i/>
          <w:iCs/>
          <w:sz w:val="20"/>
          <w:lang w:eastAsia="fr-BE"/>
        </w:rPr>
        <w:t>é</w:t>
      </w:r>
      <w:r w:rsidRPr="00C73CDA">
        <w:rPr>
          <w:rFonts w:ascii="BNPP Sans Light" w:eastAsia="Times New Roman" w:hAnsi="BNPP Sans Light" w:cs="Arial"/>
          <w:i/>
          <w:iCs/>
          <w:sz w:val="20"/>
          <w:lang w:eastAsia="fr-BE"/>
        </w:rPr>
        <w:t xml:space="preserve"> de</w:t>
      </w:r>
      <w:r w:rsidRPr="00C73CDA">
        <w:rPr>
          <w:rFonts w:ascii="Calibri" w:eastAsia="Times New Roman" w:hAnsi="Calibri" w:cs="Calibri"/>
          <w:i/>
          <w:iCs/>
          <w:sz w:val="20"/>
          <w:lang w:eastAsia="fr-BE"/>
        </w:rPr>
        <w:t> </w:t>
      </w:r>
      <w:r w:rsidR="00FC21AA" w:rsidRPr="00C73CDA">
        <w:rPr>
          <w:rFonts w:ascii="BNPP Sans Light" w:eastAsia="Times New Roman" w:hAnsi="BNPP Sans Light" w:cs="Arial"/>
          <w:i/>
          <w:iCs/>
          <w:szCs w:val="24"/>
          <w:lang w:eastAsia="fr-BE"/>
        </w:rPr>
        <w:t>125,78</w:t>
      </w:r>
      <w:r w:rsidR="00D35853" w:rsidRPr="00C73CDA">
        <w:rPr>
          <w:rFonts w:ascii="BNPP Sans Light" w:eastAsia="Times New Roman" w:hAnsi="BNPP Sans Light" w:cs="Arial"/>
          <w:i/>
          <w:iCs/>
          <w:szCs w:val="24"/>
          <w:lang w:eastAsia="fr-BE"/>
        </w:rPr>
        <w:t xml:space="preserve"> </w:t>
      </w:r>
      <w:r w:rsidRPr="00C73CDA">
        <w:rPr>
          <w:rFonts w:ascii="BNPP Sans Light" w:eastAsia="Times New Roman" w:hAnsi="BNPP Sans Light" w:cs="Arial"/>
          <w:b/>
          <w:bCs/>
          <w:i/>
          <w:iCs/>
          <w:szCs w:val="24"/>
          <w:lang w:eastAsia="fr-BE"/>
        </w:rPr>
        <w:t>EUR</w:t>
      </w:r>
      <w:r w:rsidRPr="00C73CDA">
        <w:rPr>
          <w:rFonts w:ascii="Calibri" w:eastAsia="Times New Roman" w:hAnsi="Calibri" w:cs="Calibri"/>
          <w:i/>
          <w:iCs/>
          <w:sz w:val="20"/>
          <w:lang w:eastAsia="fr-BE"/>
        </w:rPr>
        <w:t> </w:t>
      </w:r>
      <w:r w:rsidRPr="00C73CDA">
        <w:rPr>
          <w:rFonts w:ascii="BNPP Sans Light" w:eastAsia="Times New Roman" w:hAnsi="BNPP Sans Light" w:cs="Arial"/>
          <w:i/>
          <w:iCs/>
          <w:sz w:val="20"/>
          <w:lang w:eastAsia="fr-BE"/>
        </w:rPr>
        <w:t>en</w:t>
      </w:r>
      <w:r w:rsidRPr="00C73CDA">
        <w:rPr>
          <w:rFonts w:ascii="Calibri" w:eastAsia="Times New Roman" w:hAnsi="Calibri" w:cs="Calibri"/>
          <w:i/>
          <w:iCs/>
          <w:sz w:val="20"/>
          <w:lang w:eastAsia="fr-BE"/>
        </w:rPr>
        <w:t> </w:t>
      </w:r>
      <w:r w:rsidRPr="00C73CDA">
        <w:rPr>
          <w:rFonts w:ascii="BNPP Sans Light" w:eastAsia="Times New Roman" w:hAnsi="BNPP Sans Light" w:cs="Arial"/>
          <w:b/>
          <w:bCs/>
          <w:i/>
          <w:iCs/>
          <w:szCs w:val="24"/>
          <w:lang w:eastAsia="fr-BE"/>
        </w:rPr>
        <w:t>24 mois</w:t>
      </w:r>
      <w:r w:rsidRPr="00C73CDA">
        <w:rPr>
          <w:rFonts w:ascii="BNPP Sans Light" w:eastAsia="Times New Roman" w:hAnsi="BNPP Sans Light" w:cs="Arial"/>
          <w:i/>
          <w:iCs/>
          <w:sz w:val="20"/>
          <w:lang w:eastAsia="fr-BE"/>
        </w:rPr>
        <w:t xml:space="preserve">. Montant total à payer : </w:t>
      </w:r>
      <w:r w:rsidR="00FC21AA" w:rsidRPr="00C73CDA">
        <w:rPr>
          <w:rFonts w:ascii="BNPP Sans Light" w:eastAsia="Times New Roman" w:hAnsi="BNPP Sans Light" w:cs="Arial"/>
          <w:i/>
          <w:iCs/>
          <w:sz w:val="20"/>
          <w:lang w:eastAsia="fr-BE"/>
        </w:rPr>
        <w:t>3.018,72</w:t>
      </w:r>
      <w:r w:rsidRPr="00C73CDA">
        <w:rPr>
          <w:rFonts w:ascii="BNPP Sans Light" w:eastAsia="Times New Roman" w:hAnsi="BNPP Sans Light" w:cs="Arial"/>
          <w:i/>
          <w:iCs/>
          <w:sz w:val="20"/>
          <w:lang w:eastAsia="fr-BE"/>
        </w:rPr>
        <w:t xml:space="preserve"> EUR. TAEG valable </w:t>
      </w:r>
      <w:r w:rsidR="00D35853" w:rsidRPr="00C73CDA">
        <w:rPr>
          <w:rFonts w:ascii="BNPP Sans Light" w:eastAsia="Times New Roman" w:hAnsi="BNPP Sans Light" w:cs="Arial"/>
          <w:b/>
          <w:bCs/>
          <w:i/>
          <w:iCs/>
          <w:sz w:val="20"/>
          <w:lang w:eastAsia="fr-BE"/>
        </w:rPr>
        <w:t xml:space="preserve">du </w:t>
      </w:r>
      <w:r w:rsidR="00D35853" w:rsidRPr="00C73CDA">
        <w:rPr>
          <w:rFonts w:ascii="BNPP Sans Light" w:eastAsia="Times New Roman" w:hAnsi="BNPP Sans Light" w:cs="Arial"/>
          <w:b/>
          <w:bCs/>
          <w:i/>
          <w:iCs/>
          <w:szCs w:val="24"/>
          <w:lang w:eastAsia="fr-BE"/>
        </w:rPr>
        <w:t>04/01/2022 au 28/02/2022</w:t>
      </w:r>
      <w:r w:rsidR="00D35853" w:rsidRPr="00C73CDA">
        <w:rPr>
          <w:rFonts w:ascii="BNPP Sans Light" w:eastAsia="Times New Roman" w:hAnsi="BNPP Sans Light" w:cs="Arial"/>
          <w:b/>
          <w:bCs/>
          <w:i/>
          <w:iCs/>
          <w:sz w:val="20"/>
          <w:lang w:eastAsia="fr-BE"/>
        </w:rPr>
        <w:t xml:space="preserve"> </w:t>
      </w:r>
      <w:r w:rsidRPr="00C73CDA">
        <w:rPr>
          <w:rFonts w:ascii="BNPP Sans Light" w:eastAsia="Times New Roman" w:hAnsi="BNPP Sans Light" w:cs="Arial"/>
          <w:i/>
          <w:iCs/>
          <w:sz w:val="20"/>
          <w:lang w:eastAsia="fr-BE"/>
        </w:rPr>
        <w:t xml:space="preserve">inclus pour les montants de 1.250 EUR à 25.000 EUR et les durées de 12 à 60 mois. La durée légale maximale dépend du montant emprunté, mais ne peut pas </w:t>
      </w:r>
      <w:r w:rsidRPr="00C73CDA">
        <w:rPr>
          <w:rFonts w:ascii="BNPP Sans Light" w:eastAsia="Times New Roman" w:hAnsi="BNPP Sans Light" w:cs="Arial"/>
          <w:i/>
          <w:iCs/>
          <w:sz w:val="20"/>
          <w:lang w:eastAsia="fr-BE"/>
        </w:rPr>
        <w:lastRenderedPageBreak/>
        <w:t>être inférieure à 12 mois ou être supérieure à 120 mois. Tarif non valable pour un emprunt servant à regrouper d'autres crédits. Exemple valable pour les clients existants de BNP Paribas Fortis.</w:t>
      </w:r>
    </w:p>
    <w:p w14:paraId="0A2A8D1C" w14:textId="77777777" w:rsidR="0004593B" w:rsidRPr="00F75110" w:rsidRDefault="00C04FAE" w:rsidP="0004593B">
      <w:pPr>
        <w:spacing w:before="270" w:line="240" w:lineRule="auto"/>
        <w:outlineLvl w:val="4"/>
        <w:rPr>
          <w:rFonts w:ascii="BNPP Sans Light" w:eastAsia="Times New Roman" w:hAnsi="BNPP Sans Light" w:cs="Arial"/>
          <w:i/>
          <w:iCs/>
          <w:color w:val="000000"/>
          <w:sz w:val="20"/>
          <w:lang w:eastAsia="fr-BE"/>
        </w:rPr>
      </w:pPr>
      <w:hyperlink r:id="rId8" w:anchor="page=sim" w:tgtFrame="_blank" w:history="1">
        <w:r w:rsidR="0004593B" w:rsidRPr="00F75110">
          <w:rPr>
            <w:rFonts w:ascii="BNPP Sans Light" w:eastAsia="Times New Roman" w:hAnsi="BNPP Sans Light" w:cs="Arial"/>
            <w:i/>
            <w:iCs/>
            <w:color w:val="0000FF"/>
            <w:sz w:val="20"/>
            <w:u w:val="single"/>
            <w:lang w:eastAsia="fr-BE"/>
          </w:rPr>
          <w:t>Faire une simulation</w:t>
        </w:r>
        <w:r w:rsidR="0004593B" w:rsidRPr="00F75110">
          <w:rPr>
            <w:rFonts w:ascii="Calibri" w:eastAsia="Times New Roman" w:hAnsi="Calibri" w:cs="Calibri"/>
            <w:i/>
            <w:iCs/>
            <w:color w:val="0000FF"/>
            <w:sz w:val="20"/>
            <w:u w:val="single"/>
            <w:lang w:eastAsia="fr-BE"/>
          </w:rPr>
          <w:t> </w:t>
        </w:r>
        <w:r w:rsidR="0004593B" w:rsidRPr="00F75110">
          <w:rPr>
            <w:rFonts w:ascii="BNPP Sans Light" w:eastAsia="Times New Roman" w:hAnsi="BNPP Sans Light" w:cs="Arial"/>
            <w:b/>
            <w:bCs/>
            <w:i/>
            <w:iCs/>
            <w:color w:val="0000FF"/>
            <w:sz w:val="20"/>
            <w:u w:val="single"/>
            <w:lang w:eastAsia="fr-BE"/>
          </w:rPr>
          <w:t>ici</w:t>
        </w:r>
      </w:hyperlink>
    </w:p>
    <w:p w14:paraId="1D740F71" w14:textId="52C0E5E4" w:rsidR="0004593B" w:rsidRPr="00CB4D4B" w:rsidRDefault="0004593B" w:rsidP="0004593B">
      <w:pPr>
        <w:spacing w:after="270" w:line="240" w:lineRule="auto"/>
        <w:rPr>
          <w:rFonts w:ascii="BNPP Sans Light" w:eastAsia="Times New Roman" w:hAnsi="BNPP Sans Light" w:cs="Arial"/>
          <w:szCs w:val="24"/>
          <w:lang w:eastAsia="fr-BE"/>
        </w:rPr>
      </w:pPr>
      <w:r w:rsidRPr="00F75110">
        <w:rPr>
          <w:rFonts w:ascii="BNPP Sans Light" w:eastAsia="Times New Roman" w:hAnsi="BNPP Sans Light" w:cs="Arial"/>
          <w:b/>
          <w:bCs/>
          <w:i/>
          <w:iCs/>
          <w:color w:val="000000"/>
          <w:sz w:val="20"/>
          <w:lang w:eastAsia="fr-BE"/>
        </w:rPr>
        <w:br/>
      </w:r>
      <w:r w:rsidRPr="00CB4D4B">
        <w:rPr>
          <w:rFonts w:ascii="BNPP Sans Light" w:eastAsia="Times New Roman" w:hAnsi="BNPP Sans Light" w:cs="Arial"/>
          <w:b/>
          <w:bCs/>
          <w:i/>
          <w:iCs/>
          <w:szCs w:val="24"/>
          <w:lang w:eastAsia="fr-BE"/>
        </w:rPr>
        <w:t>Exemple représentatif</w:t>
      </w:r>
      <w:r w:rsidR="000B5384">
        <w:rPr>
          <w:rFonts w:ascii="Calibri" w:eastAsia="Times New Roman" w:hAnsi="Calibri" w:cs="Calibri"/>
          <w:b/>
          <w:bCs/>
          <w:i/>
          <w:iCs/>
          <w:szCs w:val="24"/>
          <w:lang w:eastAsia="fr-BE"/>
        </w:rPr>
        <w:t> </w:t>
      </w:r>
      <w:r w:rsidR="000B5384">
        <w:rPr>
          <w:rFonts w:ascii="BNPP Sans Light" w:eastAsia="Times New Roman" w:hAnsi="BNPP Sans Light" w:cs="Arial"/>
          <w:b/>
          <w:bCs/>
          <w:i/>
          <w:iCs/>
          <w:szCs w:val="24"/>
          <w:lang w:eastAsia="fr-BE"/>
        </w:rPr>
        <w:t xml:space="preserve">: </w:t>
      </w:r>
      <w:r w:rsidR="000B5384" w:rsidRPr="000B5384">
        <w:rPr>
          <w:rFonts w:ascii="BNPP Sans Light" w:eastAsia="Times New Roman" w:hAnsi="BNPP Sans Light" w:cs="Arial"/>
          <w:b/>
          <w:bCs/>
          <w:i/>
          <w:iCs/>
          <w:szCs w:val="24"/>
          <w:lang w:eastAsia="fr-BE"/>
        </w:rPr>
        <w:t>Prêt à tempérament voitures neuves sans faible émission de CO2</w:t>
      </w:r>
    </w:p>
    <w:p w14:paraId="0881123C" w14:textId="7192B040" w:rsidR="0004593B" w:rsidRPr="00CB4D4B" w:rsidRDefault="0004593B" w:rsidP="0004593B">
      <w:pPr>
        <w:spacing w:after="270" w:line="240" w:lineRule="auto"/>
        <w:rPr>
          <w:rFonts w:ascii="BNPP Sans Light" w:eastAsia="Times New Roman" w:hAnsi="BNPP Sans Light" w:cs="Arial"/>
          <w:sz w:val="20"/>
          <w:lang w:eastAsia="fr-BE"/>
        </w:rPr>
      </w:pPr>
      <w:r w:rsidRPr="00CB4D4B">
        <w:rPr>
          <w:rFonts w:ascii="BNPP Sans Light" w:eastAsia="Times New Roman" w:hAnsi="BNPP Sans Light" w:cs="Arial"/>
          <w:b/>
          <w:bCs/>
          <w:i/>
          <w:iCs/>
          <w:szCs w:val="24"/>
          <w:lang w:eastAsia="fr-BE"/>
        </w:rPr>
        <w:t>Prêt à tempérament</w:t>
      </w:r>
      <w:r w:rsidRPr="00CB4D4B">
        <w:rPr>
          <w:rFonts w:ascii="Calibri" w:eastAsia="Times New Roman" w:hAnsi="Calibri" w:cs="Calibri"/>
          <w:i/>
          <w:iCs/>
          <w:sz w:val="20"/>
          <w:lang w:eastAsia="fr-BE"/>
        </w:rPr>
        <w:t> </w:t>
      </w:r>
      <w:r w:rsidRPr="00CB4D4B">
        <w:rPr>
          <w:rFonts w:ascii="BNPP Sans Light" w:eastAsia="Times New Roman" w:hAnsi="BNPP Sans Light" w:cs="Arial"/>
          <w:i/>
          <w:iCs/>
          <w:sz w:val="20"/>
          <w:lang w:eastAsia="fr-BE"/>
        </w:rPr>
        <w:t xml:space="preserve">voitures neuves sans faible </w:t>
      </w:r>
      <w:r w:rsidRPr="00CB4D4B">
        <w:rPr>
          <w:rFonts w:ascii="BNPP Sans Light" w:eastAsia="Times New Roman" w:hAnsi="BNPP Sans Light" w:cs="BNPP Sans Light"/>
          <w:i/>
          <w:iCs/>
          <w:sz w:val="20"/>
          <w:lang w:eastAsia="fr-BE"/>
        </w:rPr>
        <w:t>é</w:t>
      </w:r>
      <w:r w:rsidRPr="00CB4D4B">
        <w:rPr>
          <w:rFonts w:ascii="BNPP Sans Light" w:eastAsia="Times New Roman" w:hAnsi="BNPP Sans Light" w:cs="Arial"/>
          <w:i/>
          <w:iCs/>
          <w:sz w:val="20"/>
          <w:lang w:eastAsia="fr-BE"/>
        </w:rPr>
        <w:t>mission de CO2, pour 20.000 EUR,</w:t>
      </w:r>
      <w:r w:rsidRPr="00CB4D4B">
        <w:rPr>
          <w:rFonts w:ascii="Calibri" w:eastAsia="Times New Roman" w:hAnsi="Calibri" w:cs="Calibri"/>
          <w:i/>
          <w:iCs/>
          <w:sz w:val="20"/>
          <w:lang w:eastAsia="fr-BE"/>
        </w:rPr>
        <w:t> </w:t>
      </w:r>
      <w:r w:rsidRPr="00CB4D4B">
        <w:rPr>
          <w:rFonts w:ascii="BNPP Sans Light" w:eastAsia="Times New Roman" w:hAnsi="BNPP Sans Light" w:cs="Arial"/>
          <w:b/>
          <w:bCs/>
          <w:i/>
          <w:iCs/>
          <w:szCs w:val="24"/>
          <w:lang w:eastAsia="fr-BE"/>
        </w:rPr>
        <w:t>TAEG</w:t>
      </w:r>
      <w:r w:rsidRPr="00CB4D4B">
        <w:rPr>
          <w:rFonts w:ascii="Calibri" w:eastAsia="Times New Roman" w:hAnsi="Calibri" w:cs="Calibri"/>
          <w:i/>
          <w:iCs/>
          <w:sz w:val="20"/>
          <w:lang w:eastAsia="fr-BE"/>
        </w:rPr>
        <w:t> </w:t>
      </w:r>
      <w:r w:rsidRPr="00CB4D4B">
        <w:rPr>
          <w:rFonts w:ascii="BNPP Sans Light" w:eastAsia="Times New Roman" w:hAnsi="BNPP Sans Light" w:cs="Arial"/>
          <w:i/>
          <w:iCs/>
          <w:sz w:val="20"/>
          <w:lang w:eastAsia="fr-BE"/>
        </w:rPr>
        <w:t>(Taux Annuel Effectif Global) de</w:t>
      </w:r>
      <w:r w:rsidRPr="00CB4D4B">
        <w:rPr>
          <w:rFonts w:ascii="Calibri" w:eastAsia="Times New Roman" w:hAnsi="Calibri" w:cs="Calibri"/>
          <w:i/>
          <w:iCs/>
          <w:sz w:val="20"/>
          <w:lang w:eastAsia="fr-BE"/>
        </w:rPr>
        <w:t> </w:t>
      </w:r>
      <w:r w:rsidRPr="00CB4D4B">
        <w:rPr>
          <w:rFonts w:ascii="BNPP Sans Light" w:eastAsia="Times New Roman" w:hAnsi="BNPP Sans Light" w:cs="Arial"/>
          <w:b/>
          <w:bCs/>
          <w:i/>
          <w:iCs/>
          <w:szCs w:val="24"/>
          <w:lang w:eastAsia="fr-BE"/>
        </w:rPr>
        <w:t>0,90%</w:t>
      </w:r>
      <w:r w:rsidRPr="00CB4D4B">
        <w:rPr>
          <w:rFonts w:ascii="Calibri" w:eastAsia="Times New Roman" w:hAnsi="Calibri" w:cs="Calibri"/>
          <w:i/>
          <w:iCs/>
          <w:sz w:val="20"/>
          <w:lang w:eastAsia="fr-BE"/>
        </w:rPr>
        <w:t> </w:t>
      </w:r>
      <w:r w:rsidRPr="00CB4D4B">
        <w:rPr>
          <w:rFonts w:ascii="BNPP Sans Light" w:eastAsia="Times New Roman" w:hAnsi="BNPP Sans Light" w:cs="Arial"/>
          <w:i/>
          <w:iCs/>
          <w:sz w:val="20"/>
          <w:lang w:eastAsia="fr-BE"/>
        </w:rPr>
        <w:t>(taux d</w:t>
      </w:r>
      <w:r w:rsidRPr="00CB4D4B">
        <w:rPr>
          <w:rFonts w:ascii="BNPP Sans Light" w:eastAsia="Times New Roman" w:hAnsi="BNPP Sans Light" w:cs="BNPP Sans Light"/>
          <w:i/>
          <w:iCs/>
          <w:sz w:val="20"/>
          <w:lang w:eastAsia="fr-BE"/>
        </w:rPr>
        <w:t>é</w:t>
      </w:r>
      <w:r w:rsidRPr="00CB4D4B">
        <w:rPr>
          <w:rFonts w:ascii="BNPP Sans Light" w:eastAsia="Times New Roman" w:hAnsi="BNPP Sans Light" w:cs="Arial"/>
          <w:i/>
          <w:iCs/>
          <w:sz w:val="20"/>
          <w:lang w:eastAsia="fr-BE"/>
        </w:rPr>
        <w:t>biteur annuel</w:t>
      </w:r>
      <w:r w:rsidRPr="00CB4D4B">
        <w:rPr>
          <w:rFonts w:ascii="Calibri" w:eastAsia="Times New Roman" w:hAnsi="Calibri" w:cs="Calibri"/>
          <w:i/>
          <w:iCs/>
          <w:sz w:val="20"/>
          <w:lang w:eastAsia="fr-BE"/>
        </w:rPr>
        <w:t> </w:t>
      </w:r>
      <w:r w:rsidRPr="00CB4D4B">
        <w:rPr>
          <w:rFonts w:ascii="BNPP Sans Light" w:eastAsia="Times New Roman" w:hAnsi="BNPP Sans Light" w:cs="Arial"/>
          <w:b/>
          <w:bCs/>
          <w:i/>
          <w:iCs/>
          <w:sz w:val="20"/>
          <w:lang w:eastAsia="fr-BE"/>
        </w:rPr>
        <w:t>fixe</w:t>
      </w:r>
      <w:r w:rsidRPr="00CB4D4B">
        <w:rPr>
          <w:rFonts w:ascii="BNPP Sans Light" w:eastAsia="Times New Roman" w:hAnsi="BNPP Sans Light" w:cs="Arial"/>
          <w:i/>
          <w:iCs/>
          <w:sz w:val="20"/>
          <w:lang w:eastAsia="fr-BE"/>
        </w:rPr>
        <w:t>: 0,90%). Mensualité de</w:t>
      </w:r>
      <w:r w:rsidRPr="00CB4D4B">
        <w:rPr>
          <w:rFonts w:ascii="Calibri" w:eastAsia="Times New Roman" w:hAnsi="Calibri" w:cs="Calibri"/>
          <w:i/>
          <w:iCs/>
          <w:sz w:val="20"/>
          <w:lang w:eastAsia="fr-BE"/>
        </w:rPr>
        <w:t> </w:t>
      </w:r>
      <w:r w:rsidR="00CB4D4B" w:rsidRPr="00CB4D4B">
        <w:rPr>
          <w:rFonts w:ascii="BNPP Sans Light" w:eastAsia="Times New Roman" w:hAnsi="BNPP Sans Light" w:cs="Arial"/>
          <w:b/>
          <w:bCs/>
          <w:i/>
          <w:iCs/>
          <w:szCs w:val="24"/>
          <w:lang w:eastAsia="fr-BE"/>
        </w:rPr>
        <w:t>340,98</w:t>
      </w:r>
      <w:r w:rsidRPr="00CB4D4B">
        <w:rPr>
          <w:rFonts w:ascii="BNPP Sans Light" w:eastAsia="Times New Roman" w:hAnsi="BNPP Sans Light" w:cs="Arial"/>
          <w:b/>
          <w:bCs/>
          <w:i/>
          <w:iCs/>
          <w:szCs w:val="24"/>
          <w:lang w:eastAsia="fr-BE"/>
        </w:rPr>
        <w:t xml:space="preserve"> EUR</w:t>
      </w:r>
      <w:r w:rsidRPr="00CB4D4B">
        <w:rPr>
          <w:rFonts w:ascii="Calibri" w:eastAsia="Times New Roman" w:hAnsi="Calibri" w:cs="Calibri"/>
          <w:i/>
          <w:iCs/>
          <w:sz w:val="20"/>
          <w:lang w:eastAsia="fr-BE"/>
        </w:rPr>
        <w:t> </w:t>
      </w:r>
      <w:r w:rsidRPr="00CB4D4B">
        <w:rPr>
          <w:rFonts w:ascii="BNPP Sans Light" w:eastAsia="Times New Roman" w:hAnsi="BNPP Sans Light" w:cs="Arial"/>
          <w:i/>
          <w:iCs/>
          <w:sz w:val="20"/>
          <w:lang w:eastAsia="fr-BE"/>
        </w:rPr>
        <w:t>en</w:t>
      </w:r>
      <w:r w:rsidRPr="00CB4D4B">
        <w:rPr>
          <w:rFonts w:ascii="Calibri" w:eastAsia="Times New Roman" w:hAnsi="Calibri" w:cs="Calibri"/>
          <w:i/>
          <w:iCs/>
          <w:sz w:val="20"/>
          <w:lang w:eastAsia="fr-BE"/>
        </w:rPr>
        <w:t> </w:t>
      </w:r>
      <w:r w:rsidRPr="00CB4D4B">
        <w:rPr>
          <w:rFonts w:ascii="BNPP Sans Light" w:eastAsia="Times New Roman" w:hAnsi="BNPP Sans Light" w:cs="Arial"/>
          <w:b/>
          <w:bCs/>
          <w:i/>
          <w:iCs/>
          <w:szCs w:val="24"/>
          <w:lang w:eastAsia="fr-BE"/>
        </w:rPr>
        <w:t>60 mois</w:t>
      </w:r>
      <w:r w:rsidRPr="00CB4D4B">
        <w:rPr>
          <w:rFonts w:ascii="BNPP Sans Light" w:eastAsia="Times New Roman" w:hAnsi="BNPP Sans Light" w:cs="Arial"/>
          <w:i/>
          <w:iCs/>
          <w:sz w:val="20"/>
          <w:lang w:eastAsia="fr-BE"/>
        </w:rPr>
        <w:t xml:space="preserve">. Montant total </w:t>
      </w:r>
      <w:r w:rsidR="000B5384">
        <w:rPr>
          <w:rFonts w:ascii="BNPP Sans Light" w:eastAsia="Times New Roman" w:hAnsi="BNPP Sans Light" w:cs="Arial"/>
          <w:i/>
          <w:iCs/>
          <w:sz w:val="20"/>
          <w:lang w:eastAsia="fr-BE"/>
        </w:rPr>
        <w:t>dû</w:t>
      </w:r>
      <w:r w:rsidRPr="00CB4D4B">
        <w:rPr>
          <w:rFonts w:ascii="BNPP Sans Light" w:eastAsia="Times New Roman" w:hAnsi="BNPP Sans Light" w:cs="Arial"/>
          <w:i/>
          <w:iCs/>
          <w:sz w:val="20"/>
          <w:lang w:eastAsia="fr-BE"/>
        </w:rPr>
        <w:t xml:space="preserve"> : </w:t>
      </w:r>
      <w:r w:rsidR="00CB4D4B" w:rsidRPr="00CB4D4B">
        <w:rPr>
          <w:rFonts w:ascii="BNPP Sans Light" w:eastAsia="Times New Roman" w:hAnsi="BNPP Sans Light" w:cs="Arial"/>
          <w:i/>
          <w:iCs/>
          <w:sz w:val="20"/>
          <w:lang w:eastAsia="fr-BE"/>
        </w:rPr>
        <w:t>20.458,80</w:t>
      </w:r>
      <w:r w:rsidRPr="00CB4D4B">
        <w:rPr>
          <w:rFonts w:ascii="BNPP Sans Light" w:eastAsia="Times New Roman" w:hAnsi="BNPP Sans Light" w:cs="Arial"/>
          <w:i/>
          <w:iCs/>
          <w:sz w:val="20"/>
          <w:lang w:eastAsia="fr-BE"/>
        </w:rPr>
        <w:t xml:space="preserve"> EUR. TAEG valable</w:t>
      </w:r>
      <w:r w:rsidRPr="00CB4D4B">
        <w:rPr>
          <w:rFonts w:ascii="Calibri" w:eastAsia="Times New Roman" w:hAnsi="Calibri" w:cs="Calibri"/>
          <w:i/>
          <w:iCs/>
          <w:sz w:val="20"/>
          <w:lang w:eastAsia="fr-BE"/>
        </w:rPr>
        <w:t> </w:t>
      </w:r>
      <w:r w:rsidRPr="00CB4D4B">
        <w:rPr>
          <w:rFonts w:ascii="BNPP Sans Light" w:eastAsia="Times New Roman" w:hAnsi="BNPP Sans Light" w:cs="Arial"/>
          <w:b/>
          <w:bCs/>
          <w:i/>
          <w:iCs/>
          <w:sz w:val="20"/>
          <w:lang w:eastAsia="fr-BE"/>
        </w:rPr>
        <w:t>du</w:t>
      </w:r>
      <w:r w:rsidRPr="00CB4D4B">
        <w:rPr>
          <w:rFonts w:ascii="BNPP Sans Light" w:eastAsia="Times New Roman" w:hAnsi="BNPP Sans Light" w:cs="Arial"/>
          <w:b/>
          <w:bCs/>
          <w:i/>
          <w:iCs/>
          <w:szCs w:val="24"/>
          <w:lang w:eastAsia="fr-BE"/>
        </w:rPr>
        <w:t xml:space="preserve"> </w:t>
      </w:r>
      <w:r w:rsidR="00D35853" w:rsidRPr="00CB4D4B">
        <w:rPr>
          <w:rFonts w:ascii="BNPP Sans Light" w:eastAsia="Times New Roman" w:hAnsi="BNPP Sans Light" w:cs="Arial"/>
          <w:b/>
          <w:bCs/>
          <w:i/>
          <w:iCs/>
          <w:szCs w:val="24"/>
          <w:lang w:eastAsia="fr-BE"/>
        </w:rPr>
        <w:t>04/01/2022 au 28/02/2022</w:t>
      </w:r>
      <w:r w:rsidR="00D35853" w:rsidRPr="00CB4D4B">
        <w:rPr>
          <w:rFonts w:ascii="BNPP Sans Light" w:eastAsia="Times New Roman" w:hAnsi="BNPP Sans Light" w:cs="Arial"/>
          <w:b/>
          <w:bCs/>
          <w:i/>
          <w:iCs/>
          <w:sz w:val="20"/>
          <w:lang w:eastAsia="fr-BE"/>
        </w:rPr>
        <w:t xml:space="preserve"> </w:t>
      </w:r>
      <w:r w:rsidRPr="00CB4D4B">
        <w:rPr>
          <w:rFonts w:ascii="BNPP Sans Light" w:eastAsia="Times New Roman" w:hAnsi="BNPP Sans Light" w:cs="Arial"/>
          <w:b/>
          <w:bCs/>
          <w:i/>
          <w:iCs/>
          <w:sz w:val="20"/>
          <w:lang w:eastAsia="fr-BE"/>
        </w:rPr>
        <w:t>inclus</w:t>
      </w:r>
      <w:r w:rsidRPr="00CB4D4B">
        <w:rPr>
          <w:rFonts w:ascii="BNPP Sans Light" w:eastAsia="Times New Roman" w:hAnsi="BNPP Sans Light" w:cs="Arial"/>
          <w:i/>
          <w:iCs/>
          <w:sz w:val="20"/>
          <w:lang w:eastAsia="fr-BE"/>
        </w:rPr>
        <w:t>. Tarif non valable pour un emprunt servant à regrouper d'autres crédits. Exemple valable pour les clients existants de BNP Paribas Fortis.</w:t>
      </w:r>
      <w:r w:rsidRPr="00CB4D4B">
        <w:rPr>
          <w:rFonts w:ascii="Calibri" w:eastAsia="Times New Roman" w:hAnsi="Calibri" w:cs="Calibri"/>
          <w:i/>
          <w:iCs/>
          <w:sz w:val="20"/>
          <w:lang w:eastAsia="fr-BE"/>
        </w:rPr>
        <w:t> </w:t>
      </w:r>
    </w:p>
    <w:p w14:paraId="39A72847" w14:textId="4072AD51" w:rsidR="00DE1B98" w:rsidRDefault="00DE1B98" w:rsidP="00DE1B98">
      <w:pPr>
        <w:jc w:val="center"/>
        <w:rPr>
          <w:rFonts w:ascii="BNPP Sans Light" w:hAnsi="BNPP Sans Light"/>
          <w:szCs w:val="24"/>
          <w:lang w:val="fr-BE"/>
        </w:rPr>
      </w:pPr>
      <w:r>
        <w:rPr>
          <w:rFonts w:ascii="BNPP Sans Light" w:hAnsi="BNPP Sans Light"/>
          <w:szCs w:val="24"/>
          <w:lang w:val="fr-BE"/>
        </w:rPr>
        <w:t>---</w:t>
      </w:r>
    </w:p>
    <w:tbl>
      <w:tblPr>
        <w:tblW w:w="10315" w:type="dxa"/>
        <w:tblLayout w:type="fixed"/>
        <w:tblLook w:val="0000" w:firstRow="0" w:lastRow="0" w:firstColumn="0" w:lastColumn="0" w:noHBand="0" w:noVBand="0"/>
      </w:tblPr>
      <w:tblGrid>
        <w:gridCol w:w="2132"/>
        <w:gridCol w:w="2476"/>
        <w:gridCol w:w="1330"/>
        <w:gridCol w:w="4377"/>
      </w:tblGrid>
      <w:tr w:rsidR="00122724" w:rsidRPr="009D2329" w14:paraId="10481D4B" w14:textId="77777777" w:rsidTr="00B42133">
        <w:trPr>
          <w:trHeight w:val="481"/>
        </w:trPr>
        <w:tc>
          <w:tcPr>
            <w:tcW w:w="5938" w:type="dxa"/>
            <w:gridSpan w:val="3"/>
          </w:tcPr>
          <w:p w14:paraId="5CC0F2F9" w14:textId="77777777" w:rsidR="00122724" w:rsidRPr="00497A19" w:rsidRDefault="00122724" w:rsidP="00B42133">
            <w:pPr>
              <w:rPr>
                <w:rFonts w:ascii="BNPP Sans Light" w:hAnsi="BNPP Sans Light"/>
                <w:b/>
                <w:color w:val="000000"/>
                <w:szCs w:val="24"/>
                <w:lang w:val="en-GB"/>
              </w:rPr>
            </w:pPr>
          </w:p>
          <w:p w14:paraId="713629B9" w14:textId="77777777" w:rsidR="00122724" w:rsidRPr="00497A19" w:rsidRDefault="00122724" w:rsidP="00B42133">
            <w:pPr>
              <w:rPr>
                <w:rFonts w:ascii="BNPP Sans Light" w:hAnsi="BNPP Sans Light"/>
                <w:color w:val="000000"/>
                <w:szCs w:val="24"/>
                <w:lang w:val="en-GB"/>
              </w:rPr>
            </w:pPr>
            <w:r w:rsidRPr="00497A19">
              <w:rPr>
                <w:rFonts w:ascii="BNPP Sans Light" w:hAnsi="BNPP Sans Light"/>
                <w:b/>
                <w:color w:val="000000"/>
                <w:szCs w:val="24"/>
                <w:lang w:val="en-GB"/>
              </w:rPr>
              <w:t>Contacts Presse</w:t>
            </w:r>
            <w:r w:rsidRPr="00497A19">
              <w:rPr>
                <w:rFonts w:ascii="BNPP Sans Light" w:hAnsi="BNPP Sans Light"/>
                <w:color w:val="000000"/>
                <w:szCs w:val="24"/>
                <w:lang w:val="en-GB"/>
              </w:rPr>
              <w:t xml:space="preserve"> : </w:t>
            </w:r>
          </w:p>
          <w:p w14:paraId="45EB944B" w14:textId="77777777" w:rsidR="00122724" w:rsidRPr="00497A19" w:rsidRDefault="00122724" w:rsidP="00B42133">
            <w:pPr>
              <w:rPr>
                <w:rFonts w:ascii="BNPP Sans Light" w:hAnsi="BNPP Sans Light"/>
                <w:color w:val="000000"/>
                <w:szCs w:val="24"/>
                <w:lang w:val="en-GB"/>
              </w:rPr>
            </w:pPr>
          </w:p>
          <w:p w14:paraId="79A4E546" w14:textId="77777777" w:rsidR="00122724" w:rsidRPr="00497A19" w:rsidRDefault="00122724" w:rsidP="00B42133">
            <w:pPr>
              <w:autoSpaceDE w:val="0"/>
              <w:autoSpaceDN w:val="0"/>
              <w:adjustRightInd w:val="0"/>
              <w:spacing w:line="240" w:lineRule="auto"/>
              <w:jc w:val="left"/>
              <w:rPr>
                <w:rFonts w:ascii="BNPP Sans Light" w:hAnsi="BNPP Sans Light" w:cs="Arial"/>
                <w:b/>
                <w:szCs w:val="24"/>
                <w:lang w:val="en-GB"/>
              </w:rPr>
            </w:pPr>
            <w:r w:rsidRPr="00497A19">
              <w:rPr>
                <w:rFonts w:ascii="BNPP Sans Light" w:hAnsi="BNPP Sans Light" w:cs="Arial"/>
                <w:b/>
                <w:szCs w:val="24"/>
                <w:lang w:val="en-GB"/>
              </w:rPr>
              <w:t>Valéry Halloy</w:t>
            </w:r>
          </w:p>
          <w:p w14:paraId="45FC9B13" w14:textId="77777777" w:rsidR="00122724" w:rsidRPr="00497A19" w:rsidRDefault="00122724" w:rsidP="00B42133">
            <w:pPr>
              <w:autoSpaceDE w:val="0"/>
              <w:autoSpaceDN w:val="0"/>
              <w:adjustRightInd w:val="0"/>
              <w:spacing w:line="240" w:lineRule="auto"/>
              <w:jc w:val="left"/>
              <w:rPr>
                <w:rFonts w:ascii="BNPP Sans Light" w:hAnsi="BNPP Sans Light" w:cs="Arial"/>
                <w:szCs w:val="24"/>
                <w:lang w:val="en-GB"/>
              </w:rPr>
            </w:pPr>
            <w:r w:rsidRPr="00497A19">
              <w:rPr>
                <w:rFonts w:ascii="BNPP Sans Light" w:hAnsi="BNPP Sans Light" w:cs="Arial"/>
                <w:szCs w:val="24"/>
                <w:lang w:val="en-GB"/>
              </w:rPr>
              <w:t>+32 (0)2 565 46 50</w:t>
            </w:r>
          </w:p>
          <w:p w14:paraId="06D6106E" w14:textId="77777777" w:rsidR="00122724" w:rsidRPr="00497A19" w:rsidRDefault="00122724" w:rsidP="00B42133">
            <w:pPr>
              <w:autoSpaceDE w:val="0"/>
              <w:autoSpaceDN w:val="0"/>
              <w:adjustRightInd w:val="0"/>
              <w:spacing w:line="240" w:lineRule="auto"/>
              <w:jc w:val="left"/>
              <w:rPr>
                <w:rFonts w:ascii="BNPP Sans Light" w:hAnsi="BNPP Sans Light"/>
                <w:color w:val="000000"/>
                <w:szCs w:val="24"/>
                <w:lang w:val="en-GB"/>
              </w:rPr>
            </w:pPr>
            <w:r w:rsidRPr="00497A19">
              <w:rPr>
                <w:rFonts w:ascii="BNPP Sans Light" w:hAnsi="BNPP Sans Light" w:cs="Arial"/>
                <w:szCs w:val="24"/>
                <w:lang w:val="en-GB"/>
              </w:rPr>
              <w:t>+32 475 78 80 97</w:t>
            </w:r>
            <w:r w:rsidRPr="00497A19">
              <w:rPr>
                <w:rFonts w:ascii="BNPP Sans Light" w:hAnsi="BNPP Sans Light" w:cs="Arial"/>
                <w:szCs w:val="24"/>
                <w:lang w:val="en-GB"/>
              </w:rPr>
              <w:br/>
            </w:r>
            <w:hyperlink r:id="rId9" w:history="1">
              <w:r w:rsidRPr="00497A19">
                <w:rPr>
                  <w:rStyle w:val="Hyperlink"/>
                  <w:rFonts w:ascii="BNPP Sans Light" w:hAnsi="BNPP Sans Light"/>
                  <w:szCs w:val="24"/>
                  <w:lang w:val="en-GB"/>
                </w:rPr>
                <w:t>valery.halloy@bnpparibasfortis.com</w:t>
              </w:r>
            </w:hyperlink>
          </w:p>
        </w:tc>
        <w:tc>
          <w:tcPr>
            <w:tcW w:w="4377" w:type="dxa"/>
          </w:tcPr>
          <w:p w14:paraId="5D410E59" w14:textId="77777777" w:rsidR="00122724" w:rsidRPr="00497A19" w:rsidRDefault="00122724" w:rsidP="00B42133">
            <w:pPr>
              <w:autoSpaceDE w:val="0"/>
              <w:autoSpaceDN w:val="0"/>
              <w:adjustRightInd w:val="0"/>
              <w:spacing w:line="240" w:lineRule="auto"/>
              <w:jc w:val="left"/>
              <w:rPr>
                <w:rFonts w:ascii="BNPP Sans Light" w:hAnsi="BNPP Sans Light" w:cs="Arial"/>
                <w:bCs/>
                <w:szCs w:val="24"/>
                <w:lang w:val="en-GB"/>
              </w:rPr>
            </w:pPr>
          </w:p>
          <w:p w14:paraId="23D043A0" w14:textId="77777777" w:rsidR="00122724" w:rsidRPr="00497A19" w:rsidRDefault="00122724" w:rsidP="00B42133">
            <w:pPr>
              <w:autoSpaceDE w:val="0"/>
              <w:autoSpaceDN w:val="0"/>
              <w:adjustRightInd w:val="0"/>
              <w:spacing w:line="240" w:lineRule="auto"/>
              <w:jc w:val="left"/>
              <w:rPr>
                <w:rFonts w:ascii="BNPP Sans Light" w:hAnsi="BNPP Sans Light" w:cs="Arial"/>
                <w:bCs/>
                <w:szCs w:val="24"/>
                <w:lang w:val="en-GB"/>
              </w:rPr>
            </w:pPr>
          </w:p>
          <w:p w14:paraId="07BF1C0F" w14:textId="77777777" w:rsidR="00122724" w:rsidRPr="00497A19" w:rsidRDefault="00122724" w:rsidP="00B42133">
            <w:pPr>
              <w:autoSpaceDE w:val="0"/>
              <w:autoSpaceDN w:val="0"/>
              <w:adjustRightInd w:val="0"/>
              <w:spacing w:line="240" w:lineRule="auto"/>
              <w:jc w:val="left"/>
              <w:rPr>
                <w:rFonts w:ascii="BNPP Sans Light" w:hAnsi="BNPP Sans Light" w:cs="Arial"/>
                <w:bCs/>
                <w:szCs w:val="24"/>
                <w:lang w:val="en-GB"/>
              </w:rPr>
            </w:pPr>
          </w:p>
          <w:p w14:paraId="49A41123" w14:textId="77777777" w:rsidR="00122724" w:rsidRPr="00497A19" w:rsidRDefault="00122724" w:rsidP="00B42133">
            <w:pPr>
              <w:autoSpaceDE w:val="0"/>
              <w:autoSpaceDN w:val="0"/>
              <w:adjustRightInd w:val="0"/>
              <w:spacing w:line="240" w:lineRule="auto"/>
              <w:jc w:val="left"/>
              <w:rPr>
                <w:rFonts w:ascii="BNPP Sans Light" w:hAnsi="BNPP Sans Light" w:cs="Arial"/>
                <w:szCs w:val="24"/>
                <w:lang w:val="nl-BE"/>
              </w:rPr>
            </w:pPr>
            <w:r w:rsidRPr="00497A19">
              <w:rPr>
                <w:rFonts w:ascii="BNPP Sans Light" w:hAnsi="BNPP Sans Light" w:cs="Arial"/>
                <w:b/>
                <w:bCs/>
                <w:szCs w:val="24"/>
                <w:lang w:val="nl-BE"/>
              </w:rPr>
              <w:t xml:space="preserve">Hilde </w:t>
            </w:r>
            <w:proofErr w:type="spellStart"/>
            <w:r w:rsidRPr="00497A19">
              <w:rPr>
                <w:rFonts w:ascii="BNPP Sans Light" w:hAnsi="BNPP Sans Light" w:cs="Arial"/>
                <w:b/>
                <w:bCs/>
                <w:szCs w:val="24"/>
                <w:lang w:val="nl-BE"/>
              </w:rPr>
              <w:t>Junius</w:t>
            </w:r>
            <w:proofErr w:type="spellEnd"/>
            <w:r w:rsidRPr="00497A19">
              <w:rPr>
                <w:rFonts w:ascii="BNPP Sans Light" w:hAnsi="BNPP Sans Light" w:cs="Arial"/>
                <w:szCs w:val="24"/>
                <w:lang w:val="nl-BE"/>
              </w:rPr>
              <w:t xml:space="preserve"> </w:t>
            </w:r>
            <w:r w:rsidRPr="00497A19">
              <w:rPr>
                <w:rFonts w:ascii="BNPP Sans Light" w:hAnsi="BNPP Sans Light" w:cs="Arial"/>
                <w:szCs w:val="24"/>
                <w:lang w:val="nl-BE"/>
              </w:rPr>
              <w:br/>
              <w:t xml:space="preserve">+32 (0)2 565 47 37 </w:t>
            </w:r>
          </w:p>
          <w:p w14:paraId="36325391" w14:textId="77777777" w:rsidR="00122724" w:rsidRPr="00497A19" w:rsidRDefault="00122724" w:rsidP="00B42133">
            <w:pPr>
              <w:autoSpaceDE w:val="0"/>
              <w:autoSpaceDN w:val="0"/>
              <w:adjustRightInd w:val="0"/>
              <w:spacing w:line="240" w:lineRule="auto"/>
              <w:jc w:val="left"/>
              <w:rPr>
                <w:rFonts w:ascii="BNPP Sans Light" w:hAnsi="BNPP Sans Light" w:cs="Arial"/>
                <w:szCs w:val="24"/>
                <w:lang w:val="nl-BE"/>
              </w:rPr>
            </w:pPr>
            <w:r w:rsidRPr="00497A19">
              <w:rPr>
                <w:rFonts w:ascii="BNPP Sans Light" w:hAnsi="BNPP Sans Light" w:cs="Arial"/>
                <w:szCs w:val="24"/>
                <w:lang w:val="nl-BE"/>
              </w:rPr>
              <w:t>+32 478 88 29 60</w:t>
            </w:r>
          </w:p>
          <w:p w14:paraId="43BCB213" w14:textId="77777777" w:rsidR="00122724" w:rsidRPr="00497A19" w:rsidRDefault="00C04FAE" w:rsidP="00B42133">
            <w:pPr>
              <w:autoSpaceDE w:val="0"/>
              <w:autoSpaceDN w:val="0"/>
              <w:adjustRightInd w:val="0"/>
              <w:spacing w:line="240" w:lineRule="auto"/>
              <w:jc w:val="left"/>
              <w:rPr>
                <w:rFonts w:ascii="BNPP Sans Light" w:hAnsi="BNPP Sans Light"/>
                <w:color w:val="0000FF"/>
                <w:szCs w:val="24"/>
                <w:u w:val="single"/>
                <w:lang w:val="nl-BE"/>
              </w:rPr>
            </w:pPr>
            <w:hyperlink r:id="rId10" w:history="1">
              <w:r w:rsidR="00122724" w:rsidRPr="00497A19">
                <w:rPr>
                  <w:rStyle w:val="Hyperlink"/>
                  <w:rFonts w:ascii="BNPP Sans Light" w:hAnsi="BNPP Sans Light"/>
                  <w:szCs w:val="24"/>
                  <w:lang w:val="nl-BE"/>
                </w:rPr>
                <w:t>hilde.junius@bnpparibasfortis.com</w:t>
              </w:r>
            </w:hyperlink>
          </w:p>
          <w:p w14:paraId="390858EC" w14:textId="77777777" w:rsidR="00122724" w:rsidRPr="00497A19" w:rsidRDefault="00122724" w:rsidP="00B42133">
            <w:pPr>
              <w:autoSpaceDE w:val="0"/>
              <w:autoSpaceDN w:val="0"/>
              <w:adjustRightInd w:val="0"/>
              <w:spacing w:line="240" w:lineRule="auto"/>
              <w:jc w:val="left"/>
              <w:rPr>
                <w:rFonts w:ascii="BNPP Sans Light" w:hAnsi="BNPP Sans Light"/>
                <w:b/>
                <w:color w:val="000000"/>
                <w:szCs w:val="24"/>
                <w:lang w:val="nl-BE"/>
              </w:rPr>
            </w:pPr>
          </w:p>
        </w:tc>
      </w:tr>
      <w:tr w:rsidR="00AD7831" w:rsidRPr="009D2329" w14:paraId="022D9000" w14:textId="77777777" w:rsidTr="00ED7E4D">
        <w:trPr>
          <w:gridAfter w:val="2"/>
          <w:wAfter w:w="5707" w:type="dxa"/>
        </w:trPr>
        <w:tc>
          <w:tcPr>
            <w:tcW w:w="2132" w:type="dxa"/>
          </w:tcPr>
          <w:p w14:paraId="39988BA1" w14:textId="77777777" w:rsidR="00AD7831" w:rsidRPr="00B92650" w:rsidRDefault="00AD7831" w:rsidP="00E90F93">
            <w:pPr>
              <w:jc w:val="center"/>
              <w:rPr>
                <w:color w:val="000000"/>
                <w:szCs w:val="22"/>
                <w:lang w:val="nl-BE"/>
              </w:rPr>
            </w:pPr>
          </w:p>
        </w:tc>
        <w:tc>
          <w:tcPr>
            <w:tcW w:w="2476" w:type="dxa"/>
          </w:tcPr>
          <w:p w14:paraId="2C3180F9" w14:textId="77777777" w:rsidR="00AD7831" w:rsidRPr="00B92650" w:rsidRDefault="00AD7831" w:rsidP="00ED7E4D">
            <w:pPr>
              <w:rPr>
                <w:b/>
                <w:color w:val="000000"/>
                <w:szCs w:val="22"/>
                <w:lang w:val="nl-BE"/>
              </w:rPr>
            </w:pPr>
          </w:p>
        </w:tc>
      </w:tr>
    </w:tbl>
    <w:p w14:paraId="28FA04AD" w14:textId="77777777" w:rsidR="00E90F93" w:rsidRDefault="00E90F93" w:rsidP="00E90F93">
      <w:pPr>
        <w:jc w:val="center"/>
        <w:rPr>
          <w:rFonts w:ascii="BNPP Sans Light" w:hAnsi="BNPP Sans Light"/>
          <w:b/>
          <w:szCs w:val="24"/>
          <w:lang w:val="fr-BE"/>
        </w:rPr>
      </w:pPr>
      <w:r>
        <w:rPr>
          <w:rFonts w:ascii="BNPP Sans Light" w:hAnsi="BNPP Sans Light"/>
          <w:b/>
          <w:szCs w:val="24"/>
          <w:lang w:val="fr-BE"/>
        </w:rPr>
        <w:t>---</w:t>
      </w:r>
    </w:p>
    <w:p w14:paraId="1A922EEE" w14:textId="77777777" w:rsidR="0017059C" w:rsidRDefault="0017059C" w:rsidP="00E90F93">
      <w:pPr>
        <w:rPr>
          <w:rFonts w:ascii="BNPP Sans Light" w:hAnsi="BNPP Sans Light"/>
          <w:b/>
          <w:sz w:val="20"/>
          <w:lang w:val="fr-BE"/>
        </w:rPr>
      </w:pPr>
    </w:p>
    <w:p w14:paraId="40FA8DDD" w14:textId="77777777" w:rsidR="00AD7831" w:rsidRPr="007053B0" w:rsidRDefault="008A7C3D" w:rsidP="00AD7831">
      <w:pPr>
        <w:spacing w:line="360" w:lineRule="auto"/>
        <w:rPr>
          <w:rFonts w:ascii="BNPP Sans Light" w:hAnsi="BNPP Sans Light" w:cs="Arial"/>
          <w:b/>
          <w:i/>
          <w:sz w:val="18"/>
          <w:szCs w:val="18"/>
          <w:u w:val="single"/>
          <w:lang w:val="fr-BE"/>
        </w:rPr>
      </w:pPr>
      <w:r w:rsidRPr="007053B0">
        <w:rPr>
          <w:rFonts w:ascii="BNPP Sans Light" w:hAnsi="BNPP Sans Light" w:cs="Arial"/>
          <w:b/>
          <w:i/>
          <w:sz w:val="18"/>
          <w:szCs w:val="18"/>
          <w:u w:val="single"/>
          <w:lang w:val="fr-BE"/>
        </w:rPr>
        <w:t xml:space="preserve">A propos de </w:t>
      </w:r>
    </w:p>
    <w:p w14:paraId="67211DDE" w14:textId="77777777" w:rsidR="00CD24D4" w:rsidRPr="007053B0" w:rsidRDefault="00CD24D4" w:rsidP="00AD7831">
      <w:pPr>
        <w:spacing w:line="276" w:lineRule="auto"/>
        <w:rPr>
          <w:rFonts w:ascii="BNPP Sans Light" w:hAnsi="BNPP Sans Light" w:cs="Arial"/>
          <w:b/>
          <w:i/>
          <w:sz w:val="18"/>
          <w:szCs w:val="18"/>
        </w:rPr>
      </w:pPr>
    </w:p>
    <w:p w14:paraId="7C83AB88" w14:textId="77777777" w:rsidR="00AD7831" w:rsidRPr="007053B0" w:rsidRDefault="007D2306" w:rsidP="00AD7831">
      <w:pPr>
        <w:spacing w:line="276" w:lineRule="auto"/>
        <w:rPr>
          <w:rFonts w:ascii="BNPP Sans Light" w:hAnsi="BNPP Sans Light" w:cs="Arial"/>
          <w:b/>
          <w:i/>
          <w:sz w:val="18"/>
          <w:szCs w:val="18"/>
        </w:rPr>
      </w:pPr>
      <w:r w:rsidRPr="007053B0">
        <w:rPr>
          <w:rFonts w:ascii="BNPP Sans Light" w:hAnsi="BNPP Sans Light" w:cs="Arial"/>
          <w:b/>
          <w:i/>
          <w:sz w:val="18"/>
          <w:szCs w:val="18"/>
        </w:rPr>
        <w:t xml:space="preserve">BNP Paribas Fortis </w:t>
      </w:r>
      <w:r w:rsidRPr="007053B0">
        <w:rPr>
          <w:rFonts w:ascii="BNPP Sans Light" w:hAnsi="BNPP Sans Light" w:cs="Arial"/>
          <w:i/>
          <w:sz w:val="18"/>
          <w:szCs w:val="18"/>
        </w:rPr>
        <w:t>(</w:t>
      </w:r>
      <w:hyperlink r:id="rId11" w:history="1">
        <w:r w:rsidRPr="007053B0">
          <w:rPr>
            <w:rStyle w:val="Hyperlink"/>
            <w:rFonts w:ascii="BNPP Sans Light" w:hAnsi="BNPP Sans Light" w:cs="Arial"/>
            <w:i/>
            <w:sz w:val="18"/>
            <w:szCs w:val="18"/>
          </w:rPr>
          <w:t>www.bnpparibasfortis.com</w:t>
        </w:r>
      </w:hyperlink>
      <w:r w:rsidRPr="007053B0">
        <w:rPr>
          <w:rFonts w:ascii="BNPP Sans Light" w:hAnsi="BNPP Sans Light" w:cs="Arial"/>
          <w:i/>
          <w:sz w:val="18"/>
          <w:szCs w:val="18"/>
        </w:rPr>
        <w:t xml:space="preserve">)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w:t>
      </w:r>
      <w:proofErr w:type="spellStart"/>
      <w:r w:rsidRPr="007053B0">
        <w:rPr>
          <w:rFonts w:ascii="BNPP Sans Light" w:hAnsi="BNPP Sans Light" w:cs="Arial"/>
          <w:i/>
          <w:sz w:val="18"/>
          <w:szCs w:val="18"/>
        </w:rPr>
        <w:t>Insurance</w:t>
      </w:r>
      <w:proofErr w:type="spellEnd"/>
      <w:r w:rsidRPr="007053B0">
        <w:rPr>
          <w:rFonts w:ascii="BNPP Sans Light" w:hAnsi="BNPP Sans Light" w:cs="Arial"/>
          <w:i/>
          <w:sz w:val="18"/>
          <w:szCs w:val="18"/>
        </w:rPr>
        <w:t>,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62587119" w14:textId="77777777" w:rsidR="007D2306" w:rsidRPr="007053B0" w:rsidRDefault="007D2306" w:rsidP="00AD7831">
      <w:pPr>
        <w:spacing w:line="276" w:lineRule="auto"/>
        <w:rPr>
          <w:rFonts w:ascii="BNPP Sans Light" w:hAnsi="BNPP Sans Light" w:cs="Arial"/>
          <w:i/>
          <w:sz w:val="18"/>
          <w:szCs w:val="18"/>
        </w:rPr>
      </w:pPr>
    </w:p>
    <w:p w14:paraId="75F7AD1C" w14:textId="77777777" w:rsidR="00242D73" w:rsidRPr="007053B0" w:rsidRDefault="00AD7831" w:rsidP="007D2306">
      <w:pPr>
        <w:autoSpaceDE w:val="0"/>
        <w:autoSpaceDN w:val="0"/>
        <w:adjustRightInd w:val="0"/>
        <w:spacing w:line="276" w:lineRule="auto"/>
        <w:rPr>
          <w:rFonts w:ascii="BNPP Sans Light" w:hAnsi="BNPP Sans Light" w:cs="BNPP Sans Light"/>
          <w:i/>
          <w:color w:val="000000"/>
          <w:sz w:val="18"/>
          <w:szCs w:val="18"/>
          <w:lang w:val="fr-BE"/>
        </w:rPr>
      </w:pPr>
      <w:r w:rsidRPr="007053B0">
        <w:rPr>
          <w:rFonts w:ascii="BNPP Sans Light" w:hAnsi="BNPP Sans Light" w:cs="BNPP Sans Light"/>
          <w:b/>
          <w:i/>
          <w:color w:val="000000"/>
          <w:sz w:val="18"/>
          <w:szCs w:val="18"/>
          <w:lang w:val="fr-BE"/>
        </w:rPr>
        <w:t>BNP Paribas</w:t>
      </w:r>
      <w:r w:rsidRPr="007053B0">
        <w:rPr>
          <w:rFonts w:ascii="BNPP Sans Light" w:hAnsi="BNPP Sans Light" w:cs="BNPP Sans Light"/>
          <w:i/>
          <w:color w:val="000000"/>
          <w:sz w:val="18"/>
          <w:szCs w:val="18"/>
          <w:lang w:val="fr-BE"/>
        </w:rPr>
        <w:t xml:space="preserve"> (</w:t>
      </w:r>
      <w:hyperlink r:id="rId12" w:history="1">
        <w:r w:rsidRPr="007053B0">
          <w:rPr>
            <w:rStyle w:val="Hyperlink"/>
            <w:rFonts w:ascii="BNPP Sans Light" w:hAnsi="BNPP Sans Light" w:cs="BNPP Sans Light"/>
            <w:i/>
            <w:sz w:val="18"/>
            <w:szCs w:val="18"/>
            <w:lang w:val="fr-BE"/>
          </w:rPr>
          <w:t>www.bnpparibas.com</w:t>
        </w:r>
      </w:hyperlink>
      <w:r w:rsidRPr="007053B0">
        <w:rPr>
          <w:rFonts w:ascii="BNPP Sans Light" w:hAnsi="BNPP Sans Light" w:cs="BNPP Sans Light"/>
          <w:i/>
          <w:color w:val="000000"/>
          <w:sz w:val="18"/>
          <w:szCs w:val="18"/>
          <w:lang w:val="fr-BE"/>
        </w:rPr>
        <w:t>)</w:t>
      </w:r>
      <w:r w:rsidR="001868AC" w:rsidRPr="007053B0">
        <w:rPr>
          <w:rFonts w:ascii="BNPP Sans Light" w:hAnsi="BNPP Sans Light"/>
        </w:rPr>
        <w:t xml:space="preserve"> </w:t>
      </w:r>
      <w:r w:rsidR="007D2306" w:rsidRPr="007053B0">
        <w:rPr>
          <w:rFonts w:ascii="BNPP Sans Light" w:hAnsi="BNPP Sans Light" w:cs="BNPP Sans Light"/>
          <w:i/>
          <w:color w:val="000000"/>
          <w:sz w:val="18"/>
          <w:szCs w:val="18"/>
          <w:lang w:val="fr-BE"/>
        </w:rPr>
        <w:t xml:space="preserve">est une banque de premier plan en Europe avec un rayonnement international. Elle est présente dans 72 pays, avec plus de 202 000 collaborateurs, dont plus de 154 000 en Europe. Le Groupe détient des positions clés dans ses trois grands domaines d'activité : Domestic </w:t>
      </w:r>
      <w:proofErr w:type="spellStart"/>
      <w:r w:rsidR="007D2306" w:rsidRPr="007053B0">
        <w:rPr>
          <w:rFonts w:ascii="BNPP Sans Light" w:hAnsi="BNPP Sans Light" w:cs="BNPP Sans Light"/>
          <w:i/>
          <w:color w:val="000000"/>
          <w:sz w:val="18"/>
          <w:szCs w:val="18"/>
          <w:lang w:val="fr-BE"/>
        </w:rPr>
        <w:t>Markets</w:t>
      </w:r>
      <w:proofErr w:type="spellEnd"/>
      <w:r w:rsidR="007D2306" w:rsidRPr="007053B0">
        <w:rPr>
          <w:rFonts w:ascii="BNPP Sans Light" w:hAnsi="BNPP Sans Light" w:cs="BNPP Sans Light"/>
          <w:i/>
          <w:color w:val="000000"/>
          <w:sz w:val="18"/>
          <w:szCs w:val="18"/>
          <w:lang w:val="fr-BE"/>
        </w:rPr>
        <w:t xml:space="preserve"> et International Financial Services, dont les réseaux de banques de détail et les services financiers sont regroupés dans </w:t>
      </w:r>
      <w:proofErr w:type="spellStart"/>
      <w:r w:rsidR="007D2306" w:rsidRPr="007053B0">
        <w:rPr>
          <w:rFonts w:ascii="BNPP Sans Light" w:hAnsi="BNPP Sans Light" w:cs="BNPP Sans Light"/>
          <w:i/>
          <w:color w:val="000000"/>
          <w:sz w:val="18"/>
          <w:szCs w:val="18"/>
          <w:lang w:val="fr-BE"/>
        </w:rPr>
        <w:t>Retail</w:t>
      </w:r>
      <w:proofErr w:type="spellEnd"/>
      <w:r w:rsidR="007D2306" w:rsidRPr="007053B0">
        <w:rPr>
          <w:rFonts w:ascii="BNPP Sans Light" w:hAnsi="BNPP Sans Light" w:cs="BNPP Sans Light"/>
          <w:i/>
          <w:color w:val="000000"/>
          <w:sz w:val="18"/>
          <w:szCs w:val="18"/>
          <w:lang w:val="fr-BE"/>
        </w:rPr>
        <w:t xml:space="preserve"> Banking &amp; Services, et Corporate &amp; </w:t>
      </w:r>
      <w:proofErr w:type="spellStart"/>
      <w:r w:rsidR="007D2306" w:rsidRPr="007053B0">
        <w:rPr>
          <w:rFonts w:ascii="BNPP Sans Light" w:hAnsi="BNPP Sans Light" w:cs="BNPP Sans Light"/>
          <w:i/>
          <w:color w:val="000000"/>
          <w:sz w:val="18"/>
          <w:szCs w:val="18"/>
          <w:lang w:val="fr-BE"/>
        </w:rPr>
        <w:t>Institutional</w:t>
      </w:r>
      <w:proofErr w:type="spellEnd"/>
      <w:r w:rsidR="007D2306" w:rsidRPr="007053B0">
        <w:rPr>
          <w:rFonts w:ascii="BNPP Sans Light" w:hAnsi="BNPP Sans Light" w:cs="BNPP Sans Light"/>
          <w:i/>
          <w:color w:val="000000"/>
          <w:sz w:val="18"/>
          <w:szCs w:val="18"/>
          <w:lang w:val="fr-BE"/>
        </w:rPr>
        <w:t xml:space="preserve"> Banking, centré sur les 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de protection. En Europe, le Groupe a quatre marchés domestiques (la Belgique, la France, l'Italie et le Luxembourg) et BNP Paribas </w:t>
      </w:r>
      <w:proofErr w:type="spellStart"/>
      <w:r w:rsidR="007D2306" w:rsidRPr="007053B0">
        <w:rPr>
          <w:rFonts w:ascii="BNPP Sans Light" w:hAnsi="BNPP Sans Light" w:cs="BNPP Sans Light"/>
          <w:i/>
          <w:color w:val="000000"/>
          <w:sz w:val="18"/>
          <w:szCs w:val="18"/>
          <w:lang w:val="fr-BE"/>
        </w:rPr>
        <w:t>Personal</w:t>
      </w:r>
      <w:proofErr w:type="spellEnd"/>
      <w:r w:rsidR="007D2306" w:rsidRPr="007053B0">
        <w:rPr>
          <w:rFonts w:ascii="BNPP Sans Light" w:hAnsi="BNPP Sans Light" w:cs="BNPP Sans Light"/>
          <w:i/>
          <w:color w:val="000000"/>
          <w:sz w:val="18"/>
          <w:szCs w:val="18"/>
          <w:lang w:val="fr-BE"/>
        </w:rPr>
        <w:t xml:space="preserve"> Finance est le 1er acteur spécialisé du financement aux particuliers en Europe. BNP Paribas développe également son modèle intégré de banque de détail dans les pays du bassin méditerranéen, en Turquie, en Europe de l’Est et a un réseau important dans l'Ouest des Etats-Unis. Dans ses activités Corporate &amp; </w:t>
      </w:r>
      <w:proofErr w:type="spellStart"/>
      <w:r w:rsidR="007D2306" w:rsidRPr="007053B0">
        <w:rPr>
          <w:rFonts w:ascii="BNPP Sans Light" w:hAnsi="BNPP Sans Light" w:cs="BNPP Sans Light"/>
          <w:i/>
          <w:color w:val="000000"/>
          <w:sz w:val="18"/>
          <w:szCs w:val="18"/>
          <w:lang w:val="fr-BE"/>
        </w:rPr>
        <w:t>Institutional</w:t>
      </w:r>
      <w:proofErr w:type="spellEnd"/>
      <w:r w:rsidR="007D2306" w:rsidRPr="007053B0">
        <w:rPr>
          <w:rFonts w:ascii="BNPP Sans Light" w:hAnsi="BNPP Sans Light" w:cs="BNPP Sans Light"/>
          <w:i/>
          <w:color w:val="000000"/>
          <w:sz w:val="18"/>
          <w:szCs w:val="18"/>
          <w:lang w:val="fr-BE"/>
        </w:rPr>
        <w:t xml:space="preserve"> Banking et International Financial Services, BNP Paribas bénéficie d'un leadership en Europe, d'une forte présence dans les Amériques, ainsi que d'un dispositif solide et en forte croissance en Asie-Pacifique.</w:t>
      </w:r>
    </w:p>
    <w:sectPr w:rsidR="00242D73" w:rsidRPr="007053B0" w:rsidSect="00991878">
      <w:footerReference w:type="default" r:id="rId13"/>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AC0B" w14:textId="77777777" w:rsidR="00EC0DC6" w:rsidRDefault="00EC0DC6" w:rsidP="008C4C01">
      <w:r>
        <w:separator/>
      </w:r>
    </w:p>
  </w:endnote>
  <w:endnote w:type="continuationSeparator" w:id="0">
    <w:p w14:paraId="7935A7AD" w14:textId="77777777" w:rsidR="00EC0DC6" w:rsidRDefault="00EC0DC6"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NPP Sans Light">
    <w:altName w:val="BNPP Sans Light"/>
    <w:panose1 w:val="02000503020000020004"/>
    <w:charset w:val="00"/>
    <w:family w:val="modern"/>
    <w:notTrueType/>
    <w:pitch w:val="variable"/>
    <w:sig w:usb0="A00002AF" w:usb1="4000204A" w:usb2="00000000" w:usb3="00000000" w:csb0="0000009F" w:csb1="00000000"/>
  </w:font>
  <w:font w:name="BNPP Sans">
    <w:altName w:val="BNPP Sans"/>
    <w:panose1 w:val="02000000000000000000"/>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B17D" w14:textId="77777777" w:rsidR="007053B0" w:rsidRDefault="006141CE">
    <w:pPr>
      <w:pStyle w:val="Footer"/>
      <w:rPr>
        <w:noProof/>
        <w:lang w:val="en-GB" w:eastAsia="en-GB"/>
      </w:rPr>
    </w:pPr>
    <w:r>
      <w:rPr>
        <w:noProof/>
        <w:lang w:val="en-GB" w:eastAsia="en-GB"/>
      </w:rPr>
      <mc:AlternateContent>
        <mc:Choice Requires="wps">
          <w:drawing>
            <wp:anchor distT="0" distB="0" distL="114300" distR="114300" simplePos="0" relativeHeight="251659264" behindDoc="0" locked="0" layoutInCell="0" allowOverlap="1" wp14:anchorId="35FCF56C" wp14:editId="7BE75971">
              <wp:simplePos x="0" y="0"/>
              <wp:positionH relativeFrom="page">
                <wp:posOffset>0</wp:posOffset>
              </wp:positionH>
              <wp:positionV relativeFrom="page">
                <wp:posOffset>10227945</wp:posOffset>
              </wp:positionV>
              <wp:extent cx="7560310" cy="273050"/>
              <wp:effectExtent l="0" t="0" r="0" b="12700"/>
              <wp:wrapNone/>
              <wp:docPr id="2" name="MSIPCM058c4935b70dd1061b717cf4"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16245" w14:textId="4A628F83" w:rsidR="006141CE" w:rsidRPr="006141CE" w:rsidRDefault="006141CE" w:rsidP="006141CE">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35FCF56C" id="_x0000_t202" coordsize="21600,21600" o:spt="202" path="m,l,21600r21600,l21600,xe">
              <v:stroke joinstyle="miter"/>
              <v:path gradientshapeok="t" o:connecttype="rect"/>
            </v:shapetype>
            <v:shape id="MSIPCM058c4935b70dd1061b717cf4"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NErwIAAEMFAAAOAAAAZHJzL2Uyb0RvYy54bWysVEtv2zAMvg/YfxB02Gmr7STOa3WKLEO2&#10;AmkbIB16lmU5NmCLqqQ0zob991G2nK7dTsMuEsWP4uMTqcurpq7Ik9CmBJnQ6CKkREgOWSn3Cf12&#10;v/4wpcRYJjNWgRQJPQlDrxZv31we1VwMoIAqE5qgE2nmR5XQwlo1DwLDC1EzcwFKSARz0DWzeNT7&#10;INPsiN7rKhiE4Tg4gs6UBi6MQe3nDqSL1n+eC27v8twIS6qEYm62XXW7pm4NFpdsvtdMFSX3abB/&#10;yKJmpcSgZ1efmWXkoMs/XNUl12Agtxcc6gDyvOSirQGricJX1ewKpkRbC5Jj1Jkm8//c8tunrSZl&#10;ltABJZLV+EQ3u+vt6iaMp3w0G8bpJMyyKBxH6SSa8HxESSYMRwZ/vHs8gP34lZliBZnoTvNoGs9m&#10;s9FkPHjvcVHuC+vR6Qg7xAMPZWYLr49n8Vm/rRgXtZD9nc5kDWCF7mTv4FpmovEOum2ry5rp0wur&#10;HbYA9qa3i/zde1BeE54Db0Tex0TlT9caR2XmyNBOIUe2+QQNtnivN6h0L97kunY7viVBHJvsdG4s&#10;0VjCUTmJx+EwQogjNpgMw7jtvOD5ttLGfhFQEyckVGPWbT+xp42xmAma9iYumIR1WVVt81aSHBM6&#10;HqLLFwjeqCRedDV0uTrJNmnjC0shO2FdGrqhMIqvSwy+YcZumcYpwHxxsu0dLnkFGAS8REkB+vvf&#10;9M4emxNRSo44VQk1jwemBSXVtcS2dSPYC7oVBvEoDFGd9mp5qFeA0xrhx6F4KyKsbdWLuYb6Aad+&#10;6UIhxCTHgAlNe3Fl8YQA/hpcLJetjNOmmN3IneLOtWPK8XnfPDCtPOkWn+sW+qFj81fcd7Ydx8uD&#10;hbxsH8ax2lHpycZJbd/L/yruK/j93Fo9/32LXwAAAP//AwBQSwMEFAAGAAgAAAAhANCt5mTgAAAA&#10;CwEAAA8AAABkcnMvZG93bnJldi54bWxMj8FOwzAQRO9I/IO1SFwQtVPUtA1xKoRUxAlEQenViZck&#10;YK+j2GnD3+Oc4Lgzo9k3+W6yhp1w8J0jCclCAEOqne6okfDxvr/dAPNBkVbGEUr4QQ+74vIiV5l2&#10;Z3rD0yE0LJaQz5SENoQ+49zXLVrlF65Hit6nG6wK8Rwargd1juXW8KUQKbeqo/ihVT0+tlh/H0Yr&#10;oXx+cfunclxO25vqNT1+mbJcGSmvr6aHe2ABp/AXhhk/okMRmSo3kvbMSIhDQlTTRKyBzX6yFSmw&#10;atZWd2vgRc7/byh+AQAA//8DAFBLAQItABQABgAIAAAAIQC2gziS/gAAAOEBAAATAAAAAAAAAAAA&#10;AAAAAAAAAABbQ29udGVudF9UeXBlc10ueG1sUEsBAi0AFAAGAAgAAAAhADj9If/WAAAAlAEAAAsA&#10;AAAAAAAAAAAAAAAALwEAAF9yZWxzLy5yZWxzUEsBAi0AFAAGAAgAAAAhACKa40SvAgAAQwUAAA4A&#10;AAAAAAAAAAAAAAAALgIAAGRycy9lMm9Eb2MueG1sUEsBAi0AFAAGAAgAAAAhANCt5mTgAAAACwEA&#10;AA8AAAAAAAAAAAAAAAAACQUAAGRycy9kb3ducmV2LnhtbFBLBQYAAAAABAAEAPMAAAAWBgAAAAA=&#10;" o:allowincell="f" filled="f" stroked="f" strokeweight=".5pt">
              <v:textbox inset="0,0,20pt,0">
                <w:txbxContent>
                  <w:p w14:paraId="1C916245" w14:textId="4A628F83" w:rsidR="006141CE" w:rsidRPr="006141CE" w:rsidRDefault="006141CE" w:rsidP="006141CE">
                    <w:pPr>
                      <w:jc w:val="right"/>
                      <w:rPr>
                        <w:rFonts w:ascii="Calibri" w:hAnsi="Calibri" w:cs="Calibri"/>
                        <w:color w:val="0000FF"/>
                        <w:sz w:val="20"/>
                      </w:rPr>
                    </w:pPr>
                  </w:p>
                </w:txbxContent>
              </v:textbox>
              <w10:wrap anchorx="page" anchory="page"/>
            </v:shape>
          </w:pict>
        </mc:Fallback>
      </mc:AlternateContent>
    </w:r>
  </w:p>
  <w:p w14:paraId="4D7987FB" w14:textId="77777777" w:rsidR="007053B0" w:rsidRDefault="007053B0">
    <w:pPr>
      <w:pStyle w:val="Footer"/>
      <w:rPr>
        <w:noProof/>
        <w:lang w:val="en-GB" w:eastAsia="en-GB"/>
      </w:rPr>
    </w:pPr>
  </w:p>
  <w:p w14:paraId="2036579D" w14:textId="0054BA3E" w:rsidR="00122724" w:rsidRDefault="00122724">
    <w:pPr>
      <w:pStyle w:val="Footer"/>
    </w:pPr>
    <w:r>
      <w:rPr>
        <w:noProof/>
        <w:lang w:val="en-GB" w:eastAsia="en-GB"/>
      </w:rPr>
      <w:drawing>
        <wp:inline distT="0" distB="0" distL="0" distR="0" wp14:anchorId="2A05F094" wp14:editId="40EB373B">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FCBD609" w14:textId="77777777" w:rsidR="00161CB7" w:rsidRDefault="00161CB7"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7257" w14:textId="77777777" w:rsidR="00EC0DC6" w:rsidRDefault="00EC0DC6" w:rsidP="008C4C01">
      <w:r>
        <w:separator/>
      </w:r>
    </w:p>
  </w:footnote>
  <w:footnote w:type="continuationSeparator" w:id="0">
    <w:p w14:paraId="6DAAE33E" w14:textId="77777777" w:rsidR="00EC0DC6" w:rsidRDefault="00EC0DC6" w:rsidP="008C4C01">
      <w:r>
        <w:continuationSeparator/>
      </w:r>
    </w:p>
  </w:footnote>
  <w:footnote w:id="1">
    <w:p w14:paraId="7B821CAC" w14:textId="77777777" w:rsidR="00CF77FE" w:rsidRPr="00CF77FE" w:rsidRDefault="00CF77FE" w:rsidP="00CF77FE">
      <w:pPr>
        <w:pStyle w:val="FootnoteText"/>
        <w:rPr>
          <w:i/>
          <w:iCs/>
        </w:rPr>
      </w:pPr>
      <w:r>
        <w:rPr>
          <w:rStyle w:val="FootnoteReference"/>
        </w:rPr>
        <w:footnoteRef/>
      </w:r>
      <w:r>
        <w:t xml:space="preserve"> </w:t>
      </w:r>
      <w:r w:rsidRPr="00CF77FE">
        <w:rPr>
          <w:rFonts w:ascii="BNPP Sans Light" w:hAnsi="BNPP Sans Light"/>
          <w:i/>
          <w:iCs/>
        </w:rPr>
        <w:t>Forme de crédit: prêt à tempérament. Le taux de 0,60% est disponible uniquement aux particuliers à partir du 4 janvier 2022 jusqu’au 28 février 2022 pour tout achat d’un véhicule neuf éligible, à savoir des voitures figurant dans les catégories A ou B de l’étiquetage Européen sur les catégories d’émissions de CO2, ainsi que des vélos et engins de mobilité douce. Ces valeurs sont basées sur les chiffres officiels (homologués) des constructeurs, mais les émissions et la consommation peuvent être plus élevées en pratique (par exemple en fonction du style de conduite). Pour les véhicules neufs ne répondant pas aux catégories A ou B, le taux proposé est de 0,90%.</w:t>
      </w:r>
    </w:p>
  </w:footnote>
  <w:footnote w:id="2">
    <w:p w14:paraId="65629295" w14:textId="48DF79BE" w:rsidR="00CF77FE" w:rsidRPr="00CF77FE" w:rsidRDefault="00CF77FE" w:rsidP="00CF77FE">
      <w:pPr>
        <w:pStyle w:val="FootnoteText"/>
        <w:rPr>
          <w:rFonts w:ascii="BNPP Sans Light" w:hAnsi="BNPP Sans Light"/>
          <w:i/>
          <w:iCs/>
          <w:lang w:val="fr-BE"/>
        </w:rPr>
      </w:pPr>
      <w:r>
        <w:rPr>
          <w:rStyle w:val="FootnoteReference"/>
        </w:rPr>
        <w:footnoteRef/>
      </w:r>
      <w:r>
        <w:t xml:space="preserve"> </w:t>
      </w:r>
      <w:r w:rsidRPr="00CF77FE">
        <w:rPr>
          <w:rFonts w:ascii="BNPP Sans Light" w:hAnsi="BNPP Sans Light"/>
          <w:i/>
          <w:iCs/>
        </w:rPr>
        <w:t xml:space="preserve">AG </w:t>
      </w:r>
      <w:proofErr w:type="spellStart"/>
      <w:r w:rsidRPr="00CF77FE">
        <w:rPr>
          <w:rFonts w:ascii="BNPP Sans Light" w:hAnsi="BNPP Sans Light"/>
          <w:i/>
          <w:iCs/>
        </w:rPr>
        <w:t>Insurance</w:t>
      </w:r>
      <w:proofErr w:type="spellEnd"/>
      <w:r w:rsidRPr="00CF77FE">
        <w:rPr>
          <w:rFonts w:ascii="BNPP Sans Light" w:hAnsi="BNPP Sans Light"/>
          <w:i/>
          <w:iCs/>
        </w:rPr>
        <w:t xml:space="preserve"> SA – Bd E. </w:t>
      </w:r>
      <w:proofErr w:type="spellStart"/>
      <w:r w:rsidRPr="00CF77FE">
        <w:rPr>
          <w:rFonts w:ascii="BNPP Sans Light" w:hAnsi="BNPP Sans Light"/>
          <w:i/>
          <w:iCs/>
        </w:rPr>
        <w:t>Jacqmain</w:t>
      </w:r>
      <w:proofErr w:type="spellEnd"/>
      <w:r w:rsidRPr="00CF77FE">
        <w:rPr>
          <w:rFonts w:ascii="BNPP Sans Light" w:hAnsi="BNPP Sans Light"/>
          <w:i/>
          <w:iCs/>
        </w:rPr>
        <w:t xml:space="preserve"> 53, B-1000 Bruxelles – RPM Bruxelles – TVA BE 0404.494.849 – www.aginsurance.be. Entreprise d’assurance agréée sous le n° de code 0079, sous le contrôle de la Banque nationale de Belgique, Bd de Berlaimont 14, 1000 Bruxelles.</w:t>
      </w:r>
      <w:r>
        <w:rPr>
          <w:rFonts w:ascii="BNPP Sans Light" w:hAnsi="BNPP Sans Light"/>
          <w:i/>
          <w:iCs/>
        </w:rPr>
        <w:t xml:space="preserve"> </w:t>
      </w:r>
      <w:r w:rsidRPr="00CF77FE">
        <w:rPr>
          <w:rFonts w:ascii="BNPP Sans Light" w:hAnsi="BNPP Sans Light"/>
          <w:i/>
          <w:iCs/>
        </w:rPr>
        <w:t xml:space="preserve">Intermédiaire : BNP Paribas Fortis SA – Montagne du Parc 3, B-1000 Bruxelles – RPM Bruxelles – TVA BE 0403.199.702, est inscrit sous ce numéro auprès de la FSMA, rue du Congrès 12-14, 1000 Bruxelles, et agit comme agent d'assurances lié, rémunéré par des commissions, pour AG </w:t>
      </w:r>
      <w:proofErr w:type="spellStart"/>
      <w:r w:rsidRPr="00CF77FE">
        <w:rPr>
          <w:rFonts w:ascii="BNPP Sans Light" w:hAnsi="BNPP Sans Light"/>
          <w:i/>
          <w:iCs/>
        </w:rPr>
        <w:t>Insurance</w:t>
      </w:r>
      <w:proofErr w:type="spellEnd"/>
      <w:r w:rsidRPr="00CF77FE">
        <w:rPr>
          <w:rFonts w:ascii="BNPP Sans Light" w:hAnsi="BNPP Sans Light"/>
          <w:i/>
          <w:iCs/>
        </w:rPr>
        <w:t xml:space="preserve"> SA. BNP Paribas Fortis SA détient une participation de plus de 10% dans AG </w:t>
      </w:r>
      <w:proofErr w:type="spellStart"/>
      <w:r w:rsidRPr="00CF77FE">
        <w:rPr>
          <w:rFonts w:ascii="BNPP Sans Light" w:hAnsi="BNPP Sans Light"/>
          <w:i/>
          <w:iCs/>
        </w:rPr>
        <w:t>Insurance</w:t>
      </w:r>
      <w:proofErr w:type="spellEnd"/>
      <w:r w:rsidRPr="00CF77FE">
        <w:rPr>
          <w:rFonts w:ascii="BNPP Sans Light" w:hAnsi="BNPP Sans Light"/>
          <w:i/>
          <w:iCs/>
        </w:rPr>
        <w:t xml:space="preserve"> SA.</w:t>
      </w:r>
    </w:p>
  </w:footnote>
  <w:footnote w:id="3">
    <w:p w14:paraId="0382E9E6" w14:textId="61EED223" w:rsidR="00C04FAE" w:rsidRPr="00C04FAE" w:rsidRDefault="00C04FAE">
      <w:pPr>
        <w:pStyle w:val="FootnoteText"/>
        <w:rPr>
          <w:lang w:val="fr-BE"/>
        </w:rPr>
      </w:pPr>
      <w:r>
        <w:rPr>
          <w:rStyle w:val="FootnoteReference"/>
        </w:rPr>
        <w:footnoteRef/>
      </w:r>
      <w:r>
        <w:t xml:space="preserve"> </w:t>
      </w:r>
      <w:r w:rsidRPr="00C04FAE">
        <w:rPr>
          <w:rFonts w:ascii="BNPP Sans Light" w:hAnsi="BNPP Sans Light"/>
          <w:i/>
          <w:iCs/>
        </w:rPr>
        <w:t xml:space="preserve">Plus d’informations sur les assurances </w:t>
      </w:r>
      <w:hyperlink r:id="rId1" w:history="1">
        <w:r w:rsidRPr="00C04FAE">
          <w:rPr>
            <w:rStyle w:val="Hyperlink"/>
            <w:rFonts w:ascii="BNPP Sans Light" w:hAnsi="BNPP Sans Light"/>
            <w:b/>
            <w:bCs/>
            <w:i/>
            <w:iCs/>
          </w:rPr>
          <w:t>ici</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07FCF"/>
    <w:rsid w:val="000141B3"/>
    <w:rsid w:val="000203BA"/>
    <w:rsid w:val="00033526"/>
    <w:rsid w:val="0004593B"/>
    <w:rsid w:val="00054212"/>
    <w:rsid w:val="0006620F"/>
    <w:rsid w:val="00071BA0"/>
    <w:rsid w:val="00081070"/>
    <w:rsid w:val="00086E6D"/>
    <w:rsid w:val="000876B9"/>
    <w:rsid w:val="00093EA9"/>
    <w:rsid w:val="00094438"/>
    <w:rsid w:val="000A3DE7"/>
    <w:rsid w:val="000A5F4F"/>
    <w:rsid w:val="000A68C8"/>
    <w:rsid w:val="000B3909"/>
    <w:rsid w:val="000B5384"/>
    <w:rsid w:val="000D57A8"/>
    <w:rsid w:val="000E31D7"/>
    <w:rsid w:val="000F43BA"/>
    <w:rsid w:val="001042AB"/>
    <w:rsid w:val="001159F1"/>
    <w:rsid w:val="00116B23"/>
    <w:rsid w:val="00122724"/>
    <w:rsid w:val="00127D44"/>
    <w:rsid w:val="00134349"/>
    <w:rsid w:val="00142F1C"/>
    <w:rsid w:val="0015190F"/>
    <w:rsid w:val="00160B1B"/>
    <w:rsid w:val="00161CB7"/>
    <w:rsid w:val="0017059C"/>
    <w:rsid w:val="001761EF"/>
    <w:rsid w:val="00182BF9"/>
    <w:rsid w:val="00184DFB"/>
    <w:rsid w:val="001868AC"/>
    <w:rsid w:val="001B5A73"/>
    <w:rsid w:val="001C3192"/>
    <w:rsid w:val="001D1C02"/>
    <w:rsid w:val="001D6C33"/>
    <w:rsid w:val="001E75DF"/>
    <w:rsid w:val="0021011E"/>
    <w:rsid w:val="00223200"/>
    <w:rsid w:val="002315A3"/>
    <w:rsid w:val="00236A63"/>
    <w:rsid w:val="00242D73"/>
    <w:rsid w:val="00244ABF"/>
    <w:rsid w:val="00253259"/>
    <w:rsid w:val="002560CA"/>
    <w:rsid w:val="0026134D"/>
    <w:rsid w:val="00264812"/>
    <w:rsid w:val="00280548"/>
    <w:rsid w:val="002828C5"/>
    <w:rsid w:val="002831CB"/>
    <w:rsid w:val="0029033E"/>
    <w:rsid w:val="00291B67"/>
    <w:rsid w:val="002B084E"/>
    <w:rsid w:val="002B502C"/>
    <w:rsid w:val="002C0421"/>
    <w:rsid w:val="002C10C8"/>
    <w:rsid w:val="002C15E8"/>
    <w:rsid w:val="002C40A1"/>
    <w:rsid w:val="002C6C76"/>
    <w:rsid w:val="002D1532"/>
    <w:rsid w:val="002D5BD9"/>
    <w:rsid w:val="002E5213"/>
    <w:rsid w:val="003041A4"/>
    <w:rsid w:val="00313A2E"/>
    <w:rsid w:val="0032516B"/>
    <w:rsid w:val="003303CE"/>
    <w:rsid w:val="00336245"/>
    <w:rsid w:val="00352274"/>
    <w:rsid w:val="003524F9"/>
    <w:rsid w:val="003574B6"/>
    <w:rsid w:val="003579CF"/>
    <w:rsid w:val="0038165C"/>
    <w:rsid w:val="003816B8"/>
    <w:rsid w:val="003A1134"/>
    <w:rsid w:val="003A1ACF"/>
    <w:rsid w:val="003A1F54"/>
    <w:rsid w:val="003C1ABC"/>
    <w:rsid w:val="003D1209"/>
    <w:rsid w:val="003D2DD8"/>
    <w:rsid w:val="003D3857"/>
    <w:rsid w:val="003E4C0C"/>
    <w:rsid w:val="003E4E01"/>
    <w:rsid w:val="003F4153"/>
    <w:rsid w:val="003F6B49"/>
    <w:rsid w:val="00413611"/>
    <w:rsid w:val="00414F5D"/>
    <w:rsid w:val="004210EA"/>
    <w:rsid w:val="0042340B"/>
    <w:rsid w:val="00432DA8"/>
    <w:rsid w:val="00434656"/>
    <w:rsid w:val="00435733"/>
    <w:rsid w:val="004467D1"/>
    <w:rsid w:val="004533EA"/>
    <w:rsid w:val="00455757"/>
    <w:rsid w:val="00464B24"/>
    <w:rsid w:val="0046556F"/>
    <w:rsid w:val="00467295"/>
    <w:rsid w:val="00470B88"/>
    <w:rsid w:val="00484604"/>
    <w:rsid w:val="004847F6"/>
    <w:rsid w:val="00497A19"/>
    <w:rsid w:val="004A0903"/>
    <w:rsid w:val="004A3463"/>
    <w:rsid w:val="004A4E91"/>
    <w:rsid w:val="004A6050"/>
    <w:rsid w:val="004B175B"/>
    <w:rsid w:val="004B66D4"/>
    <w:rsid w:val="004C0807"/>
    <w:rsid w:val="004C4554"/>
    <w:rsid w:val="004C5EDB"/>
    <w:rsid w:val="004D12EB"/>
    <w:rsid w:val="004E2D91"/>
    <w:rsid w:val="004E6DA6"/>
    <w:rsid w:val="004F03CA"/>
    <w:rsid w:val="005020A9"/>
    <w:rsid w:val="0050559D"/>
    <w:rsid w:val="005333FF"/>
    <w:rsid w:val="00543113"/>
    <w:rsid w:val="005602F3"/>
    <w:rsid w:val="00582D74"/>
    <w:rsid w:val="005871BC"/>
    <w:rsid w:val="005913A8"/>
    <w:rsid w:val="00592F4A"/>
    <w:rsid w:val="005B535C"/>
    <w:rsid w:val="005C3866"/>
    <w:rsid w:val="005C7928"/>
    <w:rsid w:val="005D07F7"/>
    <w:rsid w:val="005D403E"/>
    <w:rsid w:val="005E470F"/>
    <w:rsid w:val="005F3ED9"/>
    <w:rsid w:val="005F521B"/>
    <w:rsid w:val="005F5F61"/>
    <w:rsid w:val="006141CE"/>
    <w:rsid w:val="0062298A"/>
    <w:rsid w:val="006247AF"/>
    <w:rsid w:val="00630B6F"/>
    <w:rsid w:val="00632E2B"/>
    <w:rsid w:val="006404BB"/>
    <w:rsid w:val="00652ACD"/>
    <w:rsid w:val="00667071"/>
    <w:rsid w:val="00670677"/>
    <w:rsid w:val="00680E3E"/>
    <w:rsid w:val="00684CF9"/>
    <w:rsid w:val="00686A07"/>
    <w:rsid w:val="00686D90"/>
    <w:rsid w:val="00697AA7"/>
    <w:rsid w:val="006A01C9"/>
    <w:rsid w:val="006B72F2"/>
    <w:rsid w:val="006C2EFA"/>
    <w:rsid w:val="006D7981"/>
    <w:rsid w:val="006E3708"/>
    <w:rsid w:val="006F1184"/>
    <w:rsid w:val="007053B0"/>
    <w:rsid w:val="00706C6C"/>
    <w:rsid w:val="00715F40"/>
    <w:rsid w:val="0072474E"/>
    <w:rsid w:val="00731957"/>
    <w:rsid w:val="00741193"/>
    <w:rsid w:val="00745B48"/>
    <w:rsid w:val="00751658"/>
    <w:rsid w:val="00760593"/>
    <w:rsid w:val="007652DD"/>
    <w:rsid w:val="007717BB"/>
    <w:rsid w:val="00772CFA"/>
    <w:rsid w:val="007734FC"/>
    <w:rsid w:val="007978C4"/>
    <w:rsid w:val="007A7596"/>
    <w:rsid w:val="007B4FFB"/>
    <w:rsid w:val="007C211C"/>
    <w:rsid w:val="007C6EF1"/>
    <w:rsid w:val="007D2306"/>
    <w:rsid w:val="007D2508"/>
    <w:rsid w:val="007D3FF9"/>
    <w:rsid w:val="007D7502"/>
    <w:rsid w:val="007D7F0A"/>
    <w:rsid w:val="007E1F10"/>
    <w:rsid w:val="007E7B7E"/>
    <w:rsid w:val="007F155B"/>
    <w:rsid w:val="007F5A2A"/>
    <w:rsid w:val="00802892"/>
    <w:rsid w:val="00804952"/>
    <w:rsid w:val="00820A91"/>
    <w:rsid w:val="0082175C"/>
    <w:rsid w:val="008228F3"/>
    <w:rsid w:val="008256A4"/>
    <w:rsid w:val="00835EE2"/>
    <w:rsid w:val="0083676C"/>
    <w:rsid w:val="00843F64"/>
    <w:rsid w:val="008449F2"/>
    <w:rsid w:val="0085621A"/>
    <w:rsid w:val="00857F5F"/>
    <w:rsid w:val="00865064"/>
    <w:rsid w:val="00875DDB"/>
    <w:rsid w:val="008778DF"/>
    <w:rsid w:val="008827DA"/>
    <w:rsid w:val="008832EE"/>
    <w:rsid w:val="008A7C3D"/>
    <w:rsid w:val="008B046E"/>
    <w:rsid w:val="008B1A70"/>
    <w:rsid w:val="008B5309"/>
    <w:rsid w:val="008B710B"/>
    <w:rsid w:val="008C09F1"/>
    <w:rsid w:val="008C4C01"/>
    <w:rsid w:val="008D1369"/>
    <w:rsid w:val="008D2D96"/>
    <w:rsid w:val="008E3101"/>
    <w:rsid w:val="008F0FF8"/>
    <w:rsid w:val="008F4F9D"/>
    <w:rsid w:val="008F74B3"/>
    <w:rsid w:val="00900B84"/>
    <w:rsid w:val="009062DA"/>
    <w:rsid w:val="009070BE"/>
    <w:rsid w:val="00914D5D"/>
    <w:rsid w:val="009177AC"/>
    <w:rsid w:val="009215FA"/>
    <w:rsid w:val="009253ED"/>
    <w:rsid w:val="00925A41"/>
    <w:rsid w:val="009419FE"/>
    <w:rsid w:val="0094780A"/>
    <w:rsid w:val="00953C38"/>
    <w:rsid w:val="00954D65"/>
    <w:rsid w:val="00957911"/>
    <w:rsid w:val="0096007A"/>
    <w:rsid w:val="00960BEC"/>
    <w:rsid w:val="00964701"/>
    <w:rsid w:val="00980410"/>
    <w:rsid w:val="00991878"/>
    <w:rsid w:val="00996F4B"/>
    <w:rsid w:val="009C02B1"/>
    <w:rsid w:val="009C3CC7"/>
    <w:rsid w:val="009C6222"/>
    <w:rsid w:val="009D0613"/>
    <w:rsid w:val="009D2329"/>
    <w:rsid w:val="009D2F9A"/>
    <w:rsid w:val="009D385A"/>
    <w:rsid w:val="009D5C12"/>
    <w:rsid w:val="009F76F3"/>
    <w:rsid w:val="00A038CD"/>
    <w:rsid w:val="00A0649C"/>
    <w:rsid w:val="00A07D64"/>
    <w:rsid w:val="00A22C61"/>
    <w:rsid w:val="00A3638D"/>
    <w:rsid w:val="00A45882"/>
    <w:rsid w:val="00A55734"/>
    <w:rsid w:val="00A56F5B"/>
    <w:rsid w:val="00A672A4"/>
    <w:rsid w:val="00A67614"/>
    <w:rsid w:val="00A67DD8"/>
    <w:rsid w:val="00A7365D"/>
    <w:rsid w:val="00A77944"/>
    <w:rsid w:val="00AB0052"/>
    <w:rsid w:val="00AB7414"/>
    <w:rsid w:val="00AC09DF"/>
    <w:rsid w:val="00AC19D5"/>
    <w:rsid w:val="00AD4510"/>
    <w:rsid w:val="00AD7831"/>
    <w:rsid w:val="00AE3131"/>
    <w:rsid w:val="00AE7BF5"/>
    <w:rsid w:val="00AF3D68"/>
    <w:rsid w:val="00B033A9"/>
    <w:rsid w:val="00B10F4E"/>
    <w:rsid w:val="00B138C5"/>
    <w:rsid w:val="00B202A9"/>
    <w:rsid w:val="00B20B1F"/>
    <w:rsid w:val="00B300FA"/>
    <w:rsid w:val="00B34BED"/>
    <w:rsid w:val="00B46CA1"/>
    <w:rsid w:val="00B7636F"/>
    <w:rsid w:val="00B76ECF"/>
    <w:rsid w:val="00B80553"/>
    <w:rsid w:val="00B92187"/>
    <w:rsid w:val="00B92650"/>
    <w:rsid w:val="00BA2424"/>
    <w:rsid w:val="00BB6503"/>
    <w:rsid w:val="00BB7D06"/>
    <w:rsid w:val="00BC30C2"/>
    <w:rsid w:val="00BC5279"/>
    <w:rsid w:val="00BD0179"/>
    <w:rsid w:val="00BD7BAA"/>
    <w:rsid w:val="00BE40C2"/>
    <w:rsid w:val="00BE5A28"/>
    <w:rsid w:val="00BF2EF9"/>
    <w:rsid w:val="00BF51B9"/>
    <w:rsid w:val="00C0294D"/>
    <w:rsid w:val="00C04FAE"/>
    <w:rsid w:val="00C06A3E"/>
    <w:rsid w:val="00C106D1"/>
    <w:rsid w:val="00C225A9"/>
    <w:rsid w:val="00C242AA"/>
    <w:rsid w:val="00C252B9"/>
    <w:rsid w:val="00C34745"/>
    <w:rsid w:val="00C34F48"/>
    <w:rsid w:val="00C42735"/>
    <w:rsid w:val="00C51577"/>
    <w:rsid w:val="00C53463"/>
    <w:rsid w:val="00C56F1B"/>
    <w:rsid w:val="00C60A36"/>
    <w:rsid w:val="00C6671D"/>
    <w:rsid w:val="00C70C9D"/>
    <w:rsid w:val="00C732CD"/>
    <w:rsid w:val="00C73CDA"/>
    <w:rsid w:val="00C851FA"/>
    <w:rsid w:val="00C865CD"/>
    <w:rsid w:val="00CA4603"/>
    <w:rsid w:val="00CB4D4B"/>
    <w:rsid w:val="00CB77C2"/>
    <w:rsid w:val="00CD24D4"/>
    <w:rsid w:val="00CF77FE"/>
    <w:rsid w:val="00D061B6"/>
    <w:rsid w:val="00D235DC"/>
    <w:rsid w:val="00D236C6"/>
    <w:rsid w:val="00D3422E"/>
    <w:rsid w:val="00D35853"/>
    <w:rsid w:val="00D36719"/>
    <w:rsid w:val="00D463AA"/>
    <w:rsid w:val="00D53AAA"/>
    <w:rsid w:val="00D54116"/>
    <w:rsid w:val="00D54174"/>
    <w:rsid w:val="00D57DC0"/>
    <w:rsid w:val="00D6220A"/>
    <w:rsid w:val="00D62A51"/>
    <w:rsid w:val="00D679B5"/>
    <w:rsid w:val="00D7220D"/>
    <w:rsid w:val="00D87511"/>
    <w:rsid w:val="00D96457"/>
    <w:rsid w:val="00D979F7"/>
    <w:rsid w:val="00DA0CA4"/>
    <w:rsid w:val="00DB6C95"/>
    <w:rsid w:val="00DC689A"/>
    <w:rsid w:val="00DC77F4"/>
    <w:rsid w:val="00DD47FE"/>
    <w:rsid w:val="00DE12DD"/>
    <w:rsid w:val="00DE1B98"/>
    <w:rsid w:val="00DE2669"/>
    <w:rsid w:val="00DE481C"/>
    <w:rsid w:val="00DF5ECC"/>
    <w:rsid w:val="00E30D3B"/>
    <w:rsid w:val="00E3715E"/>
    <w:rsid w:val="00E37B92"/>
    <w:rsid w:val="00E40E69"/>
    <w:rsid w:val="00E52B7E"/>
    <w:rsid w:val="00E56AD4"/>
    <w:rsid w:val="00E578D0"/>
    <w:rsid w:val="00E6727A"/>
    <w:rsid w:val="00E839E8"/>
    <w:rsid w:val="00E90F93"/>
    <w:rsid w:val="00E91104"/>
    <w:rsid w:val="00E940B2"/>
    <w:rsid w:val="00E948EE"/>
    <w:rsid w:val="00EB0A7F"/>
    <w:rsid w:val="00EB1DF1"/>
    <w:rsid w:val="00EB1F4B"/>
    <w:rsid w:val="00EB2442"/>
    <w:rsid w:val="00EB5886"/>
    <w:rsid w:val="00EB60D7"/>
    <w:rsid w:val="00EC0A30"/>
    <w:rsid w:val="00EC0DC6"/>
    <w:rsid w:val="00ED275C"/>
    <w:rsid w:val="00EE4E42"/>
    <w:rsid w:val="00EE59DF"/>
    <w:rsid w:val="00F06B9A"/>
    <w:rsid w:val="00F1006E"/>
    <w:rsid w:val="00F22322"/>
    <w:rsid w:val="00F27ADC"/>
    <w:rsid w:val="00F350D0"/>
    <w:rsid w:val="00F625DD"/>
    <w:rsid w:val="00F65F9E"/>
    <w:rsid w:val="00F72745"/>
    <w:rsid w:val="00F748E1"/>
    <w:rsid w:val="00F75A49"/>
    <w:rsid w:val="00F86A16"/>
    <w:rsid w:val="00F87B28"/>
    <w:rsid w:val="00F95B32"/>
    <w:rsid w:val="00FA0B16"/>
    <w:rsid w:val="00FA4AC6"/>
    <w:rsid w:val="00FA6DD8"/>
    <w:rsid w:val="00FA79D8"/>
    <w:rsid w:val="00FB05F9"/>
    <w:rsid w:val="00FC0783"/>
    <w:rsid w:val="00FC0D4F"/>
    <w:rsid w:val="00FC21AA"/>
    <w:rsid w:val="00FC2EC0"/>
    <w:rsid w:val="00FD1E5B"/>
    <w:rsid w:val="00FE044E"/>
    <w:rsid w:val="00FE2CA6"/>
    <w:rsid w:val="00FE618B"/>
    <w:rsid w:val="00FF6A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2E81C8B9"/>
  <w15:docId w15:val="{D73AEC33-6364-4680-AF2B-6E3B765E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FootnoteText">
    <w:name w:val="footnote text"/>
    <w:basedOn w:val="Normal"/>
    <w:link w:val="FootnoteTextChar"/>
    <w:uiPriority w:val="99"/>
    <w:semiHidden/>
    <w:unhideWhenUsed/>
    <w:rsid w:val="00AD4510"/>
    <w:pPr>
      <w:spacing w:line="240" w:lineRule="auto"/>
    </w:pPr>
    <w:rPr>
      <w:sz w:val="20"/>
    </w:rPr>
  </w:style>
  <w:style w:type="character" w:customStyle="1" w:styleId="FootnoteTextChar">
    <w:name w:val="Footnote Text Char"/>
    <w:basedOn w:val="DefaultParagraphFont"/>
    <w:link w:val="FootnoteText"/>
    <w:uiPriority w:val="99"/>
    <w:semiHidden/>
    <w:rsid w:val="00AD4510"/>
    <w:rPr>
      <w:rFonts w:asciiTheme="minorHAnsi" w:hAnsiTheme="minorHAnsi"/>
    </w:rPr>
  </w:style>
  <w:style w:type="character" w:styleId="FootnoteReference">
    <w:name w:val="footnote reference"/>
    <w:basedOn w:val="DefaultParagraphFont"/>
    <w:uiPriority w:val="99"/>
    <w:semiHidden/>
    <w:unhideWhenUsed/>
    <w:rsid w:val="00AD4510"/>
    <w:rPr>
      <w:vertAlign w:val="superscript"/>
    </w:rPr>
  </w:style>
  <w:style w:type="character" w:styleId="CommentReference">
    <w:name w:val="annotation reference"/>
    <w:basedOn w:val="DefaultParagraphFont"/>
    <w:uiPriority w:val="99"/>
    <w:semiHidden/>
    <w:unhideWhenUsed/>
    <w:rsid w:val="008B5309"/>
    <w:rPr>
      <w:sz w:val="16"/>
      <w:szCs w:val="16"/>
    </w:rPr>
  </w:style>
  <w:style w:type="paragraph" w:styleId="CommentText">
    <w:name w:val="annotation text"/>
    <w:basedOn w:val="Normal"/>
    <w:link w:val="CommentTextChar"/>
    <w:uiPriority w:val="99"/>
    <w:semiHidden/>
    <w:unhideWhenUsed/>
    <w:rsid w:val="008B5309"/>
    <w:pPr>
      <w:spacing w:line="240" w:lineRule="auto"/>
    </w:pPr>
    <w:rPr>
      <w:sz w:val="20"/>
    </w:rPr>
  </w:style>
  <w:style w:type="character" w:customStyle="1" w:styleId="CommentTextChar">
    <w:name w:val="Comment Text Char"/>
    <w:basedOn w:val="DefaultParagraphFont"/>
    <w:link w:val="CommentText"/>
    <w:uiPriority w:val="99"/>
    <w:semiHidden/>
    <w:rsid w:val="008B530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B5309"/>
    <w:rPr>
      <w:b/>
      <w:bCs/>
    </w:rPr>
  </w:style>
  <w:style w:type="character" w:customStyle="1" w:styleId="CommentSubjectChar">
    <w:name w:val="Comment Subject Char"/>
    <w:basedOn w:val="CommentTextChar"/>
    <w:link w:val="CommentSubject"/>
    <w:uiPriority w:val="99"/>
    <w:semiHidden/>
    <w:rsid w:val="008B5309"/>
    <w:rPr>
      <w:rFonts w:asciiTheme="minorHAnsi" w:hAnsiTheme="minorHAnsi"/>
      <w:b/>
      <w:bCs/>
    </w:rPr>
  </w:style>
  <w:style w:type="paragraph" w:styleId="NormalWeb">
    <w:name w:val="Normal (Web)"/>
    <w:basedOn w:val="Normal"/>
    <w:uiPriority w:val="99"/>
    <w:semiHidden/>
    <w:unhideWhenUsed/>
    <w:rsid w:val="00772CFA"/>
    <w:pPr>
      <w:spacing w:before="100" w:beforeAutospacing="1" w:after="100" w:afterAutospacing="1" w:line="240" w:lineRule="auto"/>
      <w:jc w:val="left"/>
    </w:pPr>
    <w:rPr>
      <w:rFonts w:ascii="Times New Roman" w:eastAsiaTheme="minorEastAsia" w:hAnsi="Times New Roman"/>
      <w:szCs w:val="24"/>
      <w:lang w:val="en-GB" w:eastAsia="en-GB"/>
    </w:rPr>
  </w:style>
  <w:style w:type="paragraph" w:styleId="Revision">
    <w:name w:val="Revision"/>
    <w:hidden/>
    <w:uiPriority w:val="99"/>
    <w:semiHidden/>
    <w:rsid w:val="002C10C8"/>
    <w:rPr>
      <w:rFonts w:asciiTheme="minorHAnsi" w:hAnsiTheme="minorHAnsi"/>
      <w:sz w:val="24"/>
    </w:rPr>
  </w:style>
  <w:style w:type="character" w:styleId="UnresolvedMention">
    <w:name w:val="Unresolved Mention"/>
    <w:basedOn w:val="DefaultParagraphFont"/>
    <w:uiPriority w:val="99"/>
    <w:semiHidden/>
    <w:unhideWhenUsed/>
    <w:rsid w:val="00C04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pparibasfortis.be/fr/Customer-flow/Simulation-Auto?axes4=pri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npparibasfortis.be/fr/Customer-flow/Simulation-Auto?axes4=priv" TargetMode="External"/><Relationship Id="rId12" Type="http://schemas.openxmlformats.org/officeDocument/2006/relationships/hyperlink" Target="http://www.bnppariba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npparibasforti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ilde.junius@bnpparibasfortis.com" TargetMode="External"/><Relationship Id="rId4" Type="http://schemas.openxmlformats.org/officeDocument/2006/relationships/webSettings" Target="webSettings.xml"/><Relationship Id="rId9" Type="http://schemas.openxmlformats.org/officeDocument/2006/relationships/hyperlink" Target="mailto:valery.halloy@bnpparibasforti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bnpparibasfortis.be/fr/Assurer/Decouvrez/Produits/Assurances-vehicules/Voi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7407-F00E-4B1C-B96D-0270CA74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4</Pages>
  <Words>1754</Words>
  <Characters>9652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44</cp:revision>
  <cp:lastPrinted>2017-12-04T08:27:00Z</cp:lastPrinted>
  <dcterms:created xsi:type="dcterms:W3CDTF">2021-11-25T15:39:00Z</dcterms:created>
  <dcterms:modified xsi:type="dcterms:W3CDTF">2021-12-14T16:57:00Z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2021-11-25T15:41:23Z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da210014-c980-4f3a-8e75-442ec7ff4a27</vt:lpwstr>
  </property>
  <property fmtid="{D5CDD505-2E9C-101B-9397-08002B2CF9AE}" pid="8" name="MSIP_Label_48ed5431-0ab7-4c1b-98f4-d4e50f674d02_ContentBits">
    <vt:lpwstr>0</vt:lpwstr>
  </property>
</Properties>
</file>