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sz w:val="36"/>
          <w:szCs w:val="36"/>
        </w:rPr>
      </w:pPr>
      <w:bookmarkStart w:colFirst="0" w:colLast="0" w:name="_heading=h.gjdgxs" w:id="0"/>
      <w:bookmarkEnd w:id="0"/>
      <w:r w:rsidDel="00000000" w:rsidR="00000000" w:rsidRPr="00000000">
        <w:rPr>
          <w:rFonts w:ascii="Calibri" w:cs="Calibri" w:eastAsia="Calibri" w:hAnsi="Calibri"/>
          <w:b w:val="1"/>
          <w:sz w:val="36"/>
          <w:szCs w:val="36"/>
          <w:rtl w:val="0"/>
        </w:rPr>
        <w:t xml:space="preserve">G-SHOCK lanza en Panamá una colaboración épica con League of Legends en cantidades muy limitadas</w:t>
      </w:r>
    </w:p>
    <w:p w:rsidR="00000000" w:rsidDel="00000000" w:rsidP="00000000" w:rsidRDefault="00000000" w:rsidRPr="00000000" w14:paraId="00000002">
      <w:pPr>
        <w:pStyle w:val="Title"/>
        <w:numPr>
          <w:ilvl w:val="0"/>
          <w:numId w:val="1"/>
        </w:numPr>
        <w:ind w:left="720" w:hanging="360"/>
        <w:jc w:val="center"/>
        <w:rPr>
          <w:i w:val="1"/>
          <w:sz w:val="20"/>
          <w:szCs w:val="20"/>
          <w:u w:val="none"/>
        </w:rPr>
      </w:pPr>
      <w:bookmarkStart w:colFirst="0" w:colLast="0" w:name="_heading=h.d280bh8sbxsj" w:id="1"/>
      <w:bookmarkEnd w:id="1"/>
      <w:r w:rsidDel="00000000" w:rsidR="00000000" w:rsidRPr="00000000">
        <w:rPr>
          <w:i w:val="1"/>
          <w:sz w:val="20"/>
          <w:szCs w:val="20"/>
          <w:rtl w:val="0"/>
        </w:rPr>
        <w:t xml:space="preserve">Llega </w:t>
      </w:r>
      <w:r w:rsidDel="00000000" w:rsidR="00000000" w:rsidRPr="00000000">
        <w:rPr>
          <w:i w:val="1"/>
          <w:sz w:val="20"/>
          <w:szCs w:val="20"/>
          <w:highlight w:val="white"/>
          <w:rtl w:val="0"/>
        </w:rPr>
        <w:t xml:space="preserve">a Panamá l</w:t>
      </w:r>
      <w:r w:rsidDel="00000000" w:rsidR="00000000" w:rsidRPr="00000000">
        <w:rPr>
          <w:i w:val="1"/>
          <w:sz w:val="20"/>
          <w:szCs w:val="20"/>
          <w:rtl w:val="0"/>
        </w:rPr>
        <w:t xml:space="preserve">a colaboración entre G-SHOCK y League of Legends, con Jinx, la popular y carismática campeona, y la tecnología mágica Hextech. </w:t>
      </w:r>
      <w:r w:rsidDel="00000000" w:rsidR="00000000" w:rsidRPr="00000000">
        <w:rPr>
          <w:rtl w:val="0"/>
        </w:rPr>
      </w:r>
    </w:p>
    <w:p w:rsidR="00000000" w:rsidDel="00000000" w:rsidP="00000000" w:rsidRDefault="00000000" w:rsidRPr="00000000" w14:paraId="00000003">
      <w:pPr>
        <w:widowControl w:val="0"/>
        <w:ind w:right="-2"/>
        <w:jc w:val="left"/>
        <w:rPr>
          <w:sz w:val="21"/>
          <w:szCs w:val="21"/>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Ciudad de Panamá, Panamá, 18 de enero de 2024. –</w:t>
      </w:r>
      <w:r w:rsidDel="00000000" w:rsidR="00000000" w:rsidRPr="00000000">
        <w:rPr>
          <w:rFonts w:ascii="Calibri" w:cs="Calibri" w:eastAsia="Calibri" w:hAnsi="Calibri"/>
          <w:sz w:val="24"/>
          <w:szCs w:val="24"/>
          <w:rtl w:val="0"/>
        </w:rPr>
        <w:t xml:space="preserve"> Casio Computer Co., Ltd. anunció hoy la llegada a </w:t>
      </w:r>
      <w:r w:rsidDel="00000000" w:rsidR="00000000" w:rsidRPr="00000000">
        <w:rPr>
          <w:rFonts w:ascii="Calibri" w:cs="Calibri" w:eastAsia="Calibri" w:hAnsi="Calibri"/>
          <w:sz w:val="24"/>
          <w:szCs w:val="24"/>
          <w:highlight w:val="white"/>
          <w:rtl w:val="0"/>
        </w:rPr>
        <w:t xml:space="preserve">Panamá</w:t>
      </w:r>
      <w:r w:rsidDel="00000000" w:rsidR="00000000" w:rsidRPr="00000000">
        <w:rPr>
          <w:rFonts w:ascii="Calibri" w:cs="Calibri" w:eastAsia="Calibri" w:hAnsi="Calibri"/>
          <w:sz w:val="24"/>
          <w:szCs w:val="24"/>
          <w:rtl w:val="0"/>
        </w:rPr>
        <w:t xml:space="preserve"> de la nueva colaboración de </w:t>
      </w:r>
      <w:r w:rsidDel="00000000" w:rsidR="00000000" w:rsidRPr="00000000">
        <w:rPr>
          <w:rFonts w:ascii="Calibri" w:cs="Calibri" w:eastAsia="Calibri" w:hAnsi="Calibri"/>
          <w:b w:val="1"/>
          <w:sz w:val="24"/>
          <w:szCs w:val="24"/>
          <w:rtl w:val="0"/>
        </w:rPr>
        <w:t xml:space="preserve">G-SHOCK</w:t>
      </w:r>
      <w:r w:rsidDel="00000000" w:rsidR="00000000" w:rsidRPr="00000000">
        <w:rPr>
          <w:rFonts w:ascii="Calibri" w:cs="Calibri" w:eastAsia="Calibri" w:hAnsi="Calibri"/>
          <w:sz w:val="24"/>
          <w:szCs w:val="24"/>
          <w:rtl w:val="0"/>
        </w:rPr>
        <w:t xml:space="preserve">, la familia de relojes japoneses resistente a los impactos, con Riot Games, un líder mundial en deportes electrónicos y desarrollador y editor del exitoso videojuego en línea global,</w:t>
      </w:r>
      <w:r w:rsidDel="00000000" w:rsidR="00000000" w:rsidRPr="00000000">
        <w:rPr>
          <w:rFonts w:ascii="Calibri" w:cs="Calibri" w:eastAsia="Calibri" w:hAnsi="Calibri"/>
          <w:b w:val="1"/>
          <w:sz w:val="24"/>
          <w:szCs w:val="24"/>
          <w:rtl w:val="0"/>
        </w:rPr>
        <w:t xml:space="preserve"> League of Legends.</w:t>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colaboración de </w:t>
      </w:r>
      <w:r w:rsidDel="00000000" w:rsidR="00000000" w:rsidRPr="00000000">
        <w:rPr>
          <w:rFonts w:ascii="Calibri" w:cs="Calibri" w:eastAsia="Calibri" w:hAnsi="Calibri"/>
          <w:b w:val="1"/>
          <w:sz w:val="24"/>
          <w:szCs w:val="24"/>
          <w:rtl w:val="0"/>
        </w:rPr>
        <w:t xml:space="preserve">G-SHOCK X League of Legends</w:t>
      </w:r>
      <w:r w:rsidDel="00000000" w:rsidR="00000000" w:rsidRPr="00000000">
        <w:rPr>
          <w:rFonts w:ascii="Calibri" w:cs="Calibri" w:eastAsia="Calibri" w:hAnsi="Calibri"/>
          <w:sz w:val="24"/>
          <w:szCs w:val="24"/>
          <w:rtl w:val="0"/>
        </w:rPr>
        <w:t xml:space="preserve"> tiene dos relojes diseñados especialmente para los amantes de los videojuegos: </w:t>
      </w:r>
      <w:r w:rsidDel="00000000" w:rsidR="00000000" w:rsidRPr="00000000">
        <w:rPr>
          <w:rFonts w:ascii="Calibri" w:cs="Calibri" w:eastAsia="Calibri" w:hAnsi="Calibri"/>
          <w:b w:val="1"/>
          <w:sz w:val="24"/>
          <w:szCs w:val="24"/>
          <w:rtl w:val="0"/>
        </w:rPr>
        <w:t xml:space="preserve">el GM-B2100LL con la tecnología mágica Hextech y el GA-110LL de Jinx, su carismática campeona. </w:t>
      </w:r>
      <w:r w:rsidDel="00000000" w:rsidR="00000000" w:rsidRPr="00000000">
        <w:rPr>
          <w:rFonts w:ascii="Calibri" w:cs="Calibri" w:eastAsia="Calibri" w:hAnsi="Calibri"/>
          <w:sz w:val="24"/>
          <w:szCs w:val="24"/>
          <w:rtl w:val="0"/>
        </w:rPr>
        <w:t xml:space="preserve">El GM-B2100LL está basado en el GM-B2100 de metal completo con bisel octogonal y Bluetooth, y el GA-110LL en el GA-110 con su distintivo dial tridimensional; ambos evocando el mundo </w:t>
      </w:r>
      <w:r w:rsidDel="00000000" w:rsidR="00000000" w:rsidRPr="00000000">
        <w:rPr>
          <w:rFonts w:ascii="Calibri" w:cs="Calibri" w:eastAsia="Calibri" w:hAnsi="Calibri"/>
          <w:i w:val="1"/>
          <w:sz w:val="24"/>
          <w:szCs w:val="24"/>
          <w:rtl w:val="0"/>
        </w:rPr>
        <w:t xml:space="preserve">steampunk</w:t>
      </w:r>
      <w:r w:rsidDel="00000000" w:rsidR="00000000" w:rsidRPr="00000000">
        <w:rPr>
          <w:rFonts w:ascii="Calibri" w:cs="Calibri" w:eastAsia="Calibri" w:hAnsi="Calibri"/>
          <w:sz w:val="24"/>
          <w:szCs w:val="24"/>
          <w:rtl w:val="0"/>
        </w:rPr>
        <w:t xml:space="preserve"> del juego League of Legends con detalles en el dial, la caja y la correa.</w:t>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GA-110LL: es tiempo de Jinx </w:t>
      </w:r>
    </w:p>
    <w:p w:rsidR="00000000" w:rsidDel="00000000" w:rsidP="00000000" w:rsidRDefault="00000000" w:rsidRPr="00000000" w14:paraId="00000009">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juego comienza con el</w:t>
      </w:r>
      <w:r w:rsidDel="00000000" w:rsidR="00000000" w:rsidRPr="00000000">
        <w:rPr>
          <w:rFonts w:ascii="Calibri" w:cs="Calibri" w:eastAsia="Calibri" w:hAnsi="Calibri"/>
          <w:b w:val="1"/>
          <w:sz w:val="24"/>
          <w:szCs w:val="24"/>
          <w:rtl w:val="0"/>
        </w:rPr>
        <w:t xml:space="preserve"> </w:t>
      </w:r>
      <w:hyperlink r:id="rId7">
        <w:r w:rsidDel="00000000" w:rsidR="00000000" w:rsidRPr="00000000">
          <w:rPr>
            <w:rFonts w:ascii="Calibri" w:cs="Calibri" w:eastAsia="Calibri" w:hAnsi="Calibri"/>
            <w:b w:val="1"/>
            <w:sz w:val="24"/>
            <w:szCs w:val="24"/>
            <w:u w:val="single"/>
            <w:rtl w:val="0"/>
          </w:rPr>
          <w:t xml:space="preserve">GA-110LL-1A</w:t>
        </w:r>
      </w:hyperlink>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un reloj resistente que trae la esencia de Jinx, la icónica campeona de League of Legends. Esta edición emana la esencia de la desenfadada disidente con sus colores vivos y su estilo audaz. Desde el marco hasta la correa, este reloj evoca a la astuta Jinx y su característico cohete </w:t>
      </w:r>
      <w:r w:rsidDel="00000000" w:rsidR="00000000" w:rsidRPr="00000000">
        <w:rPr>
          <w:rFonts w:ascii="Calibri" w:cs="Calibri" w:eastAsia="Calibri" w:hAnsi="Calibri"/>
          <w:i w:val="1"/>
          <w:sz w:val="24"/>
          <w:szCs w:val="24"/>
          <w:rtl w:val="0"/>
        </w:rPr>
        <w:t xml:space="preserve">Super Megadeath</w:t>
      </w:r>
      <w:r w:rsidDel="00000000" w:rsidR="00000000" w:rsidRPr="00000000">
        <w:rPr>
          <w:rFonts w:ascii="Calibri" w:cs="Calibri" w:eastAsia="Calibri" w:hAnsi="Calibri"/>
          <w:sz w:val="24"/>
          <w:szCs w:val="24"/>
          <w:rtl w:val="0"/>
        </w:rPr>
        <w:t xml:space="preserve">. Incluso el indicador de la manecilla del dial en la posición de las 9 en punto se asemeja al cohete que Jinx utiliza, brindando a los seguidores una auténtica explosión de energía de League of Legends en su vida cotidiana. El logo del juego en la tapa posterior de la caja y la presilla de la correa aseguran que este reloj sea una joya digna de cualquier fanático.</w:t>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GM-B2100LL: la magia Hextech con G-SHOCK </w:t>
      </w:r>
    </w:p>
    <w:p w:rsidR="00000000" w:rsidDel="00000000" w:rsidP="00000000" w:rsidRDefault="00000000" w:rsidRPr="00000000" w14:paraId="0000000D">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los seguidores apasionados del mundo de </w:t>
      </w:r>
      <w:r w:rsidDel="00000000" w:rsidR="00000000" w:rsidRPr="00000000">
        <w:rPr>
          <w:rFonts w:ascii="Calibri" w:cs="Calibri" w:eastAsia="Calibri" w:hAnsi="Calibri"/>
          <w:i w:val="1"/>
          <w:sz w:val="24"/>
          <w:szCs w:val="24"/>
          <w:rtl w:val="0"/>
        </w:rPr>
        <w:t xml:space="preserve">Runeterra</w:t>
      </w:r>
      <w:r w:rsidDel="00000000" w:rsidR="00000000" w:rsidRPr="00000000">
        <w:rPr>
          <w:rFonts w:ascii="Calibri" w:cs="Calibri" w:eastAsia="Calibri" w:hAnsi="Calibri"/>
          <w:sz w:val="24"/>
          <w:szCs w:val="24"/>
          <w:rtl w:val="0"/>
        </w:rPr>
        <w:t xml:space="preserve">, el </w:t>
      </w:r>
      <w:hyperlink r:id="rId8">
        <w:r w:rsidDel="00000000" w:rsidR="00000000" w:rsidRPr="00000000">
          <w:rPr>
            <w:rFonts w:ascii="Calibri" w:cs="Calibri" w:eastAsia="Calibri" w:hAnsi="Calibri"/>
            <w:color w:val="1155cc"/>
            <w:sz w:val="24"/>
            <w:szCs w:val="24"/>
            <w:u w:val="single"/>
            <w:rtl w:val="0"/>
          </w:rPr>
          <w:t xml:space="preserve">GM-B2100LL</w:t>
        </w:r>
      </w:hyperlink>
      <w:r w:rsidDel="00000000" w:rsidR="00000000" w:rsidRPr="00000000">
        <w:rPr>
          <w:rFonts w:ascii="Calibri" w:cs="Calibri" w:eastAsia="Calibri" w:hAnsi="Calibri"/>
          <w:sz w:val="24"/>
          <w:szCs w:val="24"/>
          <w:rtl w:val="0"/>
        </w:rPr>
        <w:t xml:space="preserve"> es un reloj que no pueden dejar escapar. Este modelo trae la magia Hextech, una parte integral del mundo de League of Legends, directamente a la muñeca de los fanáticos. Con un diseño metálico y un acabado dorado, negro y azul, este reloj refleja la fusión de magia, ciencia y tecnología. Desde el escudo de armas de Piltover grabado en la correa hasta los toques azules que evocan el característico color de la tecnología Hextech, esta edición es una obra maestra de colección. Al igual que su contraparte GA-110, el logo de LoL se encuentra en la tapa posterior de la caja y la traba de la malla. Está diseñado para aquellos que aprecian la magia detrás de la unión de dos mundos: </w:t>
      </w:r>
      <w:r w:rsidDel="00000000" w:rsidR="00000000" w:rsidRPr="00000000">
        <w:rPr>
          <w:rFonts w:ascii="Calibri" w:cs="Calibri" w:eastAsia="Calibri" w:hAnsi="Calibri"/>
          <w:b w:val="1"/>
          <w:sz w:val="24"/>
          <w:szCs w:val="24"/>
          <w:rtl w:val="0"/>
        </w:rPr>
        <w:t xml:space="preserve">G-SHOCK y League of Legends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jc w:val="both"/>
        <w:rPr>
          <w:highlight w:val="white"/>
        </w:rPr>
      </w:pPr>
      <w:r w:rsidDel="00000000" w:rsidR="00000000" w:rsidRPr="00000000">
        <w:rPr>
          <w:rFonts w:ascii="Calibri" w:cs="Calibri" w:eastAsia="Calibri" w:hAnsi="Calibri"/>
          <w:sz w:val="24"/>
          <w:szCs w:val="24"/>
          <w:rtl w:val="0"/>
        </w:rPr>
        <w:t xml:space="preserve">Casio continúa ampliando la base de fans de G-SHOCK al ofrecer una amplia variedad de nuevos modelos de colaboración como estos dos inspirados en el universo de LoL</w:t>
      </w:r>
      <w:r w:rsidDel="00000000" w:rsidR="00000000" w:rsidRPr="00000000">
        <w:rPr>
          <w:rFonts w:ascii="Calibri" w:cs="Calibri" w:eastAsia="Calibri" w:hAnsi="Calibri"/>
          <w:sz w:val="24"/>
          <w:szCs w:val="24"/>
          <w:highlight w:val="white"/>
          <w:rtl w:val="0"/>
        </w:rPr>
        <w:t xml:space="preserve">. Para mayor información, visita el sitio de Casio Latinoamérica en </w:t>
      </w:r>
      <w:hyperlink r:id="rId9">
        <w:r w:rsidDel="00000000" w:rsidR="00000000" w:rsidRPr="00000000">
          <w:rPr>
            <w:rFonts w:ascii="Calibri" w:cs="Calibri" w:eastAsia="Calibri" w:hAnsi="Calibri"/>
            <w:color w:val="1155cc"/>
            <w:sz w:val="24"/>
            <w:szCs w:val="24"/>
            <w:highlight w:val="white"/>
            <w:u w:val="single"/>
            <w:rtl w:val="0"/>
          </w:rPr>
          <w:t xml:space="preserve">casio-intl.com/latin/es/</w:t>
        </w:r>
      </w:hyperlink>
      <w:r w:rsidDel="00000000" w:rsidR="00000000" w:rsidRPr="00000000">
        <w:rPr>
          <w:rFonts w:ascii="Calibri" w:cs="Calibri" w:eastAsia="Calibri" w:hAnsi="Calibri"/>
          <w:sz w:val="24"/>
          <w:szCs w:val="24"/>
          <w:highlight w:val="white"/>
          <w:rtl w:val="0"/>
        </w:rPr>
        <w:t xml:space="preserve"> y mantente conectado a través de Instagram en </w:t>
      </w:r>
      <w:hyperlink r:id="rId10">
        <w:r w:rsidDel="00000000" w:rsidR="00000000" w:rsidRPr="00000000">
          <w:rPr>
            <w:rFonts w:ascii="Calibri" w:cs="Calibri" w:eastAsia="Calibri" w:hAnsi="Calibri"/>
            <w:b w:val="1"/>
            <w:sz w:val="24"/>
            <w:szCs w:val="24"/>
            <w:highlight w:val="white"/>
            <w:u w:val="single"/>
            <w:rtl w:val="0"/>
          </w:rPr>
          <w:t xml:space="preserve">@gshockamericalatina</w:t>
        </w:r>
      </w:hyperlink>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y</w:t>
      </w:r>
      <w:r w:rsidDel="00000000" w:rsidR="00000000" w:rsidRPr="00000000">
        <w:rPr>
          <w:rFonts w:ascii="Calibri" w:cs="Calibri" w:eastAsia="Calibri" w:hAnsi="Calibri"/>
          <w:b w:val="1"/>
          <w:sz w:val="24"/>
          <w:szCs w:val="24"/>
          <w:highlight w:val="white"/>
          <w:rtl w:val="0"/>
        </w:rPr>
        <w:t xml:space="preserve"> </w:t>
      </w:r>
      <w:hyperlink r:id="rId11">
        <w:r w:rsidDel="00000000" w:rsidR="00000000" w:rsidRPr="00000000">
          <w:rPr>
            <w:rFonts w:ascii="Calibri" w:cs="Calibri" w:eastAsia="Calibri" w:hAnsi="Calibri"/>
            <w:b w:val="1"/>
            <w:sz w:val="24"/>
            <w:szCs w:val="24"/>
            <w:highlight w:val="white"/>
            <w:u w:val="single"/>
            <w:rtl w:val="0"/>
          </w:rPr>
          <w:t xml:space="preserve">@gshockpanama_oficial</w:t>
        </w:r>
      </w:hyperlink>
      <w:r w:rsidDel="00000000" w:rsidR="00000000" w:rsidRPr="00000000">
        <w:rPr>
          <w:highlight w:val="white"/>
          <w:rtl w:val="0"/>
        </w:rPr>
        <w:t xml:space="preserve">.</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Acerca de G-SHOCK</w:t>
      </w:r>
    </w:p>
    <w:p w:rsidR="00000000" w:rsidDel="00000000" w:rsidP="00000000" w:rsidRDefault="00000000" w:rsidRPr="00000000" w14:paraId="0000001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tienen dos características que lo hacen único: resistencia a impactos y resistencia al agua de 200 metros. Algunos modelos también tienen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1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Para más información visita, </w:t>
      </w:r>
      <w:hyperlink r:id="rId12">
        <w:r w:rsidDel="00000000" w:rsidR="00000000" w:rsidRPr="00000000">
          <w:rPr>
            <w:rFonts w:ascii="Calibri" w:cs="Calibri" w:eastAsia="Calibri" w:hAnsi="Calibri"/>
            <w:color w:val="1155cc"/>
            <w:u w:val="single"/>
            <w:rtl w:val="0"/>
          </w:rPr>
          <w:t xml:space="preserve">casio-intl.com/latin/es/</w:t>
        </w:r>
      </w:hyperlink>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Acerca de Casio Computer Co., Ltd. </w:t>
      </w:r>
    </w:p>
    <w:p w:rsidR="00000000" w:rsidDel="00000000" w:rsidP="00000000" w:rsidRDefault="00000000" w:rsidRPr="00000000" w14:paraId="00000019">
      <w:pPr>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relojes, calculadoras, cámaras digitales, diccionarios electrónicos, rotuladores, instrumentos musicales, cajas registradoras, video proyectores profesionales, entre otros.</w:t>
      </w:r>
      <w:r w:rsidDel="00000000" w:rsidR="00000000" w:rsidRPr="00000000">
        <w:rPr>
          <w:rtl w:val="0"/>
        </w:rPr>
      </w:r>
    </w:p>
    <w:p w:rsidR="00000000" w:rsidDel="00000000" w:rsidP="00000000" w:rsidRDefault="00000000" w:rsidRPr="00000000" w14:paraId="0000001B">
      <w:pPr>
        <w:jc w:val="left"/>
        <w:rPr/>
      </w:pPr>
      <w:r w:rsidDel="00000000" w:rsidR="00000000" w:rsidRPr="00000000">
        <w:rPr>
          <w:rtl w:val="0"/>
        </w:rPr>
      </w:r>
    </w:p>
    <w:p w:rsidR="00000000" w:rsidDel="00000000" w:rsidP="00000000" w:rsidRDefault="00000000" w:rsidRPr="00000000" w14:paraId="0000001C">
      <w:pPr>
        <w:widowControl w:val="0"/>
        <w:jc w:val="both"/>
        <w:rPr/>
      </w:pPr>
      <w:bookmarkStart w:colFirst="0" w:colLast="0" w:name="_heading=h.30j0zll" w:id="2"/>
      <w:bookmarkEnd w:id="2"/>
      <w:r w:rsidDel="00000000" w:rsidR="00000000" w:rsidRPr="00000000">
        <w:rPr>
          <w:rFonts w:ascii="Calibri" w:cs="Calibri" w:eastAsia="Calibri" w:hAnsi="Calibri"/>
          <w:b w:val="1"/>
          <w:rtl w:val="0"/>
        </w:rPr>
        <w:t xml:space="preserve">Acerca de League of Legends</w:t>
      </w:r>
      <w:r w:rsidDel="00000000" w:rsidR="00000000" w:rsidRPr="00000000">
        <w:rPr>
          <w:rtl w:val="0"/>
        </w:rPr>
      </w:r>
    </w:p>
    <w:p w:rsidR="00000000" w:rsidDel="00000000" w:rsidP="00000000" w:rsidRDefault="00000000" w:rsidRPr="00000000" w14:paraId="0000001D">
      <w:pPr>
        <w:jc w:val="both"/>
        <w:rPr/>
      </w:pPr>
      <w:r w:rsidDel="00000000" w:rsidR="00000000" w:rsidRPr="00000000">
        <w:rPr>
          <w:rFonts w:ascii="Calibri" w:cs="Calibri" w:eastAsia="Calibri" w:hAnsi="Calibri"/>
          <w:rtl w:val="0"/>
        </w:rPr>
        <w:t xml:space="preserve">Lanzado en el 2009, League of Legends es el título debut de Riot Games y uno de los juegos competitivos más jugados del mundo que atrae a millones de jugadores a diario en más de 20 idiomas oficialmente compatibles. Un pilar del género MOBA, en este juego, dos equipos de cinco poderosos campeones se enfrentan para destruir la base del otro en un juego que combina la velocidad, la estrategia y la intensidad de un título RTS con elementos RPG envolventes.</w:t>
      </w:r>
      <w:r w:rsidDel="00000000" w:rsidR="00000000" w:rsidRPr="00000000">
        <w:rPr>
          <w:rtl w:val="0"/>
        </w:rPr>
      </w:r>
    </w:p>
    <w:sectPr>
      <w:headerReference r:id="rId13" w:type="default"/>
      <w:foot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leader="none" w:pos="4153"/>
        <w:tab w:val="right" w:leader="none" w:pos="8306"/>
        <w:tab w:val="center" w:leader="none" w:pos="4320"/>
        <w:tab w:val="right" w:leader="none" w:pos="8640"/>
      </w:tabs>
      <w:spacing w:line="240" w:lineRule="auto"/>
      <w:jc w:val="right"/>
      <w:rPr>
        <w:rFonts w:ascii="Helvetica Neue" w:cs="Helvetica Neue" w:eastAsia="Helvetica Neue" w:hAnsi="Helvetica Neue"/>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2179800</wp:posOffset>
          </wp:positionH>
          <wp:positionV relativeFrom="paragraph">
            <wp:posOffset>47629</wp:posOffset>
          </wp:positionV>
          <wp:extent cx="1366838" cy="44775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66838" cy="447757"/>
                  </a:xfrm>
                  <a:prstGeom prst="rect"/>
                  <a:ln/>
                </pic:spPr>
              </pic:pic>
            </a:graphicData>
          </a:graphic>
        </wp:anchor>
      </w:drawing>
    </w:r>
  </w:p>
  <w:p w:rsidR="00000000" w:rsidDel="00000000" w:rsidP="00000000" w:rsidRDefault="00000000" w:rsidRPr="00000000" w14:paraId="0000001F">
    <w:pPr>
      <w:tabs>
        <w:tab w:val="center" w:leader="none" w:pos="4153"/>
        <w:tab w:val="right" w:leader="none" w:pos="8306"/>
        <w:tab w:val="center" w:leader="none" w:pos="4320"/>
        <w:tab w:val="right" w:leader="none" w:pos="8640"/>
      </w:tabs>
      <w:spacing w:line="240" w:lineRule="auto"/>
      <w:jc w:val="righ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0">
    <w:pPr>
      <w:tabs>
        <w:tab w:val="center" w:leader="none" w:pos="4153"/>
        <w:tab w:val="right" w:leader="none" w:pos="8306"/>
        <w:tab w:val="center" w:leader="none" w:pos="4320"/>
        <w:tab w:val="right" w:leader="none" w:pos="8640"/>
      </w:tabs>
      <w:spacing w:line="240" w:lineRule="auto"/>
      <w:jc w:val="righ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1">
    <w:pPr>
      <w:tabs>
        <w:tab w:val="center" w:leader="none" w:pos="4153"/>
        <w:tab w:val="right" w:leader="none" w:pos="8306"/>
        <w:tab w:val="center" w:leader="none" w:pos="4320"/>
        <w:tab w:val="right" w:leader="none" w:pos="8640"/>
      </w:tabs>
      <w:spacing w:line="240" w:lineRule="auto"/>
      <w:jc w:val="right"/>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2">
    <w:pPr>
      <w:tabs>
        <w:tab w:val="center" w:leader="none" w:pos="4153"/>
        <w:tab w:val="right" w:leader="none" w:pos="8306"/>
        <w:tab w:val="center" w:leader="none" w:pos="4320"/>
        <w:tab w:val="right" w:leader="none" w:pos="8640"/>
      </w:tabs>
      <w:spacing w:line="240" w:lineRule="auto"/>
      <w:jc w:val="right"/>
      <w:rPr>
        <w:rFonts w:ascii="Helvetica Neue" w:cs="Helvetica Neue" w:eastAsia="Helvetica Neue" w:hAnsi="Helvetica Neue"/>
        <w:sz w:val="20"/>
        <w:szCs w:val="20"/>
      </w:rPr>
    </w:pPr>
    <w:r w:rsidDel="00000000" w:rsidR="00000000" w:rsidRPr="00000000">
      <w:rPr>
        <w:rtl w:val="0"/>
      </w:rPr>
    </w:r>
  </w:p>
  <w:tbl>
    <w:tblPr>
      <w:tblStyle w:val="Table1"/>
      <w:tblW w:w="8640.0" w:type="dxa"/>
      <w:jc w:val="left"/>
      <w:tblInd w:w="-108.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640"/>
      <w:tblGridChange w:id="0">
        <w:tblGrid>
          <w:gridCol w:w="8640"/>
        </w:tblGrid>
      </w:tblGridChange>
    </w:tblGrid>
    <w:tr>
      <w:trPr>
        <w:cantSplit w:val="0"/>
        <w:trHeight w:val="266" w:hRule="atLeast"/>
        <w:tblHeader w:val="0"/>
      </w:trPr>
      <w:tc>
        <w:tcPr/>
        <w:p w:rsidR="00000000" w:rsidDel="00000000" w:rsidP="00000000" w:rsidRDefault="00000000" w:rsidRPr="00000000" w14:paraId="00000023">
          <w:pPr>
            <w:tabs>
              <w:tab w:val="center" w:leader="none" w:pos="4153"/>
              <w:tab w:val="right" w:leader="none" w:pos="8306"/>
            </w:tabs>
            <w:spacing w:line="24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24">
    <w:pPr>
      <w:tabs>
        <w:tab w:val="center" w:leader="none" w:pos="4153"/>
        <w:tab w:val="right" w:leader="none" w:pos="8306"/>
      </w:tabs>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instagram.com/gshockpanama_oficial/" TargetMode="External"/><Relationship Id="rId10" Type="http://schemas.openxmlformats.org/officeDocument/2006/relationships/hyperlink" Target="http://www.instagram.com/gshockamericalatina/" TargetMode="External"/><Relationship Id="rId13" Type="http://schemas.openxmlformats.org/officeDocument/2006/relationships/header" Target="header1.xml"/><Relationship Id="rId12" Type="http://schemas.openxmlformats.org/officeDocument/2006/relationships/hyperlink" Target="http://casio-intl.com/latin/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asio-intl.com/latin/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asio.com/mx/watches/gshock/product.GA-110LL-1A/?_gl=1*q1cj15*_ga*OTAzNTU2ODg0LjE2Njc5MzcxNzg.*_ga_NMYTWT53BS*MTY5NzA1Njk3OC42Ny4xLjE2OTcwNTY5ODEuMC4wLjA." TargetMode="External"/><Relationship Id="rId8" Type="http://schemas.openxmlformats.org/officeDocument/2006/relationships/hyperlink" Target="https://www.casio.com/mx/watches/gshock/product.GM-B2100LL-1A/?_gl=1*q1cj15*_ga*OTAzNTU2ODg0LjE2Njc5MzcxNzg.*_ga_NMYTWT53BS*MTY5NzA1Njk3OC42Ny4xLjE2OTcwNTY5ODEuMC4wLj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qqu1ha5mpvICdtoaFDN/1oGkHQ==">CgMxLjAyCGguZ2pkZ3hzMg5oLmQyODBiaDhzYnhzajIJaC4zMGowemxsOAByITFOUjBqNk9VdTVoT3NEOHA1YTh0VllUYzRUVHZTdU9CUA==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