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188B" w14:textId="5D236E92" w:rsidR="00223DB8" w:rsidRPr="00A17BF6" w:rsidRDefault="00CC242B" w:rsidP="423811DE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MSF’s recommendations </w:t>
      </w:r>
      <w:r w:rsidR="0042732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to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2732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control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BF0172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C0E19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ongoing </w:t>
      </w:r>
      <w:r w:rsidR="00BF0172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COVID-19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2732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pandemic</w:t>
      </w:r>
    </w:p>
    <w:p w14:paraId="709470CC" w14:textId="426C3160" w:rsidR="00427324" w:rsidRDefault="00427324" w:rsidP="423811D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A6D4C1E" w14:textId="0423F3AB" w:rsidR="68AA4086" w:rsidRDefault="009F0E80" w:rsidP="423811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9361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countries convene to discuss the pandemic response at the </w:t>
      </w:r>
      <w:r w:rsidR="00471253">
        <w:rPr>
          <w:rFonts w:ascii="Calibri" w:eastAsia="Calibri" w:hAnsi="Calibri" w:cs="Calibri"/>
          <w:color w:val="000000" w:themeColor="text1"/>
          <w:sz w:val="22"/>
          <w:szCs w:val="22"/>
        </w:rPr>
        <w:t>United Nations General Assembly</w:t>
      </w:r>
      <w:r w:rsidR="009361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week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Médecins</w:t>
      </w:r>
      <w:proofErr w:type="spellEnd"/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Sans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Frontières</w:t>
      </w:r>
      <w:proofErr w:type="spellEnd"/>
      <w:r w:rsidR="00F957DA">
        <w:rPr>
          <w:rFonts w:ascii="Calibri" w:eastAsia="Calibri" w:hAnsi="Calibri" w:cs="Calibri"/>
          <w:color w:val="000000" w:themeColor="text1"/>
          <w:sz w:val="22"/>
          <w:szCs w:val="22"/>
        </w:rPr>
        <w:t>/Doctors Without Borders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(MSF)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call</w:t>
      </w:r>
      <w:r w:rsidR="00797AE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on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3619D">
        <w:rPr>
          <w:rFonts w:ascii="Calibri" w:eastAsia="Calibri" w:hAnsi="Calibri" w:cs="Calibri"/>
          <w:color w:val="000000" w:themeColor="text1"/>
          <w:sz w:val="22"/>
          <w:szCs w:val="22"/>
        </w:rPr>
        <w:t>governments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33F4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urgently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80475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re</w:t>
      </w:r>
      <w:r w:rsidR="00FC20BC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solve the </w:t>
      </w:r>
      <w:r w:rsidR="00F80475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glaring </w:t>
      </w:r>
      <w:r w:rsidR="00FC20BC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inequity in access to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749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lifesaving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643D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COVID-19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34C6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medical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34C6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tools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779B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for people in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24D1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low-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24D1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24D1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middle-income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24D1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countries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24D1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(LMICs)</w:t>
      </w:r>
      <w:r w:rsidR="00234C6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52BB1F0" w14:textId="77777777" w:rsidR="0093619D" w:rsidRDefault="0093619D" w:rsidP="423811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B42F07" w14:textId="4E7805FB" w:rsidR="45D5E19D" w:rsidRDefault="45D5E19D" w:rsidP="423811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Throughout this year, MSF has </w:t>
      </w:r>
      <w:r w:rsidR="036B10E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addressed</w:t>
      </w:r>
      <w:r w:rsidR="3EE3C76C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critical needs and </w:t>
      </w:r>
      <w:r w:rsidR="76AC1D31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experienced struggles</w:t>
      </w:r>
      <w:r w:rsidR="14A374FC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providing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care </w:t>
      </w:r>
      <w:r w:rsidR="75D0DD7A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people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fac</w:t>
      </w:r>
      <w:r w:rsidR="25705A2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ing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COVID-19</w:t>
      </w:r>
      <w:r w:rsidR="1756358B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countries </w:t>
      </w:r>
      <w:r w:rsidR="3BA95FA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ranging from</w:t>
      </w:r>
      <w:r w:rsidR="7F7A3F1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1">
        <w:r w:rsidR="1129FFF7" w:rsidRPr="423811DE">
          <w:rPr>
            <w:rStyle w:val="Hyperlink"/>
            <w:rFonts w:ascii="Calibri" w:eastAsia="Calibri" w:hAnsi="Calibri" w:cs="Calibri"/>
            <w:sz w:val="22"/>
            <w:szCs w:val="22"/>
          </w:rPr>
          <w:t>India</w:t>
        </w:r>
      </w:hyperlink>
      <w:r w:rsidR="1129FFF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hyperlink r:id="rId12">
        <w:r w:rsidR="12E03A2B" w:rsidRPr="423811DE">
          <w:rPr>
            <w:rStyle w:val="Hyperlink"/>
            <w:rFonts w:ascii="Calibri" w:eastAsia="Calibri" w:hAnsi="Calibri" w:cs="Calibri"/>
            <w:sz w:val="22"/>
            <w:szCs w:val="22"/>
          </w:rPr>
          <w:t>Lebanon</w:t>
        </w:r>
      </w:hyperlink>
      <w:r w:rsidR="1129FFF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3">
        <w:r w:rsidR="1129FFF7" w:rsidRPr="423811DE">
          <w:rPr>
            <w:rStyle w:val="Hyperlink"/>
            <w:rFonts w:ascii="Calibri" w:eastAsia="Calibri" w:hAnsi="Calibri" w:cs="Calibri"/>
            <w:sz w:val="22"/>
            <w:szCs w:val="22"/>
          </w:rPr>
          <w:t>Yemen</w:t>
        </w:r>
        <w:r w:rsidR="08B7CD4A" w:rsidRPr="423811DE">
          <w:rPr>
            <w:rStyle w:val="Hyperlink"/>
            <w:rFonts w:ascii="Calibri" w:eastAsia="Calibri" w:hAnsi="Calibri" w:cs="Calibri"/>
            <w:sz w:val="22"/>
            <w:szCs w:val="22"/>
          </w:rPr>
          <w:t>,</w:t>
        </w:r>
      </w:hyperlink>
      <w:r w:rsidR="08B7CD4A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</w:t>
      </w:r>
      <w:r w:rsidR="2FAB307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4">
        <w:r w:rsidR="4032D9EB" w:rsidRPr="423811DE">
          <w:rPr>
            <w:rStyle w:val="Hyperlink"/>
            <w:rFonts w:ascii="Calibri" w:eastAsia="Calibri" w:hAnsi="Calibri" w:cs="Calibri"/>
            <w:sz w:val="22"/>
            <w:szCs w:val="22"/>
          </w:rPr>
          <w:t>Brazil</w:t>
        </w:r>
      </w:hyperlink>
      <w:r w:rsidR="4032D9EB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hyperlink r:id="rId15">
        <w:r w:rsidR="4032D9EB" w:rsidRPr="423811DE">
          <w:rPr>
            <w:rStyle w:val="Hyperlink"/>
            <w:rFonts w:ascii="Calibri" w:eastAsia="Calibri" w:hAnsi="Calibri" w:cs="Calibri"/>
            <w:sz w:val="22"/>
            <w:szCs w:val="22"/>
          </w:rPr>
          <w:t>Mexico</w:t>
        </w:r>
      </w:hyperlink>
      <w:r w:rsidR="4032D9EB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and </w:t>
      </w:r>
      <w:hyperlink r:id="rId16">
        <w:r w:rsidR="4032D9EB" w:rsidRPr="423811DE">
          <w:rPr>
            <w:rStyle w:val="Hyperlink"/>
            <w:rFonts w:ascii="Calibri" w:eastAsia="Calibri" w:hAnsi="Calibri" w:cs="Calibri"/>
            <w:sz w:val="22"/>
            <w:szCs w:val="22"/>
          </w:rPr>
          <w:t>Peru</w:t>
        </w:r>
        <w:r w:rsidR="320D9B0A" w:rsidRPr="423811DE">
          <w:rPr>
            <w:rStyle w:val="Hyperlink"/>
            <w:rFonts w:ascii="Calibri" w:eastAsia="Calibri" w:hAnsi="Calibri" w:cs="Calibri"/>
            <w:sz w:val="22"/>
            <w:szCs w:val="22"/>
          </w:rPr>
          <w:t>.</w:t>
        </w:r>
      </w:hyperlink>
      <w:r w:rsidR="4032D9EB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A6ADC8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To date, m</w:t>
      </w:r>
      <w:r w:rsidR="7232ACC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ore than </w:t>
      </w:r>
      <w:hyperlink r:id="rId17">
        <w:r w:rsidR="7232ACC3" w:rsidRPr="423811DE">
          <w:rPr>
            <w:rStyle w:val="Hyperlink"/>
            <w:rFonts w:ascii="Calibri" w:eastAsia="Calibri" w:hAnsi="Calibri" w:cs="Calibri"/>
            <w:sz w:val="22"/>
            <w:szCs w:val="22"/>
          </w:rPr>
          <w:t>4.5 million people have died</w:t>
        </w:r>
      </w:hyperlink>
      <w:r w:rsidR="7232ACC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COVID-1</w:t>
      </w:r>
      <w:r w:rsidR="0B3BBE8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9 –</w:t>
      </w:r>
      <w:r w:rsidR="6E36AF0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pandemic is still a daily life-or-death emergency for millions of people around the world.</w:t>
      </w:r>
    </w:p>
    <w:p w14:paraId="40BBFBB1" w14:textId="1A0AD8C1" w:rsidR="00BC362D" w:rsidRDefault="00BC362D" w:rsidP="423811D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86E08EE" w14:textId="21042D50" w:rsidR="00F957DA" w:rsidRPr="00CC242B" w:rsidRDefault="00F957DA" w:rsidP="00F957DA">
      <w:pPr>
        <w:rPr>
          <w:rFonts w:ascii="Calibri" w:eastAsia="Times New Roman" w:hAnsi="Calibri" w:cs="Times New Roman"/>
          <w:sz w:val="22"/>
          <w:szCs w:val="22"/>
        </w:rPr>
      </w:pPr>
      <w:r w:rsidRPr="00CC242B">
        <w:rPr>
          <w:rFonts w:ascii="Calibri" w:eastAsia="Calibri" w:hAnsi="Calibri" w:cs="Calibri"/>
          <w:color w:val="000000"/>
          <w:sz w:val="22"/>
          <w:szCs w:val="22"/>
        </w:rPr>
        <w:t xml:space="preserve">MSF urges all countries </w:t>
      </w:r>
      <w:r w:rsidRPr="00CC242B">
        <w:rPr>
          <w:rFonts w:ascii="Calibri" w:eastAsia="Times New Roman" w:hAnsi="Calibri" w:cs="Times New Roman"/>
          <w:color w:val="000000"/>
          <w:sz w:val="22"/>
          <w:szCs w:val="22"/>
        </w:rPr>
        <w:t xml:space="preserve">act in solidarity and support following measures to ensure that each country has sufficient tools to save as many lives as possible in this pandemic: </w:t>
      </w:r>
    </w:p>
    <w:p w14:paraId="09DE3BCE" w14:textId="662C9E8C" w:rsidR="00F957DA" w:rsidRPr="00A17BF6" w:rsidRDefault="00F957DA" w:rsidP="423811D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4914295" w14:textId="2EED3A2E" w:rsidR="00B93ABD" w:rsidRPr="00F957DA" w:rsidRDefault="00F957DA" w:rsidP="423811DE">
      <w:pPr>
        <w:pStyle w:val="CommentTex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1) </w:t>
      </w:r>
      <w:r w:rsidR="00842E28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Vaccine dose redistribution</w:t>
      </w:r>
      <w:r w:rsidRPr="00F957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A275A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Today</w:t>
      </w:r>
      <w:r w:rsidR="000253D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global v</w:t>
      </w:r>
      <w:r w:rsidR="00AC6DA3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accine inequity is </w:t>
      </w:r>
      <w:r w:rsidR="000253D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severe, and people are dying. </w:t>
      </w:r>
      <w:r w:rsidR="00B93ABD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We have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witnessed the </w:t>
      </w:r>
      <w:r w:rsidR="7715345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massive stockpiling 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vaccine doses by some </w:t>
      </w:r>
      <w:r w:rsidR="00A275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high-income countries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the rest of the world goes without. The world now faces a situation in which healthcare workers and high-risk populations in LMICs may not receive their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first </w:t>
      </w:r>
      <w:r w:rsidR="1E8FACBA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doses 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until after the majority of </w:t>
      </w:r>
      <w:r w:rsidR="00A275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high-income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countries</w:t>
      </w:r>
      <w:r w:rsidR="0C644DD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fully </w:t>
      </w:r>
      <w:r w:rsidR="00B93AB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vaccinated. </w:t>
      </w:r>
    </w:p>
    <w:p w14:paraId="0F0D64A2" w14:textId="7023DD0C" w:rsidR="004D69CC" w:rsidRDefault="004D69CC" w:rsidP="423811DE">
      <w:pPr>
        <w:pStyle w:val="CommentText"/>
        <w:rPr>
          <w:rFonts w:ascii="Calibri" w:eastAsia="Calibri" w:hAnsi="Calibri" w:cs="Calibri"/>
          <w:color w:val="000000"/>
          <w:sz w:val="22"/>
          <w:szCs w:val="22"/>
        </w:rPr>
      </w:pPr>
    </w:p>
    <w:p w14:paraId="266B5F4C" w14:textId="2D4471E5" w:rsidR="00842E28" w:rsidRPr="006347D8" w:rsidRDefault="00A275AE" w:rsidP="006347D8">
      <w:pPr>
        <w:rPr>
          <w:rFonts w:ascii="Times" w:eastAsia="Times New Roman" w:hAnsi="Times" w:cs="Times New Roman"/>
          <w:sz w:val="20"/>
          <w:szCs w:val="20"/>
        </w:rPr>
      </w:pP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The fastest way to save lives right now is for high-income countrie</w:t>
      </w:r>
      <w:r w:rsidR="6FF3939C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– </w:t>
      </w:r>
      <w:r w:rsidR="009779B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including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US, UK, Canada, and German</w:t>
      </w:r>
      <w:r w:rsidR="3968C2D9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 – to </w:t>
      </w:r>
      <w:r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immediately redistribute their excess vaccine doses to LMICs</w:t>
      </w:r>
      <w:r w:rsidR="00842E28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via the COVAX Facility </w:t>
      </w:r>
      <w:r w:rsidR="00842E28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other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regional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mechanisms</w:t>
      </w:r>
      <w:r w:rsidR="006347D8" w:rsidRPr="006347D8">
        <w:rPr>
          <w:rFonts w:ascii="Helvetica" w:eastAsia="Times New Roman" w:hAnsi="Helvetica" w:cs="Times New Roman"/>
          <w:color w:val="000000"/>
          <w:sz w:val="18"/>
          <w:szCs w:val="18"/>
        </w:rPr>
        <w:t>. </w:t>
      </w:r>
      <w:r w:rsidR="006347D8" w:rsidRPr="006347D8">
        <w:rPr>
          <w:rFonts w:ascii="Calibri" w:eastAsia="Times New Roman" w:hAnsi="Calibri" w:cs="Times New Roman"/>
          <w:b/>
          <w:color w:val="000000"/>
          <w:sz w:val="22"/>
          <w:szCs w:val="22"/>
        </w:rPr>
        <w:t>This must be done well before these doses expire.</w:t>
      </w:r>
      <w:r w:rsidR="006347D8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6347D8">
        <w:rPr>
          <w:rFonts w:ascii="Calibri" w:eastAsia="Calibri" w:hAnsi="Calibri" w:cs="Calibri"/>
          <w:color w:val="000000" w:themeColor="text1"/>
          <w:sz w:val="22"/>
          <w:szCs w:val="22"/>
        </w:rPr>
        <w:t>MSF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urges </w:t>
      </w:r>
      <w:r w:rsidR="0093619D">
        <w:rPr>
          <w:rFonts w:ascii="Calibri" w:eastAsia="Calibri" w:hAnsi="Calibri" w:cs="Calibri"/>
          <w:color w:val="000000" w:themeColor="text1"/>
          <w:sz w:val="22"/>
          <w:szCs w:val="22"/>
        </w:rPr>
        <w:t>countries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have already vaccinated their vulnerable population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stop purchasing additional doses and redistribute excess doses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support World Health Organization (WHO) targets of vaccinating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 least 40% of all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people globally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end of 2021</w:t>
      </w:r>
      <w:r w:rsidR="002D17A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 and 70% by mid-2022</w:t>
      </w:r>
      <w:r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769A5D29" w14:textId="2FB1EC05" w:rsidR="68AA4086" w:rsidRDefault="68AA4086" w:rsidP="423811DE">
      <w:pPr>
        <w:pStyle w:val="CommentTex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FB642E" w14:textId="2D04F9BB" w:rsidR="2D247D44" w:rsidRPr="00F957DA" w:rsidRDefault="00F957DA" w:rsidP="00F957DA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F957DA">
        <w:rPr>
          <w:rFonts w:ascii="Calibri" w:eastAsia="Calibri" w:hAnsi="Calibri" w:cs="Calibri"/>
          <w:b/>
          <w:bCs/>
          <w:sz w:val="22"/>
          <w:szCs w:val="22"/>
        </w:rPr>
        <w:t xml:space="preserve">2) </w:t>
      </w:r>
      <w:r w:rsidR="49D3E590" w:rsidRPr="00F957DA">
        <w:rPr>
          <w:rFonts w:ascii="Calibri" w:eastAsia="Calibri" w:hAnsi="Calibri" w:cs="Calibri"/>
          <w:b/>
          <w:bCs/>
          <w:sz w:val="22"/>
          <w:szCs w:val="22"/>
        </w:rPr>
        <w:t xml:space="preserve">Reaching </w:t>
      </w:r>
      <w:r w:rsidR="1FF9044B" w:rsidRPr="00F957DA">
        <w:rPr>
          <w:rFonts w:ascii="Calibri" w:eastAsia="Calibri" w:hAnsi="Calibri" w:cs="Calibri"/>
          <w:b/>
          <w:bCs/>
          <w:sz w:val="22"/>
          <w:szCs w:val="22"/>
        </w:rPr>
        <w:t xml:space="preserve">vulnerable </w:t>
      </w:r>
      <w:r w:rsidR="49D3E590" w:rsidRPr="00F957DA">
        <w:rPr>
          <w:rFonts w:ascii="Calibri" w:eastAsia="Calibri" w:hAnsi="Calibri" w:cs="Calibri"/>
          <w:b/>
          <w:bCs/>
          <w:sz w:val="22"/>
          <w:szCs w:val="22"/>
        </w:rPr>
        <w:t>populations</w:t>
      </w:r>
      <w:r w:rsidRPr="00F957DA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2D247D44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Based on our experience</w:t>
      </w:r>
      <w:r w:rsidR="0093619D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resource-limited settings, </w:t>
      </w:r>
      <w:r w:rsidR="7856F8A8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g</w:t>
      </w:r>
      <w:r w:rsidR="2D247D44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overnments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must </w:t>
      </w:r>
      <w:proofErr w:type="spellStart"/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prioritise</w:t>
      </w:r>
      <w:proofErr w:type="spellEnd"/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funding not just f</w:t>
      </w:r>
      <w:r w:rsidR="15F712DB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 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delivery but also 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strong health promotion and dialogue with communities to counter disinformation and fear resulting in </w:t>
      </w:r>
      <w:r w:rsidR="2D247D4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vaccine hesitancy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We </w:t>
      </w:r>
      <w:r w:rsidR="1771BF1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also 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urgently need to </w:t>
      </w:r>
      <w:r w:rsidR="2D247D4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reach people ‘outside’ the system</w:t>
      </w:r>
      <w:r w:rsidR="2D247D4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refugees, internally displaced persons (IDPs), migrants, and those living in non-government-controlled areas. </w:t>
      </w:r>
    </w:p>
    <w:p w14:paraId="3ABABA6D" w14:textId="7A2A3DC0" w:rsidR="423811DE" w:rsidRDefault="423811DE" w:rsidP="423811DE">
      <w:pPr>
        <w:pStyle w:val="CommentTex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9C0EA4" w14:textId="0E658464" w:rsidR="00842E28" w:rsidRPr="00F957DA" w:rsidRDefault="00F957DA" w:rsidP="423811DE">
      <w:pPr>
        <w:pStyle w:val="CommentTex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3) </w:t>
      </w:r>
      <w:r w:rsidR="00525DC0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Sharing vaccine technology</w:t>
      </w:r>
      <w:r w:rsidRPr="00F957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AC6DA3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 the pandemic </w:t>
      </w:r>
      <w:r w:rsidR="00525DC0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remains out of control</w:t>
      </w:r>
      <w:r w:rsidR="00AC6DA3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E7AB4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 w:rsidR="00AC6DA3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</w:t>
      </w:r>
      <w:r w:rsidR="00525DC0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AC6DA3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emergence of new</w:t>
      </w:r>
      <w:r w:rsidR="00AC6DA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more transmissible variants, </w:t>
      </w:r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the need to dramatically increase the global production and supply of vaccines is obvious.</w:t>
      </w:r>
      <w:r w:rsidR="159F1E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V</w:t>
      </w:r>
      <w:r w:rsidR="0042732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accine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2732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manufacturing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capacity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must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be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boosted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in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LMICs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ADFDB6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</w:t>
      </w:r>
      <w:proofErr w:type="spellStart"/>
      <w:r w:rsidR="6ADFDB6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utilising</w:t>
      </w:r>
      <w:proofErr w:type="spellEnd"/>
      <w:r w:rsidR="6ADFDB6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all policy and legal measures, including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through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2C4434B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full transfer </w:t>
      </w:r>
      <w:r w:rsidR="00525DC0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of mRNA vaccine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technology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and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know-how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the pharmaceutical corporations Pfizer (US), </w:t>
      </w:r>
      <w:proofErr w:type="spellStart"/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BioNTech</w:t>
      </w:r>
      <w:proofErr w:type="spellEnd"/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(Germany)</w:t>
      </w:r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and </w:t>
      </w:r>
      <w:proofErr w:type="spellStart"/>
      <w:r w:rsidR="00525DC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Moderna</w:t>
      </w:r>
      <w:proofErr w:type="spellEnd"/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(US)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21BE57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4974372" w:rsidRPr="423811DE">
        <w:rPr>
          <w:rFonts w:ascii="Calibri" w:eastAsia="Calibri" w:hAnsi="Calibri" w:cs="Calibri"/>
          <w:sz w:val="22"/>
          <w:szCs w:val="22"/>
        </w:rPr>
        <w:t xml:space="preserve">To dramatically boost vaccine supply in LMICs, and attain independent sustainability, full transfer of </w:t>
      </w:r>
      <w:r w:rsidR="0281E7B1" w:rsidRPr="423811DE">
        <w:rPr>
          <w:rFonts w:ascii="Calibri" w:eastAsia="Calibri" w:hAnsi="Calibri" w:cs="Calibri"/>
          <w:sz w:val="22"/>
          <w:szCs w:val="22"/>
        </w:rPr>
        <w:t xml:space="preserve">such </w:t>
      </w:r>
      <w:r w:rsidR="54974372" w:rsidRPr="423811DE">
        <w:rPr>
          <w:rFonts w:ascii="Calibri" w:eastAsia="Calibri" w:hAnsi="Calibri" w:cs="Calibri"/>
          <w:sz w:val="22"/>
          <w:szCs w:val="22"/>
        </w:rPr>
        <w:t xml:space="preserve">technology needs to happen transparently and be open to all competent alternative manufacturers. </w:t>
      </w:r>
      <w:r w:rsidR="00D15846">
        <w:rPr>
          <w:rFonts w:ascii="Calibri" w:eastAsia="Calibri" w:hAnsi="Calibri" w:cs="Calibri"/>
          <w:sz w:val="22"/>
          <w:szCs w:val="22"/>
        </w:rPr>
        <w:t>High-income countries</w:t>
      </w:r>
      <w:r w:rsidR="54974372" w:rsidRPr="423811DE">
        <w:rPr>
          <w:rFonts w:ascii="Calibri" w:eastAsia="Calibri" w:hAnsi="Calibri" w:cs="Calibri"/>
          <w:sz w:val="22"/>
          <w:szCs w:val="22"/>
        </w:rPr>
        <w:t>, particularly Germany and the US</w:t>
      </w:r>
      <w:r w:rsidR="008D4397">
        <w:rPr>
          <w:rFonts w:ascii="Calibri" w:eastAsia="Calibri" w:hAnsi="Calibri" w:cs="Calibri"/>
          <w:sz w:val="22"/>
          <w:szCs w:val="22"/>
        </w:rPr>
        <w:t>,</w:t>
      </w:r>
      <w:r w:rsidR="54974372" w:rsidRPr="423811DE">
        <w:rPr>
          <w:rFonts w:ascii="Calibri" w:eastAsia="Calibri" w:hAnsi="Calibri" w:cs="Calibri"/>
          <w:sz w:val="22"/>
          <w:szCs w:val="22"/>
        </w:rPr>
        <w:t xml:space="preserve"> which host </w:t>
      </w:r>
      <w:proofErr w:type="spellStart"/>
      <w:r w:rsidR="54974372" w:rsidRPr="423811DE">
        <w:rPr>
          <w:rFonts w:ascii="Calibri" w:eastAsia="Calibri" w:hAnsi="Calibri" w:cs="Calibri"/>
          <w:sz w:val="22"/>
          <w:szCs w:val="22"/>
        </w:rPr>
        <w:t>BioNTech</w:t>
      </w:r>
      <w:proofErr w:type="spellEnd"/>
      <w:r w:rsidR="54974372" w:rsidRPr="423811DE">
        <w:rPr>
          <w:rFonts w:ascii="Calibri" w:eastAsia="Calibri" w:hAnsi="Calibri" w:cs="Calibri"/>
          <w:sz w:val="22"/>
          <w:szCs w:val="22"/>
        </w:rPr>
        <w:t xml:space="preserve">, Pfizer and </w:t>
      </w:r>
      <w:proofErr w:type="spellStart"/>
      <w:r w:rsidR="54974372" w:rsidRPr="423811DE">
        <w:rPr>
          <w:rFonts w:ascii="Calibri" w:eastAsia="Calibri" w:hAnsi="Calibri" w:cs="Calibri"/>
          <w:sz w:val="22"/>
          <w:szCs w:val="22"/>
        </w:rPr>
        <w:t>Moderna</w:t>
      </w:r>
      <w:proofErr w:type="spellEnd"/>
      <w:r w:rsidR="54974372" w:rsidRPr="423811DE">
        <w:rPr>
          <w:rFonts w:ascii="Calibri" w:eastAsia="Calibri" w:hAnsi="Calibri" w:cs="Calibri"/>
          <w:sz w:val="22"/>
          <w:szCs w:val="22"/>
        </w:rPr>
        <w:t xml:space="preserve">, should demand these companies share their mRNA vaccine technology and know-how with the WHO COVID-19 mRNA Vaccine Technology Transfer Hub based in South Africa. </w:t>
      </w:r>
      <w:r w:rsidR="008879AB">
        <w:rPr>
          <w:rFonts w:ascii="Calibri" w:eastAsia="Calibri" w:hAnsi="Calibri" w:cs="Calibri"/>
          <w:sz w:val="22"/>
          <w:szCs w:val="22"/>
        </w:rPr>
        <w:t xml:space="preserve">High-income countries </w:t>
      </w:r>
      <w:r w:rsidR="54974372" w:rsidRPr="423811DE">
        <w:rPr>
          <w:rFonts w:ascii="Calibri" w:eastAsia="Calibri" w:hAnsi="Calibri" w:cs="Calibri"/>
          <w:sz w:val="22"/>
          <w:szCs w:val="22"/>
        </w:rPr>
        <w:t>should also provide financial and technical support to the Hub.</w:t>
      </w:r>
    </w:p>
    <w:p w14:paraId="48E3C4AF" w14:textId="4963FBB0" w:rsidR="00842E28" w:rsidRDefault="00842E28" w:rsidP="423811DE">
      <w:pPr>
        <w:pStyle w:val="CommentText"/>
        <w:rPr>
          <w:rFonts w:ascii="Calibri" w:eastAsia="Calibri" w:hAnsi="Calibri" w:cs="Calibri"/>
          <w:color w:val="000000"/>
          <w:sz w:val="22"/>
          <w:szCs w:val="22"/>
        </w:rPr>
      </w:pPr>
    </w:p>
    <w:p w14:paraId="47CE3C52" w14:textId="0D69D30A" w:rsidR="00F80475" w:rsidRPr="00F957DA" w:rsidRDefault="00F957DA" w:rsidP="423811DE">
      <w:pPr>
        <w:pStyle w:val="CommentTex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4) </w:t>
      </w:r>
      <w:r w:rsidR="00842E28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Access to new treatments and </w:t>
      </w:r>
      <w:r w:rsidR="009477E1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tests</w:t>
      </w:r>
      <w:r w:rsidRPr="00F957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5022F4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addition to vaccines, the world urgently needs </w:t>
      </w:r>
      <w:r w:rsidR="005022F4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access to newer</w:t>
      </w:r>
      <w:r w:rsidR="005022F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therapeutics and diagnostics to reduce the number of </w:t>
      </w:r>
      <w:proofErr w:type="spellStart"/>
      <w:r w:rsidR="005022F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hospitalisations</w:t>
      </w:r>
      <w:proofErr w:type="spellEnd"/>
      <w:r w:rsidR="005022F4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deaths</w:t>
      </w:r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this pandemic. The slower and lower rate of vaccination in LMICs increases the risk of transmission and variant spread, locally </w:t>
      </w:r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and globally. In the face of </w:t>
      </w:r>
      <w:r w:rsidR="2B4C8861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ongoing </w:t>
      </w:r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new waves of 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the virus</w:t>
      </w:r>
      <w:r w:rsidR="005022F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around the world, health systems are being pushed to their limits, highlighting the </w:t>
      </w:r>
      <w:r w:rsidR="0079089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urgent need for</w:t>
      </w:r>
      <w:r w:rsidR="3892CB36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diagnosis and</w:t>
      </w:r>
      <w:r w:rsidR="0079089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treatment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people with COVID-19</w:t>
      </w:r>
      <w:r w:rsidR="0079089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18114661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Yet, n</w:t>
      </w:r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ew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WHO-recommended COVID-19 therapeutics, such as </w:t>
      </w:r>
      <w:proofErr w:type="spellStart"/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tocilizumab</w:t>
      </w:r>
      <w:proofErr w:type="spellEnd"/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produced by 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Roche</w:t>
      </w:r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 based in Switzerland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and </w:t>
      </w:r>
      <w:proofErr w:type="spellStart"/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sarilumab</w:t>
      </w:r>
      <w:proofErr w:type="spellEnd"/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Regeneron</w:t>
      </w:r>
      <w:proofErr w:type="spellEnd"/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 US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00CC0E19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414ED9A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remain</w:t>
      </w:r>
      <w:r w:rsidR="00CA7225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8">
        <w:r w:rsidR="001D1D23" w:rsidRPr="423811DE">
          <w:rPr>
            <w:rStyle w:val="Hyperlink"/>
            <w:rFonts w:ascii="Calibri" w:eastAsia="Calibri" w:hAnsi="Calibri" w:cs="Calibri"/>
            <w:sz w:val="22"/>
            <w:szCs w:val="22"/>
          </w:rPr>
          <w:t>out of reach for people in LMICs</w:t>
        </w:r>
      </w:hyperlink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due to high prices, limited suppl</w:t>
      </w:r>
      <w:r w:rsidR="2AF61754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y</w:t>
      </w:r>
      <w:r w:rsidR="001D1D23" w:rsidRPr="423811DE">
        <w:rPr>
          <w:rFonts w:ascii="Calibri" w:eastAsia="Calibri" w:hAnsi="Calibri" w:cs="Calibri"/>
          <w:sz w:val="22"/>
          <w:szCs w:val="22"/>
        </w:rPr>
        <w:t xml:space="preserve">, </w:t>
      </w:r>
      <w:r w:rsidR="21B9C358" w:rsidRPr="423811DE">
        <w:rPr>
          <w:rFonts w:ascii="Calibri" w:eastAsia="Calibri" w:hAnsi="Calibri" w:cs="Calibri"/>
          <w:sz w:val="22"/>
          <w:szCs w:val="22"/>
        </w:rPr>
        <w:t>intellectual property (IP) barriers</w:t>
      </w:r>
      <w:r w:rsidR="001D1D2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 and absence of transparent access plans.</w:t>
      </w:r>
      <w:r w:rsidR="007D3A4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3F73125" w14:textId="716B1637" w:rsidR="00F80475" w:rsidRDefault="00F80475" w:rsidP="423811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CD5C46" w14:textId="6794A3CD" w:rsidR="00F80475" w:rsidRDefault="6CA7A32F" w:rsidP="423811DE">
      <w:pPr>
        <w:rPr>
          <w:rFonts w:ascii="Calibri" w:eastAsia="Calibri" w:hAnsi="Calibri" w:cs="Calibri"/>
          <w:sz w:val="22"/>
          <w:szCs w:val="22"/>
        </w:rPr>
      </w:pPr>
      <w:r w:rsidRPr="423811DE">
        <w:rPr>
          <w:rFonts w:ascii="Calibri" w:eastAsia="Calibri" w:hAnsi="Calibri" w:cs="Calibri"/>
          <w:sz w:val="22"/>
          <w:szCs w:val="22"/>
        </w:rPr>
        <w:t xml:space="preserve">MSF calls on </w:t>
      </w:r>
      <w:r w:rsidR="00F957DA">
        <w:rPr>
          <w:rFonts w:ascii="Calibri" w:eastAsia="Calibri" w:hAnsi="Calibri" w:cs="Calibri"/>
          <w:sz w:val="22"/>
          <w:szCs w:val="22"/>
        </w:rPr>
        <w:t>all</w:t>
      </w:r>
      <w:r w:rsidRPr="423811DE">
        <w:rPr>
          <w:rFonts w:ascii="Calibri" w:eastAsia="Calibri" w:hAnsi="Calibri" w:cs="Calibri"/>
          <w:sz w:val="22"/>
          <w:szCs w:val="22"/>
        </w:rPr>
        <w:t xml:space="preserve"> governments to take actions to overcome the market monopolies held by the pharmaceutical companies, </w:t>
      </w:r>
      <w:r w:rsidR="7384329B" w:rsidRPr="423811DE">
        <w:rPr>
          <w:rFonts w:ascii="Calibri" w:eastAsia="Calibri" w:hAnsi="Calibri" w:cs="Calibri"/>
          <w:sz w:val="22"/>
          <w:szCs w:val="22"/>
        </w:rPr>
        <w:t xml:space="preserve">and </w:t>
      </w:r>
      <w:r w:rsidRPr="423811DE">
        <w:rPr>
          <w:rFonts w:ascii="Calibri" w:eastAsia="Calibri" w:hAnsi="Calibri" w:cs="Calibri"/>
          <w:sz w:val="22"/>
          <w:szCs w:val="22"/>
        </w:rPr>
        <w:t xml:space="preserve">support </w:t>
      </w:r>
      <w:proofErr w:type="spellStart"/>
      <w:r w:rsidRPr="423811DE">
        <w:rPr>
          <w:rFonts w:ascii="Calibri" w:eastAsia="Calibri" w:hAnsi="Calibri" w:cs="Calibri"/>
          <w:sz w:val="22"/>
          <w:szCs w:val="22"/>
        </w:rPr>
        <w:t>biosimilar</w:t>
      </w:r>
      <w:proofErr w:type="spellEnd"/>
      <w:r w:rsidRPr="423811DE">
        <w:rPr>
          <w:rFonts w:ascii="Calibri" w:eastAsia="Calibri" w:hAnsi="Calibri" w:cs="Calibri"/>
          <w:sz w:val="22"/>
          <w:szCs w:val="22"/>
        </w:rPr>
        <w:t xml:space="preserve"> production</w:t>
      </w:r>
      <w:r w:rsidR="1874D548" w:rsidRPr="423811DE">
        <w:rPr>
          <w:rFonts w:ascii="Calibri" w:eastAsia="Calibri" w:hAnsi="Calibri" w:cs="Calibri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sz w:val="22"/>
          <w:szCs w:val="22"/>
        </w:rPr>
        <w:t>to lower prices</w:t>
      </w:r>
      <w:r w:rsidR="77B3CE9A" w:rsidRPr="423811DE">
        <w:rPr>
          <w:rFonts w:ascii="Calibri" w:eastAsia="Calibri" w:hAnsi="Calibri" w:cs="Calibri"/>
          <w:sz w:val="22"/>
          <w:szCs w:val="22"/>
        </w:rPr>
        <w:t xml:space="preserve"> </w:t>
      </w:r>
      <w:r w:rsidRPr="423811DE">
        <w:rPr>
          <w:rFonts w:ascii="Calibri" w:eastAsia="Calibri" w:hAnsi="Calibri" w:cs="Calibri"/>
          <w:sz w:val="22"/>
          <w:szCs w:val="22"/>
        </w:rPr>
        <w:t xml:space="preserve">and ensure sustainable access to these important </w:t>
      </w:r>
      <w:r w:rsidR="468DAA8E" w:rsidRPr="423811DE">
        <w:rPr>
          <w:rFonts w:ascii="Calibri" w:eastAsia="Calibri" w:hAnsi="Calibri" w:cs="Calibri"/>
          <w:sz w:val="22"/>
          <w:szCs w:val="22"/>
        </w:rPr>
        <w:t xml:space="preserve">new </w:t>
      </w:r>
      <w:r w:rsidRPr="423811DE">
        <w:rPr>
          <w:rFonts w:ascii="Calibri" w:eastAsia="Calibri" w:hAnsi="Calibri" w:cs="Calibri"/>
          <w:sz w:val="22"/>
          <w:szCs w:val="22"/>
        </w:rPr>
        <w:t>therapeutics.</w:t>
      </w:r>
    </w:p>
    <w:p w14:paraId="07CA9529" w14:textId="3A68BD9E" w:rsidR="423811DE" w:rsidRDefault="423811DE" w:rsidP="423811DE">
      <w:pPr>
        <w:rPr>
          <w:rFonts w:ascii="Calibri" w:eastAsia="Calibri" w:hAnsi="Calibri" w:cs="Calibri"/>
          <w:sz w:val="22"/>
          <w:szCs w:val="22"/>
        </w:rPr>
      </w:pPr>
    </w:p>
    <w:p w14:paraId="194B3A91" w14:textId="26D75EA0" w:rsidR="000A6B9E" w:rsidRPr="00F957DA" w:rsidRDefault="00F957DA" w:rsidP="423811DE">
      <w:pPr>
        <w:pStyle w:val="CommentTex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5) </w:t>
      </w:r>
      <w:r w:rsidR="00842E28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Stop blocking the </w:t>
      </w:r>
      <w:r w:rsidR="00EA26B2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</w:t>
      </w:r>
      <w:r w:rsidR="00842E28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aiver on COVID-19 monopolies</w:t>
      </w:r>
      <w:r w:rsidRPr="00F957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E1204F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Further,</w:t>
      </w:r>
      <w:r w:rsidR="001632A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countries</w:t>
      </w:r>
      <w:r w:rsidR="001632A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>must</w:t>
      </w:r>
      <w:r w:rsidR="001632AE" w:rsidRPr="00F957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support</w:t>
      </w:r>
      <w:r w:rsidR="001632AE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</w:t>
      </w:r>
      <w:r w:rsidR="001632AE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‘TRIPS</w:t>
      </w:r>
      <w:r w:rsidR="001632AE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00F957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Waiver’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proposal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World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Trade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Organization</w:t>
      </w:r>
      <w:r w:rsidR="001632A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(WTO)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which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if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adopted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would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provide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countries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with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an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expeditious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way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remove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key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>Intellectual Property (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IP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barriers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legal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risks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around production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E88DC70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supply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of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COVID-19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medical tool</w:t>
      </w:r>
      <w:r w:rsidR="1FAF068D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including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vaccines,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treatments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="001632A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diagnostics, during the pandemic</w:t>
      </w:r>
      <w:r w:rsidR="00E1204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386EE3CF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Nearly a year after the Waiver was first proposed by India and South </w:t>
      </w:r>
      <w:r w:rsidR="008D439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Africa;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>it is</w:t>
      </w:r>
      <w:r w:rsidR="008D4397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now supported by over 100 </w:t>
      </w:r>
      <w:r w:rsidR="000A6B9E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nations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while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small group of high-income countries continues to </w:t>
      </w:r>
      <w:r w:rsidR="00BB57D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oppose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D4397">
        <w:rPr>
          <w:rFonts w:ascii="Calibri" w:eastAsia="Calibri" w:hAnsi="Calibri" w:cs="Calibri"/>
          <w:color w:val="000000" w:themeColor="text1"/>
          <w:sz w:val="22"/>
          <w:szCs w:val="22"/>
        </w:rPr>
        <w:t>it</w:t>
      </w:r>
      <w:r w:rsidR="00EA26B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These </w:t>
      </w:r>
      <w:r w:rsidR="00BB57D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countries – </w:t>
      </w:r>
      <w:r w:rsidR="6FB30772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particularly </w:t>
      </w:r>
      <w:r w:rsidR="00BB57D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European Union (EU), UK, Switzerland, and Norway – must </w:t>
      </w:r>
      <w:r w:rsidR="00BB57D3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stop blocking this lifesaving </w:t>
      </w:r>
      <w:r w:rsidR="000A6B9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pandemic </w:t>
      </w:r>
      <w:r w:rsidR="00BB57D3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initiative supported by </w:t>
      </w:r>
      <w:r w:rsidR="000A6B9E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 majority of the</w:t>
      </w:r>
      <w:r w:rsidR="00BB57D3" w:rsidRPr="423811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world</w:t>
      </w:r>
      <w:r w:rsidR="00BB57D3" w:rsidRPr="423811D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BDB4329" w14:textId="7E88742E" w:rsidR="000A6B9E" w:rsidRPr="00FE09F4" w:rsidRDefault="000A6B9E" w:rsidP="423811DE">
      <w:pPr>
        <w:pStyle w:val="CommentText"/>
        <w:rPr>
          <w:rFonts w:ascii="Calibri" w:eastAsia="Calibri" w:hAnsi="Calibri" w:cs="Calibri"/>
          <w:sz w:val="22"/>
          <w:szCs w:val="22"/>
        </w:rPr>
      </w:pPr>
    </w:p>
    <w:p w14:paraId="1B50B981" w14:textId="5F7AA98D" w:rsidR="000A6B9E" w:rsidRPr="00FE09F4" w:rsidRDefault="00F957DA" w:rsidP="423811DE">
      <w:pPr>
        <w:pStyle w:val="CommentText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Countries</w:t>
      </w:r>
      <w:r w:rsidR="4F057A0B" w:rsidRPr="423811DE">
        <w:rPr>
          <w:rFonts w:ascii="Calibri" w:eastAsia="Calibri" w:hAnsi="Calibri" w:cs="Calibri"/>
          <w:sz w:val="22"/>
          <w:szCs w:val="22"/>
        </w:rPr>
        <w:t xml:space="preserve"> should </w:t>
      </w:r>
      <w:r w:rsidR="7713C900" w:rsidRPr="423811DE">
        <w:rPr>
          <w:rFonts w:ascii="Calibri" w:eastAsia="Calibri" w:hAnsi="Calibri" w:cs="Calibri"/>
          <w:sz w:val="22"/>
          <w:szCs w:val="22"/>
        </w:rPr>
        <w:t xml:space="preserve">collectively </w:t>
      </w:r>
      <w:r w:rsidR="10D68DE2" w:rsidRPr="423811DE">
        <w:rPr>
          <w:rFonts w:ascii="Calibri" w:eastAsia="Calibri" w:hAnsi="Calibri" w:cs="Calibri"/>
          <w:sz w:val="22"/>
          <w:szCs w:val="22"/>
        </w:rPr>
        <w:t>acknowledg</w:t>
      </w:r>
      <w:r w:rsidR="4F057A0B" w:rsidRPr="423811DE">
        <w:rPr>
          <w:rFonts w:ascii="Calibri" w:eastAsia="Calibri" w:hAnsi="Calibri" w:cs="Calibri"/>
          <w:sz w:val="22"/>
          <w:szCs w:val="22"/>
        </w:rPr>
        <w:t>e the limitation</w:t>
      </w:r>
      <w:r w:rsidR="0D6DD0FA" w:rsidRPr="423811DE">
        <w:rPr>
          <w:rFonts w:ascii="Calibri" w:eastAsia="Calibri" w:hAnsi="Calibri" w:cs="Calibri"/>
          <w:sz w:val="22"/>
          <w:szCs w:val="22"/>
        </w:rPr>
        <w:t>s</w:t>
      </w:r>
      <w:r w:rsidR="4F057A0B" w:rsidRPr="423811DE">
        <w:rPr>
          <w:rFonts w:ascii="Calibri" w:eastAsia="Calibri" w:hAnsi="Calibri" w:cs="Calibri"/>
          <w:sz w:val="22"/>
          <w:szCs w:val="22"/>
        </w:rPr>
        <w:t xml:space="preserve"> of relying on </w:t>
      </w:r>
      <w:r w:rsidR="1503F06D" w:rsidRPr="423811DE">
        <w:rPr>
          <w:rFonts w:ascii="Calibri" w:eastAsia="Calibri" w:hAnsi="Calibri" w:cs="Calibri"/>
          <w:sz w:val="22"/>
          <w:szCs w:val="22"/>
        </w:rPr>
        <w:t xml:space="preserve">the </w:t>
      </w:r>
      <w:r w:rsidR="4F057A0B" w:rsidRPr="423811DE">
        <w:rPr>
          <w:rFonts w:ascii="Calibri" w:eastAsia="Calibri" w:hAnsi="Calibri" w:cs="Calibri"/>
          <w:sz w:val="22"/>
          <w:szCs w:val="22"/>
        </w:rPr>
        <w:t xml:space="preserve">pharmaceutical </w:t>
      </w:r>
      <w:r w:rsidR="7B4EB12F" w:rsidRPr="423811DE">
        <w:rPr>
          <w:rFonts w:ascii="Calibri" w:eastAsia="Calibri" w:hAnsi="Calibri" w:cs="Calibri"/>
          <w:sz w:val="22"/>
          <w:szCs w:val="22"/>
        </w:rPr>
        <w:t>industry’s ‘good will’ to stem</w:t>
      </w:r>
      <w:r w:rsidR="4F057A0B" w:rsidRPr="423811DE">
        <w:rPr>
          <w:rFonts w:ascii="Calibri" w:eastAsia="Calibri" w:hAnsi="Calibri" w:cs="Calibri"/>
          <w:sz w:val="22"/>
          <w:szCs w:val="22"/>
        </w:rPr>
        <w:t xml:space="preserve"> a global pandemic</w:t>
      </w:r>
      <w:r w:rsidR="083DF403" w:rsidRPr="423811DE">
        <w:rPr>
          <w:rFonts w:ascii="Calibri" w:eastAsia="Calibri" w:hAnsi="Calibri" w:cs="Calibri"/>
          <w:sz w:val="22"/>
          <w:szCs w:val="22"/>
        </w:rPr>
        <w:t xml:space="preserve">, and </w:t>
      </w:r>
      <w:r w:rsidR="04EBBC4F" w:rsidRPr="423811DE">
        <w:rPr>
          <w:rFonts w:ascii="Calibri" w:eastAsia="Calibri" w:hAnsi="Calibri" w:cs="Calibri"/>
          <w:sz w:val="22"/>
          <w:szCs w:val="22"/>
        </w:rPr>
        <w:t xml:space="preserve">instead </w:t>
      </w:r>
      <w:r w:rsidR="6CDF9A1D" w:rsidRPr="423811DE">
        <w:rPr>
          <w:rFonts w:ascii="Calibri" w:eastAsia="Calibri" w:hAnsi="Calibri" w:cs="Calibri"/>
          <w:b/>
          <w:bCs/>
          <w:sz w:val="22"/>
          <w:szCs w:val="22"/>
        </w:rPr>
        <w:t>support the will of</w:t>
      </w:r>
      <w:r w:rsidR="4F057A0B" w:rsidRPr="423811DE">
        <w:rPr>
          <w:rFonts w:ascii="Calibri" w:eastAsia="Calibri" w:hAnsi="Calibri" w:cs="Calibri"/>
          <w:b/>
          <w:bCs/>
          <w:sz w:val="22"/>
          <w:szCs w:val="22"/>
        </w:rPr>
        <w:t xml:space="preserve"> LMICs demand</w:t>
      </w:r>
      <w:r w:rsidR="35B8AE32" w:rsidRPr="423811DE">
        <w:rPr>
          <w:rFonts w:ascii="Calibri" w:eastAsia="Calibri" w:hAnsi="Calibri" w:cs="Calibri"/>
          <w:b/>
          <w:bCs/>
          <w:sz w:val="22"/>
          <w:szCs w:val="22"/>
        </w:rPr>
        <w:t>ing</w:t>
      </w:r>
      <w:r w:rsidR="4F057A0B" w:rsidRPr="423811DE">
        <w:rPr>
          <w:rFonts w:ascii="Calibri" w:eastAsia="Calibri" w:hAnsi="Calibri" w:cs="Calibri"/>
          <w:b/>
          <w:bCs/>
          <w:sz w:val="22"/>
          <w:szCs w:val="22"/>
        </w:rPr>
        <w:t xml:space="preserve"> self-reliance </w:t>
      </w:r>
      <w:r w:rsidR="0054731F" w:rsidRPr="423811DE">
        <w:rPr>
          <w:rFonts w:ascii="Calibri" w:eastAsia="Calibri" w:hAnsi="Calibri" w:cs="Calibri"/>
          <w:b/>
          <w:bCs/>
          <w:sz w:val="22"/>
          <w:szCs w:val="22"/>
        </w:rPr>
        <w:t xml:space="preserve">through </w:t>
      </w:r>
      <w:r w:rsidR="4F057A0B" w:rsidRPr="423811DE">
        <w:rPr>
          <w:rFonts w:ascii="Calibri" w:eastAsia="Calibri" w:hAnsi="Calibri" w:cs="Calibri"/>
          <w:b/>
          <w:bCs/>
          <w:sz w:val="22"/>
          <w:szCs w:val="22"/>
        </w:rPr>
        <w:t xml:space="preserve">the TRIPS </w:t>
      </w:r>
      <w:r w:rsidR="6E2AC23E" w:rsidRPr="423811DE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4F057A0B" w:rsidRPr="423811DE">
        <w:rPr>
          <w:rFonts w:ascii="Calibri" w:eastAsia="Calibri" w:hAnsi="Calibri" w:cs="Calibri"/>
          <w:b/>
          <w:bCs/>
          <w:sz w:val="22"/>
          <w:szCs w:val="22"/>
        </w:rPr>
        <w:t xml:space="preserve">aiver. </w:t>
      </w:r>
    </w:p>
    <w:p w14:paraId="651AABD0" w14:textId="2BEB5156" w:rsidR="423811DE" w:rsidRDefault="423811DE" w:rsidP="423811DE">
      <w:pPr>
        <w:pStyle w:val="CommentTex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4833C2" w14:textId="6682A7DC" w:rsidR="003A50FE" w:rsidRPr="00E43BF3" w:rsidRDefault="003A50FE" w:rsidP="423811DE">
      <w:pPr>
        <w:pStyle w:val="CommentTex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sectPr w:rsidR="003A50FE" w:rsidRPr="00E43BF3" w:rsidSect="00842CC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DA142B" w16cex:dateUtc="2021-09-01T22:00:00Z"/>
  <w16cex:commentExtensible w16cex:durableId="2861E859" w16cex:dateUtc="2021-09-02T11:23:41.7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E1E25F" w16cid:durableId="24DA142B"/>
  <w16cid:commentId w16cid:paraId="49ABF805" w16cid:durableId="2861E85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C9E37" w14:textId="77777777" w:rsidR="00F3066E" w:rsidRDefault="00F3066E" w:rsidP="00842E28">
      <w:r>
        <w:separator/>
      </w:r>
    </w:p>
  </w:endnote>
  <w:endnote w:type="continuationSeparator" w:id="0">
    <w:p w14:paraId="6935197F" w14:textId="77777777" w:rsidR="00F3066E" w:rsidRDefault="00F3066E" w:rsidP="0084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B5184" w14:textId="77777777" w:rsidR="00F3066E" w:rsidRDefault="00F3066E" w:rsidP="00842E28">
      <w:r>
        <w:separator/>
      </w:r>
    </w:p>
  </w:footnote>
  <w:footnote w:type="continuationSeparator" w:id="0">
    <w:p w14:paraId="29766113" w14:textId="77777777" w:rsidR="00F3066E" w:rsidRDefault="00F3066E" w:rsidP="0084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A3EA8"/>
    <w:multiLevelType w:val="multilevel"/>
    <w:tmpl w:val="EE9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E2259"/>
    <w:multiLevelType w:val="multilevel"/>
    <w:tmpl w:val="CA5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524EBC"/>
    <w:multiLevelType w:val="hybridMultilevel"/>
    <w:tmpl w:val="7100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ag McKenzie">
    <w15:presenceInfo w15:providerId="None" w15:userId="Morag McKenz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80"/>
    <w:rsid w:val="000253DE"/>
    <w:rsid w:val="00051E19"/>
    <w:rsid w:val="000A6B9E"/>
    <w:rsid w:val="000D6EC8"/>
    <w:rsid w:val="000F4FA5"/>
    <w:rsid w:val="0015312E"/>
    <w:rsid w:val="001632AE"/>
    <w:rsid w:val="00185EA7"/>
    <w:rsid w:val="001D1D23"/>
    <w:rsid w:val="001D79AE"/>
    <w:rsid w:val="00223DB8"/>
    <w:rsid w:val="00234C60"/>
    <w:rsid w:val="0027515F"/>
    <w:rsid w:val="002A2B16"/>
    <w:rsid w:val="002D17A2"/>
    <w:rsid w:val="002D2C9B"/>
    <w:rsid w:val="002F2932"/>
    <w:rsid w:val="003541A4"/>
    <w:rsid w:val="00364BAF"/>
    <w:rsid w:val="00376B33"/>
    <w:rsid w:val="00395159"/>
    <w:rsid w:val="003A50FE"/>
    <w:rsid w:val="003D553D"/>
    <w:rsid w:val="00400B84"/>
    <w:rsid w:val="00412587"/>
    <w:rsid w:val="0041433C"/>
    <w:rsid w:val="00427324"/>
    <w:rsid w:val="00433F43"/>
    <w:rsid w:val="00464958"/>
    <w:rsid w:val="00471253"/>
    <w:rsid w:val="004D69CC"/>
    <w:rsid w:val="004E3220"/>
    <w:rsid w:val="005022F4"/>
    <w:rsid w:val="00522481"/>
    <w:rsid w:val="00525DC0"/>
    <w:rsid w:val="00537B1E"/>
    <w:rsid w:val="0054731F"/>
    <w:rsid w:val="00557B30"/>
    <w:rsid w:val="005A1A5E"/>
    <w:rsid w:val="005E7AB4"/>
    <w:rsid w:val="006347D8"/>
    <w:rsid w:val="00642C60"/>
    <w:rsid w:val="00674C7D"/>
    <w:rsid w:val="006915CD"/>
    <w:rsid w:val="00695332"/>
    <w:rsid w:val="006A6B41"/>
    <w:rsid w:val="00703272"/>
    <w:rsid w:val="00723D32"/>
    <w:rsid w:val="00724F28"/>
    <w:rsid w:val="00742A7B"/>
    <w:rsid w:val="007439F0"/>
    <w:rsid w:val="007512FE"/>
    <w:rsid w:val="007643D6"/>
    <w:rsid w:val="0079089E"/>
    <w:rsid w:val="00797AE3"/>
    <w:rsid w:val="007D3A47"/>
    <w:rsid w:val="007E0F72"/>
    <w:rsid w:val="0084187C"/>
    <w:rsid w:val="00842CC4"/>
    <w:rsid w:val="00842E28"/>
    <w:rsid w:val="008879AB"/>
    <w:rsid w:val="008C3074"/>
    <w:rsid w:val="008D0588"/>
    <w:rsid w:val="008D4397"/>
    <w:rsid w:val="00906F7B"/>
    <w:rsid w:val="00926BC6"/>
    <w:rsid w:val="009272DA"/>
    <w:rsid w:val="0093619D"/>
    <w:rsid w:val="009477E1"/>
    <w:rsid w:val="009550D0"/>
    <w:rsid w:val="00967A7E"/>
    <w:rsid w:val="009779BE"/>
    <w:rsid w:val="00993883"/>
    <w:rsid w:val="00994A43"/>
    <w:rsid w:val="009B0268"/>
    <w:rsid w:val="009F0E80"/>
    <w:rsid w:val="00A137BF"/>
    <w:rsid w:val="00A17BF6"/>
    <w:rsid w:val="00A275AE"/>
    <w:rsid w:val="00A54A7D"/>
    <w:rsid w:val="00AA285B"/>
    <w:rsid w:val="00AC6DA3"/>
    <w:rsid w:val="00B26A25"/>
    <w:rsid w:val="00B329E7"/>
    <w:rsid w:val="00B53516"/>
    <w:rsid w:val="00B6039B"/>
    <w:rsid w:val="00B93ABD"/>
    <w:rsid w:val="00BB57D3"/>
    <w:rsid w:val="00BC0821"/>
    <w:rsid w:val="00BC0F0B"/>
    <w:rsid w:val="00BC362D"/>
    <w:rsid w:val="00BD6980"/>
    <w:rsid w:val="00BF0172"/>
    <w:rsid w:val="00CA7225"/>
    <w:rsid w:val="00CB0DDD"/>
    <w:rsid w:val="00CC0E19"/>
    <w:rsid w:val="00CC242B"/>
    <w:rsid w:val="00CC57FF"/>
    <w:rsid w:val="00D04CEC"/>
    <w:rsid w:val="00D1038B"/>
    <w:rsid w:val="00D15846"/>
    <w:rsid w:val="00D57D22"/>
    <w:rsid w:val="00D749AE"/>
    <w:rsid w:val="00DA1BDC"/>
    <w:rsid w:val="00DB0949"/>
    <w:rsid w:val="00DE7AB5"/>
    <w:rsid w:val="00E10659"/>
    <w:rsid w:val="00E1204F"/>
    <w:rsid w:val="00E24D1E"/>
    <w:rsid w:val="00E30747"/>
    <w:rsid w:val="00E413FA"/>
    <w:rsid w:val="00E43BF3"/>
    <w:rsid w:val="00E92F55"/>
    <w:rsid w:val="00E97B88"/>
    <w:rsid w:val="00EA141A"/>
    <w:rsid w:val="00EA26B2"/>
    <w:rsid w:val="00F27469"/>
    <w:rsid w:val="00F3066E"/>
    <w:rsid w:val="00F62B12"/>
    <w:rsid w:val="00F80475"/>
    <w:rsid w:val="00F87818"/>
    <w:rsid w:val="00F957DA"/>
    <w:rsid w:val="00FC20BC"/>
    <w:rsid w:val="00FD68CA"/>
    <w:rsid w:val="00FE09F4"/>
    <w:rsid w:val="0150F259"/>
    <w:rsid w:val="01562DBE"/>
    <w:rsid w:val="0177CB61"/>
    <w:rsid w:val="02117B37"/>
    <w:rsid w:val="0281E7B1"/>
    <w:rsid w:val="0289D12C"/>
    <w:rsid w:val="03139BC2"/>
    <w:rsid w:val="0328B8D0"/>
    <w:rsid w:val="036B10E0"/>
    <w:rsid w:val="045E8AAC"/>
    <w:rsid w:val="04BC96B8"/>
    <w:rsid w:val="04EBBC4F"/>
    <w:rsid w:val="054A02E8"/>
    <w:rsid w:val="083DF403"/>
    <w:rsid w:val="08694AA6"/>
    <w:rsid w:val="08788D3F"/>
    <w:rsid w:val="088E4F17"/>
    <w:rsid w:val="08B7CD4A"/>
    <w:rsid w:val="095F116A"/>
    <w:rsid w:val="09BC73D3"/>
    <w:rsid w:val="0A25BEC2"/>
    <w:rsid w:val="0A58E6E4"/>
    <w:rsid w:val="0B176FC6"/>
    <w:rsid w:val="0B1EADA7"/>
    <w:rsid w:val="0B3BBE86"/>
    <w:rsid w:val="0BB02E01"/>
    <w:rsid w:val="0BEF6E0C"/>
    <w:rsid w:val="0C540D8A"/>
    <w:rsid w:val="0C644DD2"/>
    <w:rsid w:val="0D439FF4"/>
    <w:rsid w:val="0D53EBE8"/>
    <w:rsid w:val="0D6DD0FA"/>
    <w:rsid w:val="0D897024"/>
    <w:rsid w:val="0EE7CEC3"/>
    <w:rsid w:val="0F357F3D"/>
    <w:rsid w:val="0F99E840"/>
    <w:rsid w:val="100B4727"/>
    <w:rsid w:val="1014AE99"/>
    <w:rsid w:val="108F9856"/>
    <w:rsid w:val="10A7E889"/>
    <w:rsid w:val="10CA23CB"/>
    <w:rsid w:val="10D68DE2"/>
    <w:rsid w:val="1129FFF7"/>
    <w:rsid w:val="115F18AA"/>
    <w:rsid w:val="11D9B7BB"/>
    <w:rsid w:val="120F5D93"/>
    <w:rsid w:val="12600D80"/>
    <w:rsid w:val="12E03A2B"/>
    <w:rsid w:val="132F8E57"/>
    <w:rsid w:val="13AD8DE1"/>
    <w:rsid w:val="149C9912"/>
    <w:rsid w:val="14A374FC"/>
    <w:rsid w:val="1503F06D"/>
    <w:rsid w:val="1545D570"/>
    <w:rsid w:val="159F1E4F"/>
    <w:rsid w:val="15CDFB27"/>
    <w:rsid w:val="15F712DB"/>
    <w:rsid w:val="16654285"/>
    <w:rsid w:val="16E7F5A0"/>
    <w:rsid w:val="17257DF0"/>
    <w:rsid w:val="173D6571"/>
    <w:rsid w:val="1756358B"/>
    <w:rsid w:val="1771BF16"/>
    <w:rsid w:val="17805BC6"/>
    <w:rsid w:val="17F97374"/>
    <w:rsid w:val="18114661"/>
    <w:rsid w:val="1874D548"/>
    <w:rsid w:val="18E9061C"/>
    <w:rsid w:val="1927AEAF"/>
    <w:rsid w:val="19613617"/>
    <w:rsid w:val="197F1810"/>
    <w:rsid w:val="1A2B21B6"/>
    <w:rsid w:val="1A7B892C"/>
    <w:rsid w:val="1B3AA03C"/>
    <w:rsid w:val="1B428DC2"/>
    <w:rsid w:val="1C17598D"/>
    <w:rsid w:val="1D3BBD1D"/>
    <w:rsid w:val="1D549972"/>
    <w:rsid w:val="1DFB1FD2"/>
    <w:rsid w:val="1E722B91"/>
    <w:rsid w:val="1E8FACBA"/>
    <w:rsid w:val="1FAF068D"/>
    <w:rsid w:val="1FF9044B"/>
    <w:rsid w:val="20B6116D"/>
    <w:rsid w:val="21B9C358"/>
    <w:rsid w:val="21BE5723"/>
    <w:rsid w:val="2267270F"/>
    <w:rsid w:val="227EAD8B"/>
    <w:rsid w:val="2297D5E8"/>
    <w:rsid w:val="22CC7FEC"/>
    <w:rsid w:val="23878D8C"/>
    <w:rsid w:val="25705A24"/>
    <w:rsid w:val="26362F29"/>
    <w:rsid w:val="2694B04F"/>
    <w:rsid w:val="27521EAE"/>
    <w:rsid w:val="28FBB9C4"/>
    <w:rsid w:val="290AF9A3"/>
    <w:rsid w:val="29617A72"/>
    <w:rsid w:val="29E5AC94"/>
    <w:rsid w:val="2AF61754"/>
    <w:rsid w:val="2B07239A"/>
    <w:rsid w:val="2B232D50"/>
    <w:rsid w:val="2B4C8861"/>
    <w:rsid w:val="2BE0FC96"/>
    <w:rsid w:val="2BFC98F6"/>
    <w:rsid w:val="2C258FD1"/>
    <w:rsid w:val="2C2D7D57"/>
    <w:rsid w:val="2CC5BC47"/>
    <w:rsid w:val="2CCC0AA3"/>
    <w:rsid w:val="2D247D44"/>
    <w:rsid w:val="2D35215F"/>
    <w:rsid w:val="2E3159C1"/>
    <w:rsid w:val="2ECA4033"/>
    <w:rsid w:val="2FAB3073"/>
    <w:rsid w:val="303E09DE"/>
    <w:rsid w:val="3052D6BC"/>
    <w:rsid w:val="30661094"/>
    <w:rsid w:val="309A7DFC"/>
    <w:rsid w:val="3157CCA9"/>
    <w:rsid w:val="31926ED4"/>
    <w:rsid w:val="3195B0BA"/>
    <w:rsid w:val="3201E0F5"/>
    <w:rsid w:val="320D9B0A"/>
    <w:rsid w:val="3294D155"/>
    <w:rsid w:val="34388F3C"/>
    <w:rsid w:val="34B0E739"/>
    <w:rsid w:val="34CECB61"/>
    <w:rsid w:val="34E4E4BE"/>
    <w:rsid w:val="3544AB1D"/>
    <w:rsid w:val="35A4AA2C"/>
    <w:rsid w:val="35B8AE32"/>
    <w:rsid w:val="35BE1D58"/>
    <w:rsid w:val="36C0350A"/>
    <w:rsid w:val="36C1837F"/>
    <w:rsid w:val="374F6EF1"/>
    <w:rsid w:val="377DDC5C"/>
    <w:rsid w:val="378749ED"/>
    <w:rsid w:val="37913206"/>
    <w:rsid w:val="379ACFA0"/>
    <w:rsid w:val="38691222"/>
    <w:rsid w:val="386EE3CF"/>
    <w:rsid w:val="3892CB36"/>
    <w:rsid w:val="38B92294"/>
    <w:rsid w:val="394596EC"/>
    <w:rsid w:val="3968C2D9"/>
    <w:rsid w:val="3A6ADC87"/>
    <w:rsid w:val="3B8CE700"/>
    <w:rsid w:val="3BA95FAD"/>
    <w:rsid w:val="3C50CDDB"/>
    <w:rsid w:val="3C7A5C2E"/>
    <w:rsid w:val="3C96F3F5"/>
    <w:rsid w:val="3CF96AE0"/>
    <w:rsid w:val="3D05135A"/>
    <w:rsid w:val="3D089FA1"/>
    <w:rsid w:val="3D6FFE82"/>
    <w:rsid w:val="3EE3C76C"/>
    <w:rsid w:val="400987AE"/>
    <w:rsid w:val="4032D9EB"/>
    <w:rsid w:val="414ED9A0"/>
    <w:rsid w:val="415ADA43"/>
    <w:rsid w:val="4196FAB5"/>
    <w:rsid w:val="41D238D8"/>
    <w:rsid w:val="41DAEC94"/>
    <w:rsid w:val="41E7D0F6"/>
    <w:rsid w:val="423811DE"/>
    <w:rsid w:val="4355BE93"/>
    <w:rsid w:val="4368AC64"/>
    <w:rsid w:val="43998C20"/>
    <w:rsid w:val="439EB812"/>
    <w:rsid w:val="44D86C25"/>
    <w:rsid w:val="4510253F"/>
    <w:rsid w:val="45D5E19D"/>
    <w:rsid w:val="46789D3C"/>
    <w:rsid w:val="468D3BF4"/>
    <w:rsid w:val="468DAA8E"/>
    <w:rsid w:val="46902652"/>
    <w:rsid w:val="46A5A9FB"/>
    <w:rsid w:val="47634CD7"/>
    <w:rsid w:val="49D3E590"/>
    <w:rsid w:val="49E321A1"/>
    <w:rsid w:val="4A32F141"/>
    <w:rsid w:val="4A99D16D"/>
    <w:rsid w:val="4AD35B80"/>
    <w:rsid w:val="4B321EA2"/>
    <w:rsid w:val="4B364C87"/>
    <w:rsid w:val="4B687508"/>
    <w:rsid w:val="4B7F66C3"/>
    <w:rsid w:val="4BADAC2E"/>
    <w:rsid w:val="4C0F1F0F"/>
    <w:rsid w:val="4C5F93B6"/>
    <w:rsid w:val="4C6CDE11"/>
    <w:rsid w:val="4CCDEF03"/>
    <w:rsid w:val="4CDA0A6E"/>
    <w:rsid w:val="4CE3A59D"/>
    <w:rsid w:val="4D496F98"/>
    <w:rsid w:val="4D5E6D02"/>
    <w:rsid w:val="4E6C1068"/>
    <w:rsid w:val="4EB70785"/>
    <w:rsid w:val="4F057A0B"/>
    <w:rsid w:val="4F4B0CFD"/>
    <w:rsid w:val="50058FC5"/>
    <w:rsid w:val="5022EB5B"/>
    <w:rsid w:val="518837C9"/>
    <w:rsid w:val="51B6B114"/>
    <w:rsid w:val="51CADC6B"/>
    <w:rsid w:val="51EEA847"/>
    <w:rsid w:val="525F124E"/>
    <w:rsid w:val="529AE600"/>
    <w:rsid w:val="52BA1B0F"/>
    <w:rsid w:val="52C609DF"/>
    <w:rsid w:val="5324082A"/>
    <w:rsid w:val="53A8626D"/>
    <w:rsid w:val="53A96FD0"/>
    <w:rsid w:val="53C0AB99"/>
    <w:rsid w:val="53EEA57F"/>
    <w:rsid w:val="54974372"/>
    <w:rsid w:val="54E73BCE"/>
    <w:rsid w:val="56054F9D"/>
    <w:rsid w:val="56E7837D"/>
    <w:rsid w:val="57117F16"/>
    <w:rsid w:val="5739B68A"/>
    <w:rsid w:val="574D17BF"/>
    <w:rsid w:val="575E9973"/>
    <w:rsid w:val="577E2343"/>
    <w:rsid w:val="581CBD15"/>
    <w:rsid w:val="58771228"/>
    <w:rsid w:val="58BB853A"/>
    <w:rsid w:val="58E70BB7"/>
    <w:rsid w:val="58FA005A"/>
    <w:rsid w:val="5951C9D4"/>
    <w:rsid w:val="5A355FF4"/>
    <w:rsid w:val="5A5E5811"/>
    <w:rsid w:val="5AD59D1E"/>
    <w:rsid w:val="5B11C9F1"/>
    <w:rsid w:val="5B48426C"/>
    <w:rsid w:val="5B6012B0"/>
    <w:rsid w:val="5B6AB21B"/>
    <w:rsid w:val="5B6EB185"/>
    <w:rsid w:val="5B9D7813"/>
    <w:rsid w:val="5BF18769"/>
    <w:rsid w:val="5C52D9AE"/>
    <w:rsid w:val="5D0D8F12"/>
    <w:rsid w:val="5D218C70"/>
    <w:rsid w:val="5D954CC2"/>
    <w:rsid w:val="5DB14A2B"/>
    <w:rsid w:val="5DCAC8CE"/>
    <w:rsid w:val="5DE3F12B"/>
    <w:rsid w:val="5E7AE481"/>
    <w:rsid w:val="5E88DC70"/>
    <w:rsid w:val="5E8BFE99"/>
    <w:rsid w:val="5FEC95D9"/>
    <w:rsid w:val="60860644"/>
    <w:rsid w:val="60864A84"/>
    <w:rsid w:val="619E5B93"/>
    <w:rsid w:val="625CD58F"/>
    <w:rsid w:val="6274C5A0"/>
    <w:rsid w:val="62A0BF0F"/>
    <w:rsid w:val="62AB46E3"/>
    <w:rsid w:val="62C4434B"/>
    <w:rsid w:val="63EAC3E8"/>
    <w:rsid w:val="63FB48E2"/>
    <w:rsid w:val="6407B9AD"/>
    <w:rsid w:val="647C0BFB"/>
    <w:rsid w:val="648C771A"/>
    <w:rsid w:val="64DA30FE"/>
    <w:rsid w:val="64FDC00D"/>
    <w:rsid w:val="6525DFBF"/>
    <w:rsid w:val="65559530"/>
    <w:rsid w:val="65597767"/>
    <w:rsid w:val="65B46895"/>
    <w:rsid w:val="66134A2E"/>
    <w:rsid w:val="66381D4C"/>
    <w:rsid w:val="68AA4086"/>
    <w:rsid w:val="699A83CF"/>
    <w:rsid w:val="6A759FB4"/>
    <w:rsid w:val="6A7F2E1A"/>
    <w:rsid w:val="6A9D306B"/>
    <w:rsid w:val="6ABC9540"/>
    <w:rsid w:val="6ADFDB66"/>
    <w:rsid w:val="6B0B8E6F"/>
    <w:rsid w:val="6BA7F11C"/>
    <w:rsid w:val="6CA7A32F"/>
    <w:rsid w:val="6CDF9A1D"/>
    <w:rsid w:val="6D14A314"/>
    <w:rsid w:val="6D865196"/>
    <w:rsid w:val="6D961103"/>
    <w:rsid w:val="6DE0EC98"/>
    <w:rsid w:val="6DF6FCFF"/>
    <w:rsid w:val="6E2AC23E"/>
    <w:rsid w:val="6E36AF04"/>
    <w:rsid w:val="6E903C2D"/>
    <w:rsid w:val="6EAB3B3A"/>
    <w:rsid w:val="6FB30772"/>
    <w:rsid w:val="6FC18CAA"/>
    <w:rsid w:val="6FEA6D79"/>
    <w:rsid w:val="6FF3939C"/>
    <w:rsid w:val="70879919"/>
    <w:rsid w:val="70A81075"/>
    <w:rsid w:val="70B2803B"/>
    <w:rsid w:val="71036F6D"/>
    <w:rsid w:val="7232ACC3"/>
    <w:rsid w:val="728CFA77"/>
    <w:rsid w:val="72A84250"/>
    <w:rsid w:val="72B72035"/>
    <w:rsid w:val="7384329B"/>
    <w:rsid w:val="738EF851"/>
    <w:rsid w:val="73C7CDCC"/>
    <w:rsid w:val="73DDA4EA"/>
    <w:rsid w:val="73E94D64"/>
    <w:rsid w:val="73F59EAB"/>
    <w:rsid w:val="74392ADF"/>
    <w:rsid w:val="744FC597"/>
    <w:rsid w:val="74AE6566"/>
    <w:rsid w:val="75D0DD7A"/>
    <w:rsid w:val="76465390"/>
    <w:rsid w:val="765E3EB8"/>
    <w:rsid w:val="769E2480"/>
    <w:rsid w:val="76ABD448"/>
    <w:rsid w:val="76AC1D31"/>
    <w:rsid w:val="76DDD529"/>
    <w:rsid w:val="7713C900"/>
    <w:rsid w:val="77153452"/>
    <w:rsid w:val="77B3CE9A"/>
    <w:rsid w:val="77E223F1"/>
    <w:rsid w:val="78393E09"/>
    <w:rsid w:val="784D8BAA"/>
    <w:rsid w:val="7856F8A8"/>
    <w:rsid w:val="7985E1D8"/>
    <w:rsid w:val="79BD0B7F"/>
    <w:rsid w:val="79EDBD2B"/>
    <w:rsid w:val="79FE39D5"/>
    <w:rsid w:val="7B36CF47"/>
    <w:rsid w:val="7B49F060"/>
    <w:rsid w:val="7B4EB12F"/>
    <w:rsid w:val="7B6E64FF"/>
    <w:rsid w:val="7C0182CF"/>
    <w:rsid w:val="7C57121C"/>
    <w:rsid w:val="7CA705A6"/>
    <w:rsid w:val="7CBD829A"/>
    <w:rsid w:val="7E773EC7"/>
    <w:rsid w:val="7EDC4A7C"/>
    <w:rsid w:val="7F1A4D8B"/>
    <w:rsid w:val="7F21970E"/>
    <w:rsid w:val="7F7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4E7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E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C362D"/>
  </w:style>
  <w:style w:type="character" w:styleId="Strong">
    <w:name w:val="Strong"/>
    <w:basedOn w:val="DefaultParagraphFont"/>
    <w:uiPriority w:val="22"/>
    <w:qFormat/>
    <w:rsid w:val="00BC36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36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362D"/>
  </w:style>
  <w:style w:type="character" w:customStyle="1" w:styleId="CommentTextChar">
    <w:name w:val="Comment Text Char"/>
    <w:basedOn w:val="DefaultParagraphFont"/>
    <w:link w:val="CommentText"/>
    <w:uiPriority w:val="99"/>
    <w:rsid w:val="00BC36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2D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723D32"/>
  </w:style>
  <w:style w:type="character" w:customStyle="1" w:styleId="eop">
    <w:name w:val="eop"/>
    <w:basedOn w:val="DefaultParagraphFont"/>
    <w:rsid w:val="009550D0"/>
  </w:style>
  <w:style w:type="paragraph" w:customStyle="1" w:styleId="paragraph">
    <w:name w:val="paragraph"/>
    <w:basedOn w:val="Normal"/>
    <w:rsid w:val="009550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D6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5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5AE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842E2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E28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2E2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42E28"/>
    <w:rPr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E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C362D"/>
  </w:style>
  <w:style w:type="character" w:styleId="Strong">
    <w:name w:val="Strong"/>
    <w:basedOn w:val="DefaultParagraphFont"/>
    <w:uiPriority w:val="22"/>
    <w:qFormat/>
    <w:rsid w:val="00BC36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36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362D"/>
  </w:style>
  <w:style w:type="character" w:customStyle="1" w:styleId="CommentTextChar">
    <w:name w:val="Comment Text Char"/>
    <w:basedOn w:val="DefaultParagraphFont"/>
    <w:link w:val="CommentText"/>
    <w:uiPriority w:val="99"/>
    <w:rsid w:val="00BC36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2D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723D32"/>
  </w:style>
  <w:style w:type="character" w:customStyle="1" w:styleId="eop">
    <w:name w:val="eop"/>
    <w:basedOn w:val="DefaultParagraphFont"/>
    <w:rsid w:val="009550D0"/>
  </w:style>
  <w:style w:type="paragraph" w:customStyle="1" w:styleId="paragraph">
    <w:name w:val="paragraph"/>
    <w:basedOn w:val="Normal"/>
    <w:rsid w:val="009550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D6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5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5AE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842E2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E28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2E2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42E28"/>
    <w:rPr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861B810-973B-4DF8-AF16-52DF5B882912}">
    <t:Anchor>
      <t:Comment id="356204516"/>
    </t:Anchor>
    <t:History>
      <t:Event id="{13538BD7-3D5F-4386-8A8E-B2ED77B54615}" time="2021-09-02T08:16:19.718Z">
        <t:Attribution userId="S::lara.dovifat@berlin.msf.org::54aed17d-fd07-4e9b-ad7e-1981f1e676b0" userProvider="AD" userName="Lara Dovifat"/>
        <t:Anchor>
          <t:Comment id="356204516"/>
        </t:Anchor>
        <t:Create/>
      </t:Event>
      <t:Event id="{0391DF27-58E9-4464-80A0-B4D0DB34885F}" time="2021-09-02T08:16:19.718Z">
        <t:Attribution userId="S::lara.dovifat@berlin.msf.org::54aed17d-fd07-4e9b-ad7e-1981f1e676b0" userProvider="AD" userName="Lara Dovifat"/>
        <t:Anchor>
          <t:Comment id="356204516"/>
        </t:Anchor>
        <t:Assign userId="S::Alain.ALSALHANI@paris.msf.org::8eba06cd-43d0-494b-ae95-8faea8fe9360" userProvider="AD" userName="Alain Alsalhani"/>
      </t:Event>
      <t:Event id="{EB7E2D05-3692-47CC-A4E9-1BC47AFA9D44}" time="2021-09-02T08:16:19.718Z">
        <t:Attribution userId="S::lara.dovifat@berlin.msf.org::54aed17d-fd07-4e9b-ad7e-1981f1e676b0" userProvider="AD" userName="Lara Dovifat"/>
        <t:Anchor>
          <t:Comment id="356204516"/>
        </t:Anchor>
        <t:SetTitle title="@Alain Alsalhani usually we speak about MICS, ok to use LMICs her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21" Type="http://schemas.microsoft.com/office/2018/08/relationships/commentsExtensible" Target="commentsExtensible.xml"/><Relationship Id="R580f2683ecc941b7" Type="http://schemas.microsoft.com/office/2019/05/relationships/documenttasks" Target="tasks.xml"/><Relationship Id="rId24" Type="http://schemas.microsoft.com/office/2016/09/relationships/commentsIds" Target="commentsIds.xml"/><Relationship Id="rId25" Type="http://schemas.microsoft.com/office/2011/relationships/people" Target="people.xml"/><Relationship Id="rId10" Type="http://schemas.openxmlformats.org/officeDocument/2006/relationships/endnotes" Target="endnotes.xml"/><Relationship Id="rId11" Type="http://schemas.openxmlformats.org/officeDocument/2006/relationships/hyperlink" Target="https://www.msf.org/msf-scales-medical-care-response-catastrophic-rise-covid-19-india" TargetMode="External"/><Relationship Id="rId12" Type="http://schemas.openxmlformats.org/officeDocument/2006/relationships/hyperlink" Target="https://www.doctorswithoutborders.org/what-we-do/news-stories/news/lebanon-msf-opens-new-covid-19-vaccination-centers-bar-elias-and" TargetMode="External"/><Relationship Id="rId13" Type="http://schemas.openxmlformats.org/officeDocument/2006/relationships/hyperlink" Target="https://www.msf.org/addressing-covid-19-yemen-amongst-fear-stigma-and-misinformation" TargetMode="External"/><Relationship Id="rId14" Type="http://schemas.openxmlformats.org/officeDocument/2006/relationships/hyperlink" Target="https://www.msf.org/msf-continues-response-covid-19-deaths-brazil-top-500000" TargetMode="External"/><Relationship Id="rId15" Type="http://schemas.openxmlformats.org/officeDocument/2006/relationships/hyperlink" Target="https://www.doctorswithoutborders.org/what-we-do/countries/mexico" TargetMode="External"/><Relationship Id="rId16" Type="http://schemas.openxmlformats.org/officeDocument/2006/relationships/hyperlink" Target="https://www.msf.org/peru-covid-situation-remains-critical-worst-hit-country" TargetMode="External"/><Relationship Id="rId17" Type="http://schemas.openxmlformats.org/officeDocument/2006/relationships/hyperlink" Target="https://covid19.who.int/" TargetMode="External"/><Relationship Id="rId18" Type="http://schemas.openxmlformats.org/officeDocument/2006/relationships/hyperlink" Target="https://msfaccess.org/tocilizumab-second-drug-ever-recommended-who-covid-19-will-remain-unaffordable-and-inaccessible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4F1E89B704A4CBA217D749E870012" ma:contentTypeVersion="13" ma:contentTypeDescription="Create a new document." ma:contentTypeScope="" ma:versionID="2a8c7d790a38e984a8e64edf017a47f3">
  <xsd:schema xmlns:xsd="http://www.w3.org/2001/XMLSchema" xmlns:xs="http://www.w3.org/2001/XMLSchema" xmlns:p="http://schemas.microsoft.com/office/2006/metadata/properties" xmlns:ns2="02923669-fd17-4893-ab59-09f061d58d1f" xmlns:ns3="695a9dc8-2a98-422d-8921-3f6f15524343" targetNamespace="http://schemas.microsoft.com/office/2006/metadata/properties" ma:root="true" ma:fieldsID="0d558c12b1b7687d40056ec6ea03ddbf" ns2:_="" ns3:_="">
    <xsd:import namespace="02923669-fd17-4893-ab59-09f061d58d1f"/>
    <xsd:import namespace="695a9dc8-2a98-422d-8921-3f6f15524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669-fd17-4893-ab59-09f061d5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9dc8-2a98-422d-8921-3f6f15524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2B630-F302-4B0E-AACE-B922DC220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37656-F61D-45F8-922B-92B5E6910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23669-fd17-4893-ab59-09f061d58d1f"/>
    <ds:schemaRef ds:uri="695a9dc8-2a98-422d-8921-3f6f15524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BCC40-E235-4FC3-AFEC-4C7D7BA72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5365</Characters>
  <Application>Microsoft Macintosh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</dc:creator>
  <cp:keywords/>
  <dc:description/>
  <cp:lastModifiedBy>Shailly</cp:lastModifiedBy>
  <cp:revision>2</cp:revision>
  <dcterms:created xsi:type="dcterms:W3CDTF">2021-09-20T19:13:00Z</dcterms:created>
  <dcterms:modified xsi:type="dcterms:W3CDTF">2021-09-20T19:13:00Z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0x010100A874F1E89B704A4CBA217D749E870012</vt:lpwstr>
  </property>
</Properties>
</file>