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rFonts w:ascii="Proxima Nova" w:cs="Proxima Nova" w:eastAsia="Proxima Nova" w:hAnsi="Proxima Nova"/>
          <w:b w:val="1"/>
          <w:highlight w:val="yellow"/>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1976438</wp:posOffset>
            </wp:positionH>
            <wp:positionV relativeFrom="paragraph">
              <wp:posOffset>114300</wp:posOffset>
            </wp:positionV>
            <wp:extent cx="1985963" cy="613442"/>
            <wp:effectExtent b="0" l="0" r="0" t="0"/>
            <wp:wrapNone/>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985963" cy="613442"/>
                    </a:xfrm>
                    <a:prstGeom prst="rect"/>
                    <a:ln/>
                  </pic:spPr>
                </pic:pic>
              </a:graphicData>
            </a:graphic>
          </wp:anchor>
        </w:drawing>
      </w:r>
    </w:p>
    <w:p w:rsidR="00000000" w:rsidDel="00000000" w:rsidP="00000000" w:rsidRDefault="00000000" w:rsidRPr="00000000" w14:paraId="00000002">
      <w:pPr>
        <w:spacing w:after="200" w:line="240" w:lineRule="auto"/>
        <w:jc w:val="center"/>
        <w:rPr>
          <w:rFonts w:ascii="Proxima Nova" w:cs="Proxima Nova" w:eastAsia="Proxima Nova" w:hAnsi="Proxima Nova"/>
          <w:b w:val="1"/>
          <w:sz w:val="32"/>
          <w:szCs w:val="32"/>
        </w:rPr>
      </w:pPr>
      <w:r w:rsidDel="00000000" w:rsidR="00000000" w:rsidRPr="00000000">
        <w:rPr>
          <w:rtl w:val="0"/>
        </w:rPr>
      </w:r>
    </w:p>
    <w:p w:rsidR="00000000" w:rsidDel="00000000" w:rsidP="00000000" w:rsidRDefault="00000000" w:rsidRPr="00000000" w14:paraId="00000003">
      <w:pPr>
        <w:spacing w:after="200" w:line="240" w:lineRule="auto"/>
        <w:jc w:val="center"/>
        <w:rPr>
          <w:rFonts w:ascii="Proxima Nova" w:cs="Proxima Nova" w:eastAsia="Proxima Nova" w:hAnsi="Proxima Nova"/>
          <w:b w:val="1"/>
          <w:sz w:val="32"/>
          <w:szCs w:val="32"/>
        </w:rPr>
      </w:pPr>
      <w:r w:rsidDel="00000000" w:rsidR="00000000" w:rsidRPr="00000000">
        <w:rPr>
          <w:rtl w:val="0"/>
        </w:rPr>
      </w:r>
    </w:p>
    <w:p w:rsidR="00000000" w:rsidDel="00000000" w:rsidP="00000000" w:rsidRDefault="00000000" w:rsidRPr="00000000" w14:paraId="00000004">
      <w:pPr>
        <w:spacing w:after="200" w:line="240" w:lineRule="auto"/>
        <w:jc w:val="center"/>
        <w:rPr>
          <w:rFonts w:ascii="Open Sans" w:cs="Open Sans" w:eastAsia="Open Sans" w:hAnsi="Open Sans"/>
          <w:i w:val="1"/>
        </w:rPr>
      </w:pPr>
      <w:r w:rsidDel="00000000" w:rsidR="00000000" w:rsidRPr="00000000">
        <w:rPr>
          <w:rFonts w:ascii="Proxima Nova" w:cs="Proxima Nova" w:eastAsia="Proxima Nova" w:hAnsi="Proxima Nova"/>
          <w:b w:val="1"/>
          <w:sz w:val="32"/>
          <w:szCs w:val="32"/>
          <w:rtl w:val="0"/>
        </w:rPr>
        <w:t xml:space="preserve">La innovación tecnológica como impulso de la reactivación económica</w:t>
      </w:r>
      <w:r w:rsidDel="00000000" w:rsidR="00000000" w:rsidRPr="00000000">
        <w:rPr>
          <w:rtl w:val="0"/>
        </w:rPr>
      </w:r>
    </w:p>
    <w:p w:rsidR="00000000" w:rsidDel="00000000" w:rsidP="00000000" w:rsidRDefault="00000000" w:rsidRPr="00000000" w14:paraId="00000005">
      <w:pPr>
        <w:numPr>
          <w:ilvl w:val="0"/>
          <w:numId w:val="1"/>
        </w:numPr>
        <w:spacing w:line="240" w:lineRule="auto"/>
        <w:ind w:left="720" w:hanging="360"/>
        <w:jc w:val="both"/>
        <w:rPr>
          <w:rFonts w:ascii="Open Sans" w:cs="Open Sans" w:eastAsia="Open Sans" w:hAnsi="Open Sans"/>
          <w:i w:val="1"/>
        </w:rPr>
      </w:pPr>
      <w:r w:rsidDel="00000000" w:rsidR="00000000" w:rsidRPr="00000000">
        <w:rPr>
          <w:rFonts w:ascii="Open Sans" w:cs="Open Sans" w:eastAsia="Open Sans" w:hAnsi="Open Sans"/>
          <w:i w:val="1"/>
          <w:rtl w:val="0"/>
        </w:rPr>
        <w:t xml:space="preserve">Actualmente ocho de cada 10 empresas entienden que centrarse en la innovación tecnológica es mucho más relevante que en la prepandemia.</w:t>
      </w:r>
    </w:p>
    <w:p w:rsidR="00000000" w:rsidDel="00000000" w:rsidP="00000000" w:rsidRDefault="00000000" w:rsidRPr="00000000" w14:paraId="00000006">
      <w:pPr>
        <w:spacing w:line="240" w:lineRule="auto"/>
        <w:ind w:left="720" w:firstLine="0"/>
        <w:jc w:val="both"/>
        <w:rPr>
          <w:rFonts w:ascii="Open Sans" w:cs="Open Sans" w:eastAsia="Open Sans" w:hAnsi="Open Sans"/>
          <w:i w:val="1"/>
        </w:rPr>
      </w:pPr>
      <w:r w:rsidDel="00000000" w:rsidR="00000000" w:rsidRPr="00000000">
        <w:rPr>
          <w:rtl w:val="0"/>
        </w:rPr>
      </w:r>
    </w:p>
    <w:p w:rsidR="00000000" w:rsidDel="00000000" w:rsidP="00000000" w:rsidRDefault="00000000" w:rsidRPr="00000000" w14:paraId="00000007">
      <w:pPr>
        <w:spacing w:line="240" w:lineRule="auto"/>
        <w:rPr>
          <w:rFonts w:ascii="Proxima Nova" w:cs="Proxima Nova" w:eastAsia="Proxima Nova" w:hAnsi="Proxima Nova"/>
          <w:sz w:val="20"/>
          <w:szCs w:val="20"/>
        </w:rPr>
      </w:pPr>
      <w:r w:rsidDel="00000000" w:rsidR="00000000" w:rsidRPr="00000000">
        <w:rPr>
          <w:rtl w:val="0"/>
        </w:rPr>
      </w:r>
    </w:p>
    <w:p w:rsidR="00000000" w:rsidDel="00000000" w:rsidP="00000000" w:rsidRDefault="00000000" w:rsidRPr="00000000" w14:paraId="00000008">
      <w:pPr>
        <w:spacing w:line="240" w:lineRule="auto"/>
        <w:jc w:val="right"/>
        <w:rPr>
          <w:rFonts w:ascii="Open Sans" w:cs="Open Sans" w:eastAsia="Open Sans" w:hAnsi="Open Sans"/>
        </w:rPr>
      </w:pPr>
      <w:r w:rsidDel="00000000" w:rsidR="00000000" w:rsidRPr="00000000">
        <w:rPr>
          <w:rFonts w:ascii="Open Sans" w:cs="Open Sans" w:eastAsia="Open Sans" w:hAnsi="Open Sans"/>
          <w:b w:val="1"/>
          <w:rtl w:val="0"/>
        </w:rPr>
        <w:t xml:space="preserve">Ciudad de México, a 24 de agosto de 2021.</w:t>
      </w:r>
      <w:r w:rsidDel="00000000" w:rsidR="00000000" w:rsidRPr="00000000">
        <w:rPr>
          <w:rtl w:val="0"/>
        </w:rPr>
      </w:r>
    </w:p>
    <w:p w:rsidR="00000000" w:rsidDel="00000000" w:rsidP="00000000" w:rsidRDefault="00000000" w:rsidRPr="00000000" w14:paraId="00000009">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0A">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0B">
      <w:pPr>
        <w:spacing w:line="240" w:lineRule="auto"/>
        <w:jc w:val="both"/>
        <w:rPr>
          <w:rFonts w:ascii="Open Sans" w:cs="Open Sans" w:eastAsia="Open Sans" w:hAnsi="Open Sans"/>
        </w:rPr>
      </w:pPr>
      <w:r w:rsidDel="00000000" w:rsidR="00000000" w:rsidRPr="00000000">
        <w:rPr>
          <w:rFonts w:ascii="Open Sans" w:cs="Open Sans" w:eastAsia="Open Sans" w:hAnsi="Open Sans"/>
          <w:rtl w:val="0"/>
        </w:rPr>
        <w:t xml:space="preserve">COPARMEX Ciudad de México y Konfío anunciaron una alianza que tiene como principal objetivo coadyuvar en la recuperación económica con base en el impulso del crecimiento de las empresas a través de la innovación tecnológica.</w:t>
      </w:r>
    </w:p>
    <w:p w:rsidR="00000000" w:rsidDel="00000000" w:rsidP="00000000" w:rsidRDefault="00000000" w:rsidRPr="00000000" w14:paraId="0000000C">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0D">
      <w:pPr>
        <w:spacing w:line="240" w:lineRule="auto"/>
        <w:jc w:val="both"/>
        <w:rPr>
          <w:rFonts w:ascii="Open Sans" w:cs="Open Sans" w:eastAsia="Open Sans" w:hAnsi="Open Sans"/>
          <w:b w:val="1"/>
        </w:rPr>
      </w:pPr>
      <w:r w:rsidDel="00000000" w:rsidR="00000000" w:rsidRPr="00000000">
        <w:rPr>
          <w:rFonts w:ascii="Open Sans" w:cs="Open Sans" w:eastAsia="Open Sans" w:hAnsi="Open Sans"/>
          <w:rtl w:val="0"/>
        </w:rPr>
        <w:t xml:space="preserve">En este sentido, Konfío se enfoca en el diseño de herramientas que impulsan el crecimiento, productividad y ventas de empresas en crecimiento a través de soluciones financieras que tienen la tecnología como pilar: </w:t>
      </w:r>
      <w:r w:rsidDel="00000000" w:rsidR="00000000" w:rsidRPr="00000000">
        <w:rPr>
          <w:rFonts w:ascii="Open Sans" w:cs="Open Sans" w:eastAsia="Open Sans" w:hAnsi="Open Sans"/>
          <w:b w:val="1"/>
          <w:rtl w:val="0"/>
        </w:rPr>
        <w:t xml:space="preserve">financiamiento a través de algoritmos que hacen más sencillo el otorgar créditos y tarjetas de créditos empresariales,  y una solución de pagos B2B (</w:t>
      </w:r>
      <w:r w:rsidDel="00000000" w:rsidR="00000000" w:rsidRPr="00000000">
        <w:rPr>
          <w:rFonts w:ascii="Open Sans" w:cs="Open Sans" w:eastAsia="Open Sans" w:hAnsi="Open Sans"/>
          <w:b w:val="1"/>
          <w:i w:val="1"/>
          <w:rtl w:val="0"/>
        </w:rPr>
        <w:t xml:space="preserve">negocio-negocio</w:t>
      </w:r>
      <w:r w:rsidDel="00000000" w:rsidR="00000000" w:rsidRPr="00000000">
        <w:rPr>
          <w:rFonts w:ascii="Open Sans" w:cs="Open Sans" w:eastAsia="Open Sans" w:hAnsi="Open Sans"/>
          <w:b w:val="1"/>
          <w:rtl w:val="0"/>
        </w:rPr>
        <w:t xml:space="preserve">) que permite ofrecer opciones de financiamiento entre empresas.</w:t>
      </w:r>
    </w:p>
    <w:p w:rsidR="00000000" w:rsidDel="00000000" w:rsidP="00000000" w:rsidRDefault="00000000" w:rsidRPr="00000000" w14:paraId="0000000E">
      <w:pPr>
        <w:spacing w:line="240" w:lineRule="auto"/>
        <w:jc w:val="both"/>
        <w:rPr>
          <w:rFonts w:ascii="Open Sans" w:cs="Open Sans" w:eastAsia="Open Sans" w:hAnsi="Open Sans"/>
          <w:b w:val="1"/>
        </w:rPr>
      </w:pPr>
      <w:r w:rsidDel="00000000" w:rsidR="00000000" w:rsidRPr="00000000">
        <w:rPr>
          <w:rtl w:val="0"/>
        </w:rPr>
      </w:r>
    </w:p>
    <w:p w:rsidR="00000000" w:rsidDel="00000000" w:rsidP="00000000" w:rsidRDefault="00000000" w:rsidRPr="00000000" w14:paraId="0000000F">
      <w:pPr>
        <w:spacing w:line="240" w:lineRule="auto"/>
        <w:jc w:val="both"/>
        <w:rPr>
          <w:rFonts w:ascii="Open Sans" w:cs="Open Sans" w:eastAsia="Open Sans" w:hAnsi="Open Sans"/>
        </w:rPr>
      </w:pPr>
      <w:r w:rsidDel="00000000" w:rsidR="00000000" w:rsidRPr="00000000">
        <w:rPr>
          <w:rFonts w:ascii="Open Sans" w:cs="Open Sans" w:eastAsia="Open Sans" w:hAnsi="Open Sans"/>
          <w:rtl w:val="0"/>
        </w:rPr>
        <w:t xml:space="preserve">Se trata de un </w:t>
      </w:r>
      <w:r w:rsidDel="00000000" w:rsidR="00000000" w:rsidRPr="00000000">
        <w:rPr>
          <w:rFonts w:ascii="Open Sans" w:cs="Open Sans" w:eastAsia="Open Sans" w:hAnsi="Open Sans"/>
          <w:i w:val="1"/>
          <w:rtl w:val="0"/>
        </w:rPr>
        <w:t xml:space="preserve">hub</w:t>
      </w:r>
      <w:r w:rsidDel="00000000" w:rsidR="00000000" w:rsidRPr="00000000">
        <w:rPr>
          <w:rFonts w:ascii="Open Sans" w:cs="Open Sans" w:eastAsia="Open Sans" w:hAnsi="Open Sans"/>
          <w:rtl w:val="0"/>
        </w:rPr>
        <w:t xml:space="preserve"> de soluciones que, también, tendrán como prioridad la educación financiera a través de cursos y talleres que se brindarán para los empresarios de COPARMEX en la Capital y el país.</w:t>
      </w:r>
    </w:p>
    <w:p w:rsidR="00000000" w:rsidDel="00000000" w:rsidP="00000000" w:rsidRDefault="00000000" w:rsidRPr="00000000" w14:paraId="00000010">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11">
      <w:pPr>
        <w:spacing w:line="240" w:lineRule="auto"/>
        <w:jc w:val="both"/>
        <w:rPr>
          <w:rFonts w:ascii="Open Sans" w:cs="Open Sans" w:eastAsia="Open Sans" w:hAnsi="Open Sans"/>
        </w:rPr>
      </w:pPr>
      <w:r w:rsidDel="00000000" w:rsidR="00000000" w:rsidRPr="00000000">
        <w:rPr>
          <w:rFonts w:ascii="Open Sans" w:cs="Open Sans" w:eastAsia="Open Sans" w:hAnsi="Open Sans"/>
          <w:rtl w:val="0"/>
        </w:rPr>
        <w:t xml:space="preserve">Con esta alianza, Konfío y el Centro Empresarial otorgarán créditos y tarjetas de créditos a empresas en crecimiento, que, sumado a la herramienta de pagos B2B, podrían beneficiar a las más de 40 mil empresas afiliadas a COPARMEX en todo el país.</w:t>
      </w:r>
    </w:p>
    <w:p w:rsidR="00000000" w:rsidDel="00000000" w:rsidP="00000000" w:rsidRDefault="00000000" w:rsidRPr="00000000" w14:paraId="00000012">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13">
      <w:pPr>
        <w:spacing w:line="240" w:lineRule="auto"/>
        <w:jc w:val="both"/>
        <w:rPr>
          <w:rFonts w:ascii="Open Sans" w:cs="Open Sans" w:eastAsia="Open Sans" w:hAnsi="Open Sans"/>
        </w:rPr>
      </w:pPr>
      <w:r w:rsidDel="00000000" w:rsidR="00000000" w:rsidRPr="00000000">
        <w:rPr>
          <w:rFonts w:ascii="Open Sans" w:cs="Open Sans" w:eastAsia="Open Sans" w:hAnsi="Open Sans"/>
          <w:rtl w:val="0"/>
        </w:rPr>
        <w:t xml:space="preserve">Esta alianza, que se suma a los servicios otorgados a través de  la plataforma CONECTA, se hace necesaria ya que actualmente ocho de cada 10 empresas entiende que centrarse en la innovación tecnológica es mucho más relevante que en la prepandemia, de acuerdo con los resultados del </w:t>
      </w:r>
      <w:hyperlink r:id="rId8">
        <w:r w:rsidDel="00000000" w:rsidR="00000000" w:rsidRPr="00000000">
          <w:rPr>
            <w:rFonts w:ascii="Open Sans" w:cs="Open Sans" w:eastAsia="Open Sans" w:hAnsi="Open Sans"/>
            <w:color w:val="1155cc"/>
            <w:u w:val="single"/>
            <w:rtl w:val="0"/>
          </w:rPr>
          <w:t xml:space="preserve">estudio</w:t>
        </w:r>
      </w:hyperlink>
      <w:r w:rsidDel="00000000" w:rsidR="00000000" w:rsidRPr="00000000">
        <w:rPr>
          <w:rFonts w:ascii="Open Sans" w:cs="Open Sans" w:eastAsia="Open Sans" w:hAnsi="Open Sans"/>
          <w:rtl w:val="0"/>
        </w:rPr>
        <w:t xml:space="preserve"> “Panorama de la innovación en México y Centroamérica”, de KPMG. El reporte agrega que el conocimiento de las nuevas tecnologías y su impacto es un requisito previo para innovar en los negocios y hacerlo de forma sostenida.</w:t>
      </w:r>
    </w:p>
    <w:p w:rsidR="00000000" w:rsidDel="00000000" w:rsidP="00000000" w:rsidRDefault="00000000" w:rsidRPr="00000000" w14:paraId="00000014">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15">
      <w:pPr>
        <w:spacing w:line="240" w:lineRule="auto"/>
        <w:jc w:val="both"/>
        <w:rPr>
          <w:rFonts w:ascii="Open Sans" w:cs="Open Sans" w:eastAsia="Open Sans" w:hAnsi="Open Sans"/>
          <w:b w:val="1"/>
        </w:rPr>
      </w:pPr>
      <w:r w:rsidDel="00000000" w:rsidR="00000000" w:rsidRPr="00000000">
        <w:rPr>
          <w:rFonts w:ascii="Open Sans" w:cs="Open Sans" w:eastAsia="Open Sans" w:hAnsi="Open Sans"/>
          <w:b w:val="1"/>
          <w:rtl w:val="0"/>
        </w:rPr>
        <w:t xml:space="preserve">Empresas en crecimiento: columna vertebral</w:t>
      </w:r>
    </w:p>
    <w:p w:rsidR="00000000" w:rsidDel="00000000" w:rsidP="00000000" w:rsidRDefault="00000000" w:rsidRPr="00000000" w14:paraId="00000016">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17">
      <w:pPr>
        <w:spacing w:line="240" w:lineRule="auto"/>
        <w:jc w:val="both"/>
        <w:rPr>
          <w:rFonts w:ascii="Open Sans" w:cs="Open Sans" w:eastAsia="Open Sans" w:hAnsi="Open Sans"/>
        </w:rPr>
      </w:pPr>
      <w:r w:rsidDel="00000000" w:rsidR="00000000" w:rsidRPr="00000000">
        <w:rPr>
          <w:rFonts w:ascii="Open Sans" w:cs="Open Sans" w:eastAsia="Open Sans" w:hAnsi="Open Sans"/>
          <w:rtl w:val="0"/>
        </w:rPr>
        <w:t xml:space="preserve">En el caso de las compañías en crecimiento, su relevancia para la recuperación económica es clave, pues este ecosistema de poco más de cuatro millones de entidades aporta casi la mitad del Producto Interno Bruto (PIB) y genera siete de cada diez empleos, según revelan los </w:t>
      </w:r>
      <w:hyperlink r:id="rId9">
        <w:r w:rsidDel="00000000" w:rsidR="00000000" w:rsidRPr="00000000">
          <w:rPr>
            <w:rFonts w:ascii="Open Sans" w:cs="Open Sans" w:eastAsia="Open Sans" w:hAnsi="Open Sans"/>
            <w:color w:val="1155cc"/>
            <w:u w:val="single"/>
            <w:rtl w:val="0"/>
          </w:rPr>
          <w:t xml:space="preserve">datos</w:t>
        </w:r>
      </w:hyperlink>
      <w:r w:rsidDel="00000000" w:rsidR="00000000" w:rsidRPr="00000000">
        <w:rPr>
          <w:rFonts w:ascii="Open Sans" w:cs="Open Sans" w:eastAsia="Open Sans" w:hAnsi="Open Sans"/>
          <w:rtl w:val="0"/>
        </w:rPr>
        <w:t xml:space="preserve"> oficiales; esto las constituye como la columna vertebral de la economía mexicana. </w:t>
      </w:r>
    </w:p>
    <w:p w:rsidR="00000000" w:rsidDel="00000000" w:rsidP="00000000" w:rsidRDefault="00000000" w:rsidRPr="00000000" w14:paraId="00000018">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19">
      <w:pPr>
        <w:spacing w:line="240" w:lineRule="auto"/>
        <w:jc w:val="both"/>
        <w:rPr>
          <w:rFonts w:ascii="Open Sans" w:cs="Open Sans" w:eastAsia="Open Sans" w:hAnsi="Open Sans"/>
        </w:rPr>
      </w:pPr>
      <w:r w:rsidDel="00000000" w:rsidR="00000000" w:rsidRPr="00000000">
        <w:rPr>
          <w:rFonts w:ascii="Open Sans" w:cs="Open Sans" w:eastAsia="Open Sans" w:hAnsi="Open Sans"/>
          <w:rtl w:val="0"/>
        </w:rPr>
        <w:t xml:space="preserve">En este sentido, una de las fortalezas de las empresas en crecimiento en el escenario de la pandemia fue su adaptabilidad. Luego de los momentos más álgidos de la crisis, ocho de cada diez </w:t>
      </w:r>
      <w:hyperlink r:id="rId10">
        <w:r w:rsidDel="00000000" w:rsidR="00000000" w:rsidRPr="00000000">
          <w:rPr>
            <w:rFonts w:ascii="Open Sans" w:cs="Open Sans" w:eastAsia="Open Sans" w:hAnsi="Open Sans"/>
            <w:color w:val="1155cc"/>
            <w:u w:val="single"/>
            <w:rtl w:val="0"/>
          </w:rPr>
          <w:t xml:space="preserve">continuarán</w:t>
        </w:r>
      </w:hyperlink>
      <w:r w:rsidDel="00000000" w:rsidR="00000000" w:rsidRPr="00000000">
        <w:rPr>
          <w:rFonts w:ascii="Open Sans" w:cs="Open Sans" w:eastAsia="Open Sans" w:hAnsi="Open Sans"/>
          <w:rtl w:val="0"/>
        </w:rPr>
        <w:t xml:space="preserve"> con la reinvención de sus modelos, con la transformación digital y las tecnologías como los principales diferenciadores. No obstante, en este proceso persisten retos, como la adopción y aprovechamiento de tecnología financiera.</w:t>
      </w:r>
    </w:p>
    <w:p w:rsidR="00000000" w:rsidDel="00000000" w:rsidP="00000000" w:rsidRDefault="00000000" w:rsidRPr="00000000" w14:paraId="0000001A">
      <w:pPr>
        <w:spacing w:line="240" w:lineRule="auto"/>
        <w:jc w:val="both"/>
        <w:rPr>
          <w:rFonts w:ascii="Open Sans" w:cs="Open Sans" w:eastAsia="Open Sans" w:hAnsi="Open Sans"/>
          <w:b w:val="1"/>
        </w:rPr>
      </w:pPr>
      <w:r w:rsidDel="00000000" w:rsidR="00000000" w:rsidRPr="00000000">
        <w:rPr>
          <w:rtl w:val="0"/>
        </w:rPr>
      </w:r>
    </w:p>
    <w:p w:rsidR="00000000" w:rsidDel="00000000" w:rsidP="00000000" w:rsidRDefault="00000000" w:rsidRPr="00000000" w14:paraId="0000001B">
      <w:pPr>
        <w:spacing w:line="240" w:lineRule="auto"/>
        <w:jc w:val="both"/>
        <w:rPr>
          <w:rFonts w:ascii="Open Sans" w:cs="Open Sans" w:eastAsia="Open Sans" w:hAnsi="Open Sans"/>
          <w:b w:val="1"/>
        </w:rPr>
      </w:pPr>
      <w:r w:rsidDel="00000000" w:rsidR="00000000" w:rsidRPr="00000000">
        <w:rPr>
          <w:rFonts w:ascii="Open Sans" w:cs="Open Sans" w:eastAsia="Open Sans" w:hAnsi="Open Sans"/>
          <w:b w:val="1"/>
          <w:rtl w:val="0"/>
        </w:rPr>
        <w:t xml:space="preserve">Tecnología y finanzas</w:t>
      </w:r>
    </w:p>
    <w:p w:rsidR="00000000" w:rsidDel="00000000" w:rsidP="00000000" w:rsidRDefault="00000000" w:rsidRPr="00000000" w14:paraId="0000001C">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1D">
      <w:pPr>
        <w:spacing w:line="240" w:lineRule="auto"/>
        <w:jc w:val="both"/>
        <w:rPr>
          <w:rFonts w:ascii="Open Sans" w:cs="Open Sans" w:eastAsia="Open Sans" w:hAnsi="Open Sans"/>
        </w:rPr>
      </w:pPr>
      <w:r w:rsidDel="00000000" w:rsidR="00000000" w:rsidRPr="00000000">
        <w:rPr>
          <w:rFonts w:ascii="Open Sans" w:cs="Open Sans" w:eastAsia="Open Sans" w:hAnsi="Open Sans"/>
          <w:rtl w:val="0"/>
        </w:rPr>
        <w:t xml:space="preserve">Siguiendo con lo anterior, y de acuerdo con la más reciente Encuesta Nacional sobre Productividad y Competitividad Empresarial (</w:t>
      </w:r>
      <w:hyperlink r:id="rId11">
        <w:r w:rsidDel="00000000" w:rsidR="00000000" w:rsidRPr="00000000">
          <w:rPr>
            <w:rFonts w:ascii="Open Sans" w:cs="Open Sans" w:eastAsia="Open Sans" w:hAnsi="Open Sans"/>
            <w:color w:val="1155cc"/>
            <w:u w:val="single"/>
            <w:rtl w:val="0"/>
          </w:rPr>
          <w:t xml:space="preserve">Enaproce</w:t>
        </w:r>
      </w:hyperlink>
      <w:r w:rsidDel="00000000" w:rsidR="00000000" w:rsidRPr="00000000">
        <w:rPr>
          <w:rFonts w:ascii="Open Sans" w:cs="Open Sans" w:eastAsia="Open Sans" w:hAnsi="Open Sans"/>
          <w:rtl w:val="0"/>
        </w:rPr>
        <w:t xml:space="preserve">), hoy siete de cada diez negocios batallan por acceder a financiamiento, lo que aumenta la urgencia por crear mejores condiciones para su desarrollo dada la importancia económica que tienen para el país.</w:t>
      </w:r>
    </w:p>
    <w:p w:rsidR="00000000" w:rsidDel="00000000" w:rsidP="00000000" w:rsidRDefault="00000000" w:rsidRPr="00000000" w14:paraId="0000001E">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1F">
      <w:pPr>
        <w:spacing w:line="240" w:lineRule="auto"/>
        <w:jc w:val="both"/>
        <w:rPr>
          <w:rFonts w:ascii="Open Sans" w:cs="Open Sans" w:eastAsia="Open Sans" w:hAnsi="Open Sans"/>
        </w:rPr>
      </w:pPr>
      <w:r w:rsidDel="00000000" w:rsidR="00000000" w:rsidRPr="00000000">
        <w:rPr>
          <w:rFonts w:ascii="Open Sans" w:cs="Open Sans" w:eastAsia="Open Sans" w:hAnsi="Open Sans"/>
          <w:rtl w:val="0"/>
        </w:rPr>
        <w:t xml:space="preserve">“De esta manera, los servicios financieros se colocan como una de las áreas de innovación tecnológica más relevantes, pues desde ahí se construyen puentes económicos para impulsar a las pequeñas y grandes empresas, las cuales representan uno de los pilares fundamentales para la recuperación económica. Después de todo, con la pandemia hemos entendido que nadie puede navegar solo en el océano de los negocios, mucho menos en una era como la que vivimos. La colaboración es el barco”, concluyó </w:t>
      </w:r>
      <w:r w:rsidDel="00000000" w:rsidR="00000000" w:rsidRPr="00000000">
        <w:rPr>
          <w:rFonts w:ascii="Open Sans" w:cs="Open Sans" w:eastAsia="Open Sans" w:hAnsi="Open Sans"/>
          <w:b w:val="1"/>
          <w:rtl w:val="0"/>
        </w:rPr>
        <w:t xml:space="preserve">David Arana, CEO y Fundador de Konfío</w:t>
      </w:r>
      <w:r w:rsidDel="00000000" w:rsidR="00000000" w:rsidRPr="00000000">
        <w:rPr>
          <w:rFonts w:ascii="Open Sans" w:cs="Open Sans" w:eastAsia="Open Sans" w:hAnsi="Open Sans"/>
          <w:rtl w:val="0"/>
        </w:rPr>
        <w:t xml:space="preserve">.</w:t>
      </w:r>
    </w:p>
    <w:p w:rsidR="00000000" w:rsidDel="00000000" w:rsidP="00000000" w:rsidRDefault="00000000" w:rsidRPr="00000000" w14:paraId="00000020">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21">
      <w:pPr>
        <w:spacing w:line="240" w:lineRule="auto"/>
        <w:jc w:val="both"/>
        <w:rPr/>
      </w:pPr>
      <w:r w:rsidDel="00000000" w:rsidR="00000000" w:rsidRPr="00000000">
        <w:rPr>
          <w:rtl w:val="0"/>
        </w:rPr>
      </w:r>
    </w:p>
    <w:p w:rsidR="00000000" w:rsidDel="00000000" w:rsidP="00000000" w:rsidRDefault="00000000" w:rsidRPr="00000000" w14:paraId="00000022">
      <w:pPr>
        <w:spacing w:line="240" w:lineRule="auto"/>
        <w:jc w:val="center"/>
        <w:rPr>
          <w:rFonts w:ascii="Open Sans" w:cs="Open Sans" w:eastAsia="Open Sans" w:hAnsi="Open Sans"/>
        </w:rPr>
      </w:pPr>
      <w:r w:rsidDel="00000000" w:rsidR="00000000" w:rsidRPr="00000000">
        <w:rPr>
          <w:sz w:val="20"/>
          <w:szCs w:val="20"/>
          <w:highlight w:val="white"/>
          <w:rtl w:val="0"/>
        </w:rPr>
        <w:t xml:space="preserve"># # #</w:t>
      </w:r>
      <w:r w:rsidDel="00000000" w:rsidR="00000000" w:rsidRPr="00000000">
        <w:rPr>
          <w:rtl w:val="0"/>
        </w:rPr>
      </w:r>
    </w:p>
    <w:p w:rsidR="00000000" w:rsidDel="00000000" w:rsidP="00000000" w:rsidRDefault="00000000" w:rsidRPr="00000000" w14:paraId="00000023">
      <w:pPr>
        <w:spacing w:line="240" w:lineRule="auto"/>
        <w:jc w:val="both"/>
        <w:rPr>
          <w:rFonts w:ascii="Open Sans" w:cs="Open Sans" w:eastAsia="Open Sans" w:hAnsi="Open Sans"/>
          <w:b w:val="1"/>
          <w:sz w:val="20"/>
          <w:szCs w:val="20"/>
          <w:highlight w:val="white"/>
        </w:rPr>
      </w:pPr>
      <w:r w:rsidDel="00000000" w:rsidR="00000000" w:rsidRPr="00000000">
        <w:rPr>
          <w:rtl w:val="0"/>
        </w:rPr>
      </w:r>
    </w:p>
    <w:p w:rsidR="00000000" w:rsidDel="00000000" w:rsidP="00000000" w:rsidRDefault="00000000" w:rsidRPr="00000000" w14:paraId="00000024">
      <w:pPr>
        <w:spacing w:line="240" w:lineRule="auto"/>
        <w:jc w:val="both"/>
        <w:rPr>
          <w:rFonts w:ascii="Open Sans" w:cs="Open Sans" w:eastAsia="Open Sans" w:hAnsi="Open Sans"/>
          <w:b w:val="1"/>
          <w:color w:val="1155cc"/>
          <w:sz w:val="20"/>
          <w:szCs w:val="20"/>
          <w:highlight w:val="white"/>
        </w:rPr>
      </w:pPr>
      <w:r w:rsidDel="00000000" w:rsidR="00000000" w:rsidRPr="00000000">
        <w:rPr>
          <w:rFonts w:ascii="Open Sans" w:cs="Open Sans" w:eastAsia="Open Sans" w:hAnsi="Open Sans"/>
          <w:b w:val="1"/>
          <w:sz w:val="20"/>
          <w:szCs w:val="20"/>
          <w:highlight w:val="white"/>
          <w:rtl w:val="0"/>
        </w:rPr>
        <w:t xml:space="preserve">Acerca de </w:t>
      </w:r>
      <w:hyperlink r:id="rId12">
        <w:r w:rsidDel="00000000" w:rsidR="00000000" w:rsidRPr="00000000">
          <w:rPr>
            <w:rFonts w:ascii="Open Sans" w:cs="Open Sans" w:eastAsia="Open Sans" w:hAnsi="Open Sans"/>
            <w:b w:val="1"/>
            <w:color w:val="1155cc"/>
            <w:sz w:val="20"/>
            <w:szCs w:val="20"/>
            <w:highlight w:val="white"/>
            <w:u w:val="single"/>
            <w:rtl w:val="0"/>
          </w:rPr>
          <w:t xml:space="preserve">Konfío</w:t>
        </w:r>
      </w:hyperlink>
      <w:r w:rsidDel="00000000" w:rsidR="00000000" w:rsidRPr="00000000">
        <w:rPr>
          <w:rtl w:val="0"/>
        </w:rPr>
      </w:r>
    </w:p>
    <w:p w:rsidR="00000000" w:rsidDel="00000000" w:rsidP="00000000" w:rsidRDefault="00000000" w:rsidRPr="00000000" w14:paraId="00000025">
      <w:pPr>
        <w:spacing w:line="240" w:lineRule="auto"/>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Konfio es la compañía líder de tecnología enfocada en impulsar el crecimiento y productividad de las empresas en México mediante una oferta diferenciada de tres soluciones financieras: financiamiento, pagos B2B y un sistema de gestión empresarial. Desde su fundación en 2013, ofrece acceso ágil a crédito empresarial con un proceso de decisión inmediato basado en datos e inteligencia artificial. En 2020 lanzaron una tarjeta de crédito, y adquirieron un sistema ERP de gestión empresarial en la nube, y hoy han sumado una solución de pagos B2B que busca mejorar el manejo y financiamiento de pagos entre empresas. Hasta la fecha Konfío ha recaudado 269 millones de dólares de inversores como Softbank, VEF, Kaszek Ventures, QED Investors, la Corporación Financiera Internacional y recientemente de Lightrock y Tarsadia Capital.</w:t>
      </w:r>
    </w:p>
    <w:p w:rsidR="00000000" w:rsidDel="00000000" w:rsidP="00000000" w:rsidRDefault="00000000" w:rsidRPr="00000000" w14:paraId="00000026">
      <w:pPr>
        <w:spacing w:line="240" w:lineRule="auto"/>
        <w:jc w:val="both"/>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27">
      <w:pPr>
        <w:spacing w:line="240" w:lineRule="auto"/>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Hoy Konfio es la entidad que más fondos está canalizando a las pequeñas y medianas empresa en crecimiento, el segmento más importante para el desarrollo del país. Konfío ofrece más que créditos, es un aliado que ayuda a las empresas mexicanas a mejorar su productividad y acelerar sus ventas.</w:t>
      </w:r>
    </w:p>
    <w:p w:rsidR="00000000" w:rsidDel="00000000" w:rsidP="00000000" w:rsidRDefault="00000000" w:rsidRPr="00000000" w14:paraId="00000028">
      <w:pPr>
        <w:spacing w:line="240" w:lineRule="auto"/>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 </w:t>
      </w:r>
    </w:p>
    <w:p w:rsidR="00000000" w:rsidDel="00000000" w:rsidP="00000000" w:rsidRDefault="00000000" w:rsidRPr="00000000" w14:paraId="00000029">
      <w:pPr>
        <w:spacing w:line="240" w:lineRule="auto"/>
        <w:jc w:val="both"/>
        <w:rPr>
          <w:rFonts w:ascii="Open Sans" w:cs="Open Sans" w:eastAsia="Open Sans" w:hAnsi="Open Sans"/>
          <w:sz w:val="20"/>
          <w:szCs w:val="20"/>
          <w:highlight w:val="white"/>
        </w:rPr>
      </w:pPr>
      <w:r w:rsidDel="00000000" w:rsidR="00000000" w:rsidRPr="00000000">
        <w:rPr>
          <w:rFonts w:ascii="Open Sans" w:cs="Open Sans" w:eastAsia="Open Sans" w:hAnsi="Open Sans"/>
          <w:b w:val="1"/>
          <w:sz w:val="20"/>
          <w:szCs w:val="20"/>
          <w:highlight w:val="white"/>
          <w:rtl w:val="0"/>
        </w:rPr>
        <w:t xml:space="preserve">Síguenos en:</w:t>
      </w:r>
      <w:r w:rsidDel="00000000" w:rsidR="00000000" w:rsidRPr="00000000">
        <w:rPr>
          <w:rtl w:val="0"/>
        </w:rPr>
      </w:r>
    </w:p>
    <w:p w:rsidR="00000000" w:rsidDel="00000000" w:rsidP="00000000" w:rsidRDefault="00000000" w:rsidRPr="00000000" w14:paraId="0000002A">
      <w:pPr>
        <w:spacing w:line="240" w:lineRule="auto"/>
        <w:rPr>
          <w:rFonts w:ascii="Open Sans" w:cs="Open Sans" w:eastAsia="Open Sans" w:hAnsi="Open Sans"/>
          <w:color w:val="1155cc"/>
          <w:sz w:val="20"/>
          <w:szCs w:val="20"/>
        </w:rPr>
      </w:pPr>
      <w:r w:rsidDel="00000000" w:rsidR="00000000" w:rsidRPr="00000000">
        <w:rPr>
          <w:rFonts w:ascii="Open Sans" w:cs="Open Sans" w:eastAsia="Open Sans" w:hAnsi="Open Sans"/>
          <w:sz w:val="20"/>
          <w:szCs w:val="20"/>
          <w:rtl w:val="0"/>
        </w:rPr>
        <w:t xml:space="preserve">LinkedIn: </w:t>
      </w:r>
      <w:hyperlink r:id="rId13">
        <w:r w:rsidDel="00000000" w:rsidR="00000000" w:rsidRPr="00000000">
          <w:rPr>
            <w:rFonts w:ascii="Open Sans" w:cs="Open Sans" w:eastAsia="Open Sans" w:hAnsi="Open Sans"/>
            <w:color w:val="1155cc"/>
            <w:sz w:val="20"/>
            <w:szCs w:val="20"/>
            <w:u w:val="single"/>
            <w:rtl w:val="0"/>
          </w:rPr>
          <w:t xml:space="preserve">https://www.linkedin.com/company/konfio/</w:t>
        </w:r>
      </w:hyperlink>
      <w:r w:rsidDel="00000000" w:rsidR="00000000" w:rsidRPr="00000000">
        <w:rPr>
          <w:rtl w:val="0"/>
        </w:rPr>
      </w:r>
    </w:p>
    <w:p w:rsidR="00000000" w:rsidDel="00000000" w:rsidP="00000000" w:rsidRDefault="00000000" w:rsidRPr="00000000" w14:paraId="0000002B">
      <w:pPr>
        <w:spacing w:line="240" w:lineRule="auto"/>
        <w:rPr>
          <w:rFonts w:ascii="Open Sans" w:cs="Open Sans" w:eastAsia="Open Sans" w:hAnsi="Open Sans"/>
          <w:color w:val="1155cc"/>
          <w:sz w:val="20"/>
          <w:szCs w:val="20"/>
        </w:rPr>
      </w:pPr>
      <w:r w:rsidDel="00000000" w:rsidR="00000000" w:rsidRPr="00000000">
        <w:rPr>
          <w:rFonts w:ascii="Open Sans" w:cs="Open Sans" w:eastAsia="Open Sans" w:hAnsi="Open Sans"/>
          <w:sz w:val="20"/>
          <w:szCs w:val="20"/>
          <w:rtl w:val="0"/>
        </w:rPr>
        <w:t xml:space="preserve">Facebook: </w:t>
      </w:r>
      <w:hyperlink r:id="rId14">
        <w:r w:rsidDel="00000000" w:rsidR="00000000" w:rsidRPr="00000000">
          <w:rPr>
            <w:rFonts w:ascii="Open Sans" w:cs="Open Sans" w:eastAsia="Open Sans" w:hAnsi="Open Sans"/>
            <w:color w:val="1155cc"/>
            <w:sz w:val="20"/>
            <w:szCs w:val="20"/>
            <w:u w:val="single"/>
            <w:rtl w:val="0"/>
          </w:rPr>
          <w:t xml:space="preserve">https://www.facebook.com/konfio</w:t>
        </w:r>
      </w:hyperlink>
      <w:r w:rsidDel="00000000" w:rsidR="00000000" w:rsidRPr="00000000">
        <w:rPr>
          <w:rtl w:val="0"/>
        </w:rPr>
      </w:r>
    </w:p>
    <w:p w:rsidR="00000000" w:rsidDel="00000000" w:rsidP="00000000" w:rsidRDefault="00000000" w:rsidRPr="00000000" w14:paraId="0000002C">
      <w:pPr>
        <w:spacing w:line="240"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Instagram:</w:t>
      </w:r>
      <w:r w:rsidDel="00000000" w:rsidR="00000000" w:rsidRPr="00000000">
        <w:rPr>
          <w:rFonts w:ascii="Open Sans" w:cs="Open Sans" w:eastAsia="Open Sans" w:hAnsi="Open Sans"/>
          <w:color w:val="1155cc"/>
          <w:sz w:val="20"/>
          <w:szCs w:val="20"/>
          <w:rtl w:val="0"/>
        </w:rPr>
        <w:t xml:space="preserve"> </w:t>
      </w:r>
      <w:hyperlink r:id="rId15">
        <w:r w:rsidDel="00000000" w:rsidR="00000000" w:rsidRPr="00000000">
          <w:rPr>
            <w:rFonts w:ascii="Open Sans" w:cs="Open Sans" w:eastAsia="Open Sans" w:hAnsi="Open Sans"/>
            <w:color w:val="1155cc"/>
            <w:sz w:val="20"/>
            <w:szCs w:val="20"/>
            <w:u w:val="single"/>
            <w:rtl w:val="0"/>
          </w:rPr>
          <w:t xml:space="preserve">https://www.instagram.com/konfio.mx/?hl=es-la</w:t>
        </w:r>
      </w:hyperlink>
      <w:r w:rsidDel="00000000" w:rsidR="00000000" w:rsidRPr="00000000">
        <w:rPr>
          <w:rtl w:val="0"/>
        </w:rPr>
      </w:r>
    </w:p>
    <w:p w:rsidR="00000000" w:rsidDel="00000000" w:rsidP="00000000" w:rsidRDefault="00000000" w:rsidRPr="00000000" w14:paraId="0000002D">
      <w:pPr>
        <w:spacing w:line="240"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YouTube: </w:t>
      </w:r>
      <w:hyperlink r:id="rId16">
        <w:r w:rsidDel="00000000" w:rsidR="00000000" w:rsidRPr="00000000">
          <w:rPr>
            <w:rFonts w:ascii="Open Sans" w:cs="Open Sans" w:eastAsia="Open Sans" w:hAnsi="Open Sans"/>
            <w:color w:val="1155cc"/>
            <w:sz w:val="20"/>
            <w:szCs w:val="20"/>
            <w:u w:val="single"/>
            <w:rtl w:val="0"/>
          </w:rPr>
          <w:t xml:space="preserve">https://www.youtube.com/user/konfio</w:t>
        </w:r>
      </w:hyperlink>
      <w:r w:rsidDel="00000000" w:rsidR="00000000" w:rsidRPr="00000000">
        <w:rPr>
          <w:rFonts w:ascii="Open Sans" w:cs="Open Sans" w:eastAsia="Open Sans" w:hAnsi="Open Sans"/>
          <w:sz w:val="20"/>
          <w:szCs w:val="20"/>
          <w:rtl w:val="0"/>
        </w:rPr>
        <w:t xml:space="preserve"> </w:t>
      </w:r>
    </w:p>
    <w:p w:rsidR="00000000" w:rsidDel="00000000" w:rsidP="00000000" w:rsidRDefault="00000000" w:rsidRPr="00000000" w14:paraId="0000002E">
      <w:pPr>
        <w:spacing w:line="240" w:lineRule="auto"/>
        <w:rPr>
          <w:rFonts w:ascii="Open Sans" w:cs="Open Sans" w:eastAsia="Open Sans" w:hAnsi="Open Sans"/>
          <w:color w:val="1155cc"/>
          <w:sz w:val="20"/>
          <w:szCs w:val="20"/>
          <w:u w:val="single"/>
        </w:rPr>
      </w:pPr>
      <w:r w:rsidDel="00000000" w:rsidR="00000000" w:rsidRPr="00000000">
        <w:rPr>
          <w:rFonts w:ascii="Open Sans" w:cs="Open Sans" w:eastAsia="Open Sans" w:hAnsi="Open Sans"/>
          <w:sz w:val="20"/>
          <w:szCs w:val="20"/>
          <w:rtl w:val="0"/>
        </w:rPr>
        <w:t xml:space="preserve">Twitter: </w:t>
      </w:r>
      <w:hyperlink r:id="rId17">
        <w:r w:rsidDel="00000000" w:rsidR="00000000" w:rsidRPr="00000000">
          <w:rPr>
            <w:rFonts w:ascii="Open Sans" w:cs="Open Sans" w:eastAsia="Open Sans" w:hAnsi="Open Sans"/>
            <w:color w:val="1155cc"/>
            <w:sz w:val="20"/>
            <w:szCs w:val="20"/>
            <w:u w:val="single"/>
            <w:rtl w:val="0"/>
          </w:rPr>
          <w:t xml:space="preserve">https://twitter.com/konfiomx</w:t>
        </w:r>
      </w:hyperlink>
      <w:r w:rsidDel="00000000" w:rsidR="00000000" w:rsidRPr="00000000">
        <w:rPr>
          <w:rtl w:val="0"/>
        </w:rPr>
      </w:r>
    </w:p>
    <w:p w:rsidR="00000000" w:rsidDel="00000000" w:rsidP="00000000" w:rsidRDefault="00000000" w:rsidRPr="00000000" w14:paraId="0000002F">
      <w:pPr>
        <w:spacing w:line="240" w:lineRule="auto"/>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30">
      <w:pPr>
        <w:spacing w:line="240" w:lineRule="auto"/>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Contacto para prensa </w:t>
      </w:r>
    </w:p>
    <w:p w:rsidR="00000000" w:rsidDel="00000000" w:rsidP="00000000" w:rsidRDefault="00000000" w:rsidRPr="00000000" w14:paraId="00000031">
      <w:pPr>
        <w:spacing w:line="240"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another</w:t>
      </w:r>
    </w:p>
    <w:p w:rsidR="00000000" w:rsidDel="00000000" w:rsidP="00000000" w:rsidRDefault="00000000" w:rsidRPr="00000000" w14:paraId="00000032">
      <w:pPr>
        <w:spacing w:line="240"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Daniela Ramos, SR PR Expert</w:t>
      </w:r>
    </w:p>
    <w:p w:rsidR="00000000" w:rsidDel="00000000" w:rsidP="00000000" w:rsidRDefault="00000000" w:rsidRPr="00000000" w14:paraId="00000033">
      <w:pPr>
        <w:spacing w:line="240"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55 2655 9172</w:t>
      </w:r>
    </w:p>
    <w:p w:rsidR="00000000" w:rsidDel="00000000" w:rsidP="00000000" w:rsidRDefault="00000000" w:rsidRPr="00000000" w14:paraId="00000034">
      <w:pPr>
        <w:spacing w:line="240" w:lineRule="auto"/>
        <w:rPr>
          <w:rFonts w:ascii="Open Sans" w:cs="Open Sans" w:eastAsia="Open Sans" w:hAnsi="Open Sans"/>
          <w:color w:val="1155cc"/>
          <w:sz w:val="20"/>
          <w:szCs w:val="20"/>
        </w:rPr>
      </w:pPr>
      <w:hyperlink r:id="rId18">
        <w:r w:rsidDel="00000000" w:rsidR="00000000" w:rsidRPr="00000000">
          <w:rPr>
            <w:rFonts w:ascii="Open Sans" w:cs="Open Sans" w:eastAsia="Open Sans" w:hAnsi="Open Sans"/>
            <w:color w:val="1155cc"/>
            <w:sz w:val="20"/>
            <w:szCs w:val="20"/>
            <w:u w:val="single"/>
            <w:rtl w:val="0"/>
          </w:rPr>
          <w:t xml:space="preserve">daniela.ramos@another.co</w:t>
        </w:r>
      </w:hyperlink>
      <w:r w:rsidDel="00000000" w:rsidR="00000000" w:rsidRPr="00000000">
        <w:rPr>
          <w:rtl w:val="0"/>
        </w:rPr>
      </w:r>
    </w:p>
    <w:p w:rsidR="00000000" w:rsidDel="00000000" w:rsidP="00000000" w:rsidRDefault="00000000" w:rsidRPr="00000000" w14:paraId="00000035">
      <w:pPr>
        <w:spacing w:line="240" w:lineRule="auto"/>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36">
      <w:pPr>
        <w:spacing w:line="240"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Diana Guillén, JR PR Expert </w:t>
      </w:r>
    </w:p>
    <w:p w:rsidR="00000000" w:rsidDel="00000000" w:rsidP="00000000" w:rsidRDefault="00000000" w:rsidRPr="00000000" w14:paraId="00000037">
      <w:pPr>
        <w:spacing w:line="240"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55 6741 4592 </w:t>
      </w:r>
    </w:p>
    <w:p w:rsidR="00000000" w:rsidDel="00000000" w:rsidP="00000000" w:rsidRDefault="00000000" w:rsidRPr="00000000" w14:paraId="00000038">
      <w:pPr>
        <w:spacing w:line="240" w:lineRule="auto"/>
        <w:rPr>
          <w:rFonts w:ascii="Open Sans" w:cs="Open Sans" w:eastAsia="Open Sans" w:hAnsi="Open Sans"/>
          <w:color w:val="1155cc"/>
          <w:sz w:val="20"/>
          <w:szCs w:val="20"/>
        </w:rPr>
      </w:pPr>
      <w:hyperlink r:id="rId19">
        <w:r w:rsidDel="00000000" w:rsidR="00000000" w:rsidRPr="00000000">
          <w:rPr>
            <w:rFonts w:ascii="Open Sans" w:cs="Open Sans" w:eastAsia="Open Sans" w:hAnsi="Open Sans"/>
            <w:color w:val="1155cc"/>
            <w:sz w:val="20"/>
            <w:szCs w:val="20"/>
            <w:u w:val="single"/>
            <w:rtl w:val="0"/>
          </w:rPr>
          <w:t xml:space="preserve">diana.guillen@another.co</w:t>
        </w:r>
      </w:hyperlink>
      <w:r w:rsidDel="00000000" w:rsidR="00000000" w:rsidRPr="00000000">
        <w:rPr>
          <w:rtl w:val="0"/>
        </w:rPr>
      </w:r>
    </w:p>
    <w:p w:rsidR="00000000" w:rsidDel="00000000" w:rsidP="00000000" w:rsidRDefault="00000000" w:rsidRPr="00000000" w14:paraId="00000039">
      <w:pPr>
        <w:pStyle w:val="Heading2"/>
        <w:spacing w:line="240" w:lineRule="auto"/>
        <w:rPr>
          <w:rFonts w:ascii="Open Sans" w:cs="Open Sans" w:eastAsia="Open Sans" w:hAnsi="Open Sans"/>
        </w:rPr>
      </w:pPr>
      <w:bookmarkStart w:colFirst="0" w:colLast="0" w:name="_heading=h.gjdgxs" w:id="0"/>
      <w:bookmarkEnd w:id="0"/>
      <w:r w:rsidDel="00000000" w:rsidR="00000000" w:rsidRPr="00000000">
        <w:rPr>
          <w:rtl w:val="0"/>
        </w:rPr>
      </w:r>
    </w:p>
    <w:p w:rsidR="00000000" w:rsidDel="00000000" w:rsidP="00000000" w:rsidRDefault="00000000" w:rsidRPr="00000000" w14:paraId="0000003A">
      <w:pPr>
        <w:spacing w:line="240" w:lineRule="auto"/>
        <w:jc w:val="both"/>
        <w:rPr>
          <w:rFonts w:ascii="Open Sans" w:cs="Open Sans" w:eastAsia="Open Sans" w:hAnsi="Open Sans"/>
        </w:rPr>
      </w:pPr>
      <w:r w:rsidDel="00000000" w:rsidR="00000000" w:rsidRPr="00000000">
        <w:rPr>
          <w:rtl w:val="0"/>
        </w:rPr>
      </w:r>
    </w:p>
    <w:sectPr>
      <w:headerReference r:id="rId20" w:type="default"/>
      <w:headerReference r:id="rId21" w:type="even"/>
      <w:footerReference r:id="rId22" w:type="even"/>
      <w:pgSz w:h="15840" w:w="12240" w:orient="portrait"/>
      <w:pgMar w:bottom="1440" w:top="1440" w:left="1440" w:right="1440" w:header="215"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Open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0">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jc w:val="center"/>
      <w:rPr/>
    </w:pPr>
    <w:r w:rsidDel="00000000" w:rsidR="00000000" w:rsidRPr="00000000">
      <w:rPr>
        <w:rtl w:val="0"/>
      </w:rPr>
    </w:r>
  </w:p>
  <w:p w:rsidR="00000000" w:rsidDel="00000000" w:rsidP="00000000" w:rsidRDefault="00000000" w:rsidRPr="00000000" w14:paraId="0000003C">
    <w:pPr>
      <w:jc w:val="center"/>
      <w:rPr/>
    </w:pPr>
    <w:r w:rsidDel="00000000" w:rsidR="00000000" w:rsidRPr="00000000">
      <w:rPr>
        <w:rtl w:val="0"/>
      </w:rPr>
    </w:r>
  </w:p>
  <w:p w:rsidR="00000000" w:rsidDel="00000000" w:rsidP="00000000" w:rsidRDefault="00000000" w:rsidRPr="00000000" w14:paraId="0000003D">
    <w:pPr>
      <w:jc w:val="center"/>
      <w:rPr/>
    </w:pPr>
    <w:r w:rsidDel="00000000" w:rsidR="00000000" w:rsidRPr="00000000">
      <w:rPr>
        <w:rtl w:val="0"/>
      </w:rPr>
    </w:r>
  </w:p>
  <w:p w:rsidR="00000000" w:rsidDel="00000000" w:rsidP="00000000" w:rsidRDefault="00000000" w:rsidRPr="00000000" w14:paraId="0000003E">
    <w:pPr>
      <w:jc w:val="cente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MX"/>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rPr>
      <w:lang w:val="es-MX"/>
    </w:rPr>
  </w:style>
  <w:style w:type="paragraph" w:styleId="Ttulo1">
    <w:name w:val="heading 1"/>
    <w:basedOn w:val="Normal"/>
    <w:next w:val="Normal"/>
    <w:uiPriority w:val="9"/>
    <w:qFormat w:val="1"/>
    <w:pPr>
      <w:keepNext w:val="1"/>
      <w:keepLines w:val="1"/>
      <w:spacing w:after="120" w:before="400"/>
      <w:outlineLvl w:val="0"/>
    </w:pPr>
    <w:rPr>
      <w:sz w:val="40"/>
      <w:szCs w:val="40"/>
    </w:rPr>
  </w:style>
  <w:style w:type="paragraph" w:styleId="Ttulo2">
    <w:name w:val="heading 2"/>
    <w:basedOn w:val="Normal"/>
    <w:next w:val="Normal"/>
    <w:uiPriority w:val="9"/>
    <w:unhideWhenUsed w:val="1"/>
    <w:qFormat w:val="1"/>
    <w:pPr>
      <w:keepNext w:val="1"/>
      <w:keepLines w:val="1"/>
      <w:spacing w:after="120" w:before="360"/>
      <w:outlineLvl w:val="1"/>
    </w:pPr>
    <w:rPr>
      <w:sz w:val="32"/>
      <w:szCs w:val="32"/>
    </w:rPr>
  </w:style>
  <w:style w:type="paragraph" w:styleId="Ttulo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Ttulo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Ttulo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Ttulo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uiPriority w:val="10"/>
    <w:qFormat w:val="1"/>
    <w:pPr>
      <w:keepNext w:val="1"/>
      <w:keepLines w:val="1"/>
      <w:spacing w:after="60"/>
    </w:pPr>
    <w:rPr>
      <w:sz w:val="52"/>
      <w:szCs w:val="52"/>
    </w:rPr>
  </w:style>
  <w:style w:type="paragraph" w:styleId="Subttulo">
    <w:name w:val="Subtitle"/>
    <w:basedOn w:val="Normal"/>
    <w:next w:val="Normal"/>
    <w:uiPriority w:val="11"/>
    <w:qFormat w:val="1"/>
    <w:pPr>
      <w:keepNext w:val="1"/>
      <w:keepLines w:val="1"/>
      <w:spacing w:after="320"/>
    </w:pPr>
    <w:rPr>
      <w:color w:val="666666"/>
      <w:sz w:val="30"/>
      <w:szCs w:val="30"/>
    </w:rPr>
  </w:style>
  <w:style w:type="paragraph" w:styleId="Prrafodelista">
    <w:name w:val="List Paragraph"/>
    <w:basedOn w:val="Normal"/>
    <w:uiPriority w:val="34"/>
    <w:qFormat w:val="1"/>
    <w:rsid w:val="001D16C8"/>
    <w:pPr>
      <w:ind w:left="720"/>
      <w:contextualSpacing w:val="1"/>
    </w:p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eader" Target="header1.xml"/><Relationship Id="rId11" Type="http://schemas.openxmlformats.org/officeDocument/2006/relationships/hyperlink" Target="https://www.inegi.org.mx/contenidos/programas/enaproce/2018/doc/ENAPROCE2018Pres.pdf" TargetMode="External"/><Relationship Id="rId22" Type="http://schemas.openxmlformats.org/officeDocument/2006/relationships/footer" Target="footer1.xml"/><Relationship Id="rId10" Type="http://schemas.openxmlformats.org/officeDocument/2006/relationships/hyperlink" Target="https://news.microsoft.com/es-xl/pymes-mexicanas-83-realizaron-un-cambio-en-su-negocio-debido-al-covid-19/" TargetMode="External"/><Relationship Id="rId21" Type="http://schemas.openxmlformats.org/officeDocument/2006/relationships/header" Target="header2.xml"/><Relationship Id="rId13" Type="http://schemas.openxmlformats.org/officeDocument/2006/relationships/hyperlink" Target="https://www.linkedin.com/company/konfio/" TargetMode="External"/><Relationship Id="rId12" Type="http://schemas.openxmlformats.org/officeDocument/2006/relationships/hyperlink" Target="https://konfio.mx/"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comunicacion.senado.gob.mx/index.php/informacion/boletines/47767-pymes-importante-motor-para-el-desarrollo-economico-nacional-mc.html" TargetMode="External"/><Relationship Id="rId15" Type="http://schemas.openxmlformats.org/officeDocument/2006/relationships/hyperlink" Target="https://www.instagram.com/konfio.mx/?hl=es-la" TargetMode="External"/><Relationship Id="rId14" Type="http://schemas.openxmlformats.org/officeDocument/2006/relationships/hyperlink" Target="https://www.facebook.com/konfio" TargetMode="External"/><Relationship Id="rId17" Type="http://schemas.openxmlformats.org/officeDocument/2006/relationships/hyperlink" Target="https://twitter.com/konfiomx" TargetMode="External"/><Relationship Id="rId16" Type="http://schemas.openxmlformats.org/officeDocument/2006/relationships/hyperlink" Target="https://www.youtube.com/user/konfio" TargetMode="External"/><Relationship Id="rId5" Type="http://schemas.openxmlformats.org/officeDocument/2006/relationships/styles" Target="styles.xml"/><Relationship Id="rId19" Type="http://schemas.openxmlformats.org/officeDocument/2006/relationships/hyperlink" Target="mailto:diana.guillen@another.co" TargetMode="External"/><Relationship Id="rId6" Type="http://schemas.openxmlformats.org/officeDocument/2006/relationships/customXml" Target="../customXML/item1.xml"/><Relationship Id="rId18" Type="http://schemas.openxmlformats.org/officeDocument/2006/relationships/hyperlink" Target="mailto:daniela.ramos@another.co" TargetMode="External"/><Relationship Id="rId7" Type="http://schemas.openxmlformats.org/officeDocument/2006/relationships/image" Target="media/image1.png"/><Relationship Id="rId8" Type="http://schemas.openxmlformats.org/officeDocument/2006/relationships/hyperlink" Target="https://home.kpmg/mx/es/home/tendencias/2021/06/las-empresas-del-futuro-cercano0.html"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 Id="rId5" Type="http://schemas.openxmlformats.org/officeDocument/2006/relationships/font" Target="fonts/OpenSans-regular.ttf"/><Relationship Id="rId6" Type="http://schemas.openxmlformats.org/officeDocument/2006/relationships/font" Target="fonts/OpenSans-bold.ttf"/><Relationship Id="rId7" Type="http://schemas.openxmlformats.org/officeDocument/2006/relationships/font" Target="fonts/OpenSans-italic.ttf"/><Relationship Id="rId8" Type="http://schemas.openxmlformats.org/officeDocument/2006/relationships/font" Target="fonts/Open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yX1V8kQcJyLZhufYUKs5ESvnfjg==">AMUW2mWMUmhAGGmq0/GKxNYVAVb0NiBe/zG6LgH8HHZqD0TtXVj4q+fmBKhp9IwKQKgFAaAGLAv3XZniJJtUDqUXq3wb/+zLbsqPMghCUyhu8nNypah1M6SRJl1a8v8fb36sHG+OeQE6</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2021-08-16T16:46:00Z</dcterms:created>
  <dc:creator>Robert</dc:creator>
</cp:coreProperties>
</file>