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¿Qué significa para mi empresa la apuesta de Banxico al permitir operar a nuevas redes de pago con tarjeta?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27 de julio de 2020.-</w:t>
      </w:r>
      <w:r w:rsidDel="00000000" w:rsidR="00000000" w:rsidRPr="00000000">
        <w:rPr>
          <w:rtl w:val="0"/>
        </w:rPr>
        <w:t xml:space="preserve"> En marzo de este año, el Banco de México otorgó a Visa la autorización de operar como red de pago o cámara de compensación para pagos con tarjeta en el país, una decisión que sumada a la tomada en 2018 para MasterCard indica que en el país existirán cuatro redes de pago en operación. Pero, ¿qué significa eso para mi negocio?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De acuerdo con Erick McKinney, Country Manager de Adyen México, una red de pago se refiere a los sistemas que se encargan de brindar el servicio de comunicación y compensación de pagos entre los participantes de dicha red. En el caso específico de una red de pagos con tarjeta, son estos sistemas por los que viajan las solicitudes de autorización a los emisores y posteriormente ocurre la liquidación a los comercios de las ventas realizadas. Es decir, una red de pagos con tarjeta es la tecnología encargada de mover el dinero del banco del tarjetahabiente (emisor) al banco del comercio (adquirente) para completar una operación comercial.</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color w:val="454545"/>
          <w:sz w:val="18"/>
          <w:szCs w:val="18"/>
        </w:rPr>
      </w:pPr>
      <w:r w:rsidDel="00000000" w:rsidR="00000000" w:rsidRPr="00000000">
        <w:rPr>
          <w:rtl w:val="0"/>
        </w:rPr>
        <w:t xml:space="preserve">De ese modo, las autorizaciones otorgados por el Banco de México en los últimos meses significan que empresas como MasterCard y Visa puedan emplear su tecnología para que los participantes con licencia de emisores y adquirientes puedan </w:t>
      </w:r>
      <w:r w:rsidDel="00000000" w:rsidR="00000000" w:rsidRPr="00000000">
        <w:rPr>
          <w:rtl w:val="0"/>
        </w:rPr>
        <w:t xml:space="preserve">operar</w:t>
      </w:r>
      <w:r w:rsidDel="00000000" w:rsidR="00000000" w:rsidRPr="00000000">
        <w:rPr>
          <w:rtl w:val="0"/>
        </w:rPr>
        <w:t xml:space="preserve"> directamente en nuevas  redes de pagos sin la necesidad de trabajar a través de las redes actuales de PROSA y eGlobal. Es decir, existe nueva tecnología para </w:t>
      </w:r>
      <w:r w:rsidDel="00000000" w:rsidR="00000000" w:rsidRPr="00000000">
        <w:rPr>
          <w:rtl w:val="0"/>
        </w:rPr>
        <w:t xml:space="preserve">manejar</w:t>
      </w:r>
      <w:r w:rsidDel="00000000" w:rsidR="00000000" w:rsidRPr="00000000">
        <w:rPr>
          <w:rtl w:val="0"/>
        </w:rPr>
        <w:t xml:space="preserve"> las transacciones entre emisores y adquirentes para optimizar los procesos y mejorar la operación.</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Con esto, existen diversos beneficios para todos los participantes de la red de pagos, tanto para comercios de diferentes verticales como para los consumidores, debido a la apertura tecnológica que esta decisión ofrece y a las nuevas alternativas de operación que implican para la tecnología de pagos, que a continuación te explicamos: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1. Mayor capacidad tecnológica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Una de las problemáticas de la redes de pagos actuales son las limitantes tecnológicas a las que se enfrenta. Con la entrada de Visa y MasterCard como redes de pagos, los bancos emisores y desde luego los comercios tendrán acceso a más soluciones digitales, implementadas por estas empresas, como reconocimiento de huellas dactilares para autenticar a los compradores, técnicas de seguridad como 3DS2, utilizar Network Tokens para cobros recurrentes, entre otras.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b w:val="1"/>
          <w:rtl w:val="0"/>
        </w:rPr>
        <w:t xml:space="preserve">2. Mayor información para prevenir el fraude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En comercio electrónico, otro beneficio para los comercios y emisores es que tendrán acceso a más datos e información clave sobre los compradores que les permitirá hacer transacciones más seguras y detectar a los posibles defraudadores de forma proactiva. Con lo anterior, los comercios pueden reducir el nivel de contracargos, ya que el comercio obtendrá más información sobre el proceso de reclamación de un tarjetahabiente, por ejemplo si el cliente recibió el producto en tiempo y forma; si lo recibió y quiere devolverlo o si nunca llegó, con alternativas más fáciles para resolver ese tipo de disputas y sin tratar todos los contracargos como fraude de forma automática, como se hace actualmente.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3. Uso de Tokens para pagos recurrentes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Otra de las ventajas de contar con este tipo de alternativas en la red de pagos para los comercios es permitir el cobro mediante tokens para pagos recurrentes de los clientes y facilitar la autorización de pagos de forma activa, esto sobre todo para empresas o negocios que ofrecen algún producto o servicio mediante modalidades de suscripción, y se esa forma generar una experiencia al cliente más sencilla y segura al momento de realizar ese tipo de cobros.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4. Mejorar la experiencia del cliente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Todo lo anterior en su conjunto implica un beneficio directo al comprador, que tendrá más herramientas como la autenticación biométrica y otras tecnologías para proteger sus compras, evitar los cargos no reconocidos y simplificación de los procesos. Tecnologías como la de Adyen permitirán a los negocios ofrecer tecnología a sus compradores y hacer integraciones que harán más sencillos los procesos de cobro, el ingreso de distintos métodos de pago además de las tarjetas bancarias, todo gracias a la información que se tiene a la mano en estas nuevas redes de pago.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i w:val="1"/>
          <w:rtl w:val="0"/>
        </w:rPr>
        <w:t xml:space="preserve">“La apertura del mercado a nuevas tecnologías de procesamiento es muy clara con las autorizaciones que se otorgaron desde el Banco Central recientemente a MasterCard y Visa para operar en este mercado. Se trata de nuevos modelos operativos para que los emisores y comercios operen bajo las reglas de esas nuevas redes, que están diseñadas para beneficiar a todo el ecosistema, tanto para la parte emisora, como a la adquirente y sus comercios, poniendo en el centro de la ecuación al tarjetahabiente. Son redes de pago que atienden las necesidades de un consumidor digital global, y ese es un gran referente que podemos tener en cuanto a tecnología que puede llevar al comercio electrónico de México a otro nivel”</w:t>
      </w:r>
      <w:r w:rsidDel="00000000" w:rsidR="00000000" w:rsidRPr="00000000">
        <w:rPr>
          <w:rtl w:val="0"/>
        </w:rPr>
        <w:t xml:space="preserve">, indicó Erick McKinney Country Manager de Adyen.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 # #</w:t>
      </w:r>
      <w:r w:rsidDel="00000000" w:rsidR="00000000" w:rsidRPr="00000000">
        <w:rPr>
          <w:rtl w:val="0"/>
        </w:rPr>
      </w:r>
    </w:p>
    <w:p w:rsidR="00000000" w:rsidDel="00000000" w:rsidP="00000000" w:rsidRDefault="00000000" w:rsidRPr="00000000" w14:paraId="0000001E">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20">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21">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2">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3">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5">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6">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6">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7">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7">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8">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9">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A">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B">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2C">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2D">
      <w:pPr>
        <w:spacing w:line="276" w:lineRule="auto"/>
        <w:jc w:val="both"/>
        <w:rPr/>
      </w:pPr>
      <w:hyperlink r:id="rId9">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alvador.sanchez@another.co" TargetMode="External"/><Relationship Id="rId5" Type="http://schemas.openxmlformats.org/officeDocument/2006/relationships/styles" Target="styles.xml"/><Relationship Id="rId6" Type="http://schemas.openxmlformats.org/officeDocument/2006/relationships/hyperlink" Target="https://www.facebook.com/AdyenPayments/" TargetMode="External"/><Relationship Id="rId7" Type="http://schemas.openxmlformats.org/officeDocument/2006/relationships/hyperlink" Target="https://twitter.com/Adyen" TargetMode="External"/><Relationship Id="rId8" Type="http://schemas.openxmlformats.org/officeDocument/2006/relationships/hyperlink" Target="https://www.linkedin.com/company/ady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