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Tecnología, llave para estimular el crecimiento </w:t>
        <w:br w:type="textWrapping"/>
        <w:t xml:space="preserve">del sector mexicano de los juegos de azar</w:t>
      </w:r>
    </w:p>
    <w:p w:rsidR="00000000" w:rsidDel="00000000" w:rsidP="00000000" w:rsidRDefault="00000000" w:rsidRPr="00000000" w14:paraId="00000003">
      <w:pPr>
        <w:ind w:left="720" w:firstLine="0"/>
        <w:jc w:val="left"/>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México empieza la carrera para ser el rey latinoamericano de las apuestas en línea desde</w:t>
      </w:r>
      <w:r w:rsidDel="00000000" w:rsidR="00000000" w:rsidRPr="00000000">
        <w:rPr>
          <w:rFonts w:ascii="Open Sans" w:cs="Open Sans" w:eastAsia="Open Sans" w:hAnsi="Open Sans"/>
          <w:i w:val="1"/>
          <w:sz w:val="20"/>
          <w:szCs w:val="20"/>
          <w:rtl w:val="0"/>
        </w:rPr>
        <w:t xml:space="preserve"> una inversión prudente e inteligente en tecnología</w:t>
      </w:r>
      <w:r w:rsidDel="00000000" w:rsidR="00000000" w:rsidRPr="00000000">
        <w:rPr>
          <w:rFonts w:ascii="Open Sans" w:cs="Open Sans" w:eastAsia="Open Sans" w:hAnsi="Open Sans"/>
          <w:i w:val="1"/>
          <w:sz w:val="20"/>
          <w:szCs w:val="20"/>
          <w:rtl w:val="0"/>
        </w:rPr>
        <w:t xml:space="preserve">. </w:t>
      </w:r>
      <w:r w:rsidDel="00000000" w:rsidR="00000000" w:rsidRPr="00000000">
        <w:rPr>
          <w:rtl w:val="0"/>
        </w:rPr>
      </w:r>
    </w:p>
    <w:p w:rsidR="00000000" w:rsidDel="00000000" w:rsidP="00000000" w:rsidRDefault="00000000" w:rsidRPr="00000000" w14:paraId="00000005">
      <w:pPr>
        <w:numPr>
          <w:ilvl w:val="0"/>
          <w:numId w:val="2"/>
        </w:numPr>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Las ganancias del país por concepto de </w:t>
      </w:r>
      <w:r w:rsidDel="00000000" w:rsidR="00000000" w:rsidRPr="00000000">
        <w:rPr>
          <w:rFonts w:ascii="Open Sans" w:cs="Open Sans" w:eastAsia="Open Sans" w:hAnsi="Open Sans"/>
          <w:sz w:val="20"/>
          <w:szCs w:val="20"/>
          <w:rtl w:val="0"/>
        </w:rPr>
        <w:t xml:space="preserve">gambling</w:t>
      </w:r>
      <w:r w:rsidDel="00000000" w:rsidR="00000000" w:rsidRPr="00000000">
        <w:rPr>
          <w:rFonts w:ascii="Open Sans" w:cs="Open Sans" w:eastAsia="Open Sans" w:hAnsi="Open Sans"/>
          <w:i w:val="1"/>
          <w:sz w:val="20"/>
          <w:szCs w:val="20"/>
          <w:rtl w:val="0"/>
        </w:rPr>
        <w:t xml:space="preserve"> en línea ascienden a 450 millones de dólares. </w:t>
      </w:r>
      <w:r w:rsidDel="00000000" w:rsidR="00000000" w:rsidRPr="00000000">
        <w:rPr>
          <w:rtl w:val="0"/>
        </w:rPr>
      </w:r>
    </w:p>
    <w:p w:rsidR="00000000" w:rsidDel="00000000" w:rsidP="00000000" w:rsidRDefault="00000000" w:rsidRPr="00000000" w14:paraId="00000006">
      <w:pPr>
        <w:ind w:left="720" w:firstLine="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Ciudad de México, 24 de febrero de 2021.- </w:t>
      </w:r>
      <w:r w:rsidDel="00000000" w:rsidR="00000000" w:rsidRPr="00000000">
        <w:rPr>
          <w:rFonts w:ascii="Open Sans" w:cs="Open Sans" w:eastAsia="Open Sans" w:hAnsi="Open Sans"/>
          <w:sz w:val="20"/>
          <w:szCs w:val="20"/>
          <w:rtl w:val="0"/>
        </w:rPr>
        <w:t xml:space="preserve">El </w:t>
      </w:r>
      <w:r w:rsidDel="00000000" w:rsidR="00000000" w:rsidRPr="00000000">
        <w:rPr>
          <w:rFonts w:ascii="Open Sans" w:cs="Open Sans" w:eastAsia="Open Sans" w:hAnsi="Open Sans"/>
          <w:b w:val="1"/>
          <w:sz w:val="20"/>
          <w:szCs w:val="20"/>
          <w:rtl w:val="0"/>
        </w:rPr>
        <w:t xml:space="preserve">valor</w:t>
      </w:r>
      <w:r w:rsidDel="00000000" w:rsidR="00000000" w:rsidRPr="00000000">
        <w:rPr>
          <w:rFonts w:ascii="Open Sans" w:cs="Open Sans" w:eastAsia="Open Sans" w:hAnsi="Open Sans"/>
          <w:b w:val="1"/>
          <w:sz w:val="20"/>
          <w:szCs w:val="20"/>
          <w:rtl w:val="0"/>
        </w:rPr>
        <w:t xml:space="preserve"> mundial de los juegos de azar en línea se expande rápidamente</w:t>
      </w: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sz w:val="20"/>
          <w:szCs w:val="20"/>
          <w:rtl w:val="0"/>
        </w:rPr>
        <w:t xml:space="preserve"> pasó de </w:t>
      </w:r>
      <w:hyperlink r:id="rId6">
        <w:r w:rsidDel="00000000" w:rsidR="00000000" w:rsidRPr="00000000">
          <w:rPr>
            <w:rFonts w:ascii="Open Sans" w:cs="Open Sans" w:eastAsia="Open Sans" w:hAnsi="Open Sans"/>
            <w:b w:val="1"/>
            <w:color w:val="1155cc"/>
            <w:sz w:val="20"/>
            <w:szCs w:val="20"/>
            <w:u w:val="single"/>
            <w:rtl w:val="0"/>
          </w:rPr>
          <w:t xml:space="preserve">53.7 mil millones de dólares en 2019</w:t>
        </w:r>
      </w:hyperlink>
      <w:r w:rsidDel="00000000" w:rsidR="00000000" w:rsidRPr="00000000">
        <w:rPr>
          <w:rFonts w:ascii="Open Sans" w:cs="Open Sans" w:eastAsia="Open Sans" w:hAnsi="Open Sans"/>
          <w:sz w:val="20"/>
          <w:szCs w:val="20"/>
          <w:rtl w:val="0"/>
        </w:rPr>
        <w:t xml:space="preserve"> (números de la consultora Grand View Research) a </w:t>
      </w:r>
      <w:hyperlink r:id="rId7">
        <w:r w:rsidDel="00000000" w:rsidR="00000000" w:rsidRPr="00000000">
          <w:rPr>
            <w:rFonts w:ascii="Open Sans" w:cs="Open Sans" w:eastAsia="Open Sans" w:hAnsi="Open Sans"/>
            <w:b w:val="1"/>
            <w:color w:val="1155cc"/>
            <w:sz w:val="20"/>
            <w:szCs w:val="20"/>
            <w:u w:val="single"/>
            <w:rtl w:val="0"/>
          </w:rPr>
          <w:t xml:space="preserve">66.7 mmdd al cierre de 2020</w:t>
        </w:r>
      </w:hyperlink>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sz w:val="20"/>
          <w:szCs w:val="20"/>
          <w:rtl w:val="0"/>
        </w:rPr>
        <w:t xml:space="preserve"> de acuerdo a Global Market Insights, firma de investigación de mercado; un incremento aproximado de más del 20% de un año para otro. </w:t>
      </w:r>
    </w:p>
    <w:p w:rsidR="00000000" w:rsidDel="00000000" w:rsidP="00000000" w:rsidRDefault="00000000" w:rsidRPr="00000000" w14:paraId="0000000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Ambos</w:t>
      </w:r>
      <w:r w:rsidDel="00000000" w:rsidR="00000000" w:rsidRPr="00000000">
        <w:rPr>
          <w:rFonts w:ascii="Open Sans" w:cs="Open Sans" w:eastAsia="Open Sans" w:hAnsi="Open Sans"/>
          <w:sz w:val="20"/>
          <w:szCs w:val="20"/>
          <w:rtl w:val="0"/>
        </w:rPr>
        <w:t xml:space="preserve"> estudios citan </w:t>
      </w:r>
      <w:r w:rsidDel="00000000" w:rsidR="00000000" w:rsidRPr="00000000">
        <w:rPr>
          <w:rFonts w:ascii="Open Sans" w:cs="Open Sans" w:eastAsia="Open Sans" w:hAnsi="Open Sans"/>
          <w:b w:val="1"/>
          <w:sz w:val="20"/>
          <w:szCs w:val="20"/>
          <w:rtl w:val="0"/>
        </w:rPr>
        <w:t xml:space="preserve">varios factores que contribuyeron al crecimiento de los casinos en línea en todo el planeta,</w:t>
      </w:r>
      <w:r w:rsidDel="00000000" w:rsidR="00000000" w:rsidRPr="00000000">
        <w:rPr>
          <w:rFonts w:ascii="Open Sans" w:cs="Open Sans" w:eastAsia="Open Sans" w:hAnsi="Open Sans"/>
          <w:sz w:val="20"/>
          <w:szCs w:val="20"/>
          <w:rtl w:val="0"/>
        </w:rPr>
        <w:t xml:space="preserve"> como mayor confianza de los usuarios a los sitios </w:t>
      </w:r>
      <w:r w:rsidDel="00000000" w:rsidR="00000000" w:rsidRPr="00000000">
        <w:rPr>
          <w:rFonts w:ascii="Open Sans" w:cs="Open Sans" w:eastAsia="Open Sans" w:hAnsi="Open Sans"/>
          <w:i w:val="1"/>
          <w:sz w:val="20"/>
          <w:szCs w:val="20"/>
          <w:rtl w:val="0"/>
        </w:rPr>
        <w:t xml:space="preserve">online</w:t>
      </w:r>
      <w:r w:rsidDel="00000000" w:rsidR="00000000" w:rsidRPr="00000000">
        <w:rPr>
          <w:rFonts w:ascii="Open Sans" w:cs="Open Sans" w:eastAsia="Open Sans" w:hAnsi="Open Sans"/>
          <w:sz w:val="20"/>
          <w:szCs w:val="20"/>
          <w:rtl w:val="0"/>
        </w:rPr>
        <w:t xml:space="preserve">, la digitalización, y el acceso a dispositivos móviles, pero ninguna tan importante como el </w:t>
      </w:r>
      <w:r w:rsidDel="00000000" w:rsidR="00000000" w:rsidRPr="00000000">
        <w:rPr>
          <w:rFonts w:ascii="Open Sans" w:cs="Open Sans" w:eastAsia="Open Sans" w:hAnsi="Open Sans"/>
          <w:b w:val="1"/>
          <w:sz w:val="20"/>
          <w:szCs w:val="20"/>
          <w:rtl w:val="0"/>
        </w:rPr>
        <w:t xml:space="preserve">grado de adaptación tecnológica</w:t>
      </w:r>
      <w:r w:rsidDel="00000000" w:rsidR="00000000" w:rsidRPr="00000000">
        <w:rPr>
          <w:rFonts w:ascii="Open Sans" w:cs="Open Sans" w:eastAsia="Open Sans" w:hAnsi="Open Sans"/>
          <w:sz w:val="20"/>
          <w:szCs w:val="20"/>
          <w:rtl w:val="0"/>
        </w:rPr>
        <w:t xml:space="preserve"> con la que las empresas del ramo maduran.</w:t>
      </w:r>
    </w:p>
    <w:p w:rsidR="00000000" w:rsidDel="00000000" w:rsidP="00000000" w:rsidRDefault="00000000" w:rsidRPr="00000000" w14:paraId="0000000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Tecnología, motor del cambio </w:t>
      </w:r>
    </w:p>
    <w:p w:rsidR="00000000" w:rsidDel="00000000" w:rsidP="00000000" w:rsidRDefault="00000000" w:rsidRPr="00000000" w14:paraId="0000000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 el artículo </w:t>
      </w:r>
      <w:hyperlink r:id="rId8">
        <w:r w:rsidDel="00000000" w:rsidR="00000000" w:rsidRPr="00000000">
          <w:rPr>
            <w:rFonts w:ascii="Open Sans" w:cs="Open Sans" w:eastAsia="Open Sans" w:hAnsi="Open Sans"/>
            <w:color w:val="1155cc"/>
            <w:sz w:val="20"/>
            <w:szCs w:val="20"/>
            <w:u w:val="single"/>
            <w:rtl w:val="0"/>
          </w:rPr>
          <w:t xml:space="preserve">Latin America: The Land of Sleeping Giants</w:t>
        </w:r>
      </w:hyperlink>
      <w:r w:rsidDel="00000000" w:rsidR="00000000" w:rsidRPr="00000000">
        <w:rPr>
          <w:rFonts w:ascii="Open Sans" w:cs="Open Sans" w:eastAsia="Open Sans" w:hAnsi="Open Sans"/>
          <w:sz w:val="20"/>
          <w:szCs w:val="20"/>
          <w:rtl w:val="0"/>
        </w:rPr>
        <w:t xml:space="preserve"> de la Academia Slotegrator, organización especialista en la industria del </w:t>
      </w:r>
      <w:r w:rsidDel="00000000" w:rsidR="00000000" w:rsidRPr="00000000">
        <w:rPr>
          <w:rFonts w:ascii="Open Sans" w:cs="Open Sans" w:eastAsia="Open Sans" w:hAnsi="Open Sans"/>
          <w:i w:val="1"/>
          <w:sz w:val="20"/>
          <w:szCs w:val="20"/>
          <w:rtl w:val="0"/>
        </w:rPr>
        <w:t xml:space="preserve">gambling</w:t>
      </w:r>
      <w:r w:rsidDel="00000000" w:rsidR="00000000" w:rsidRPr="00000000">
        <w:rPr>
          <w:rFonts w:ascii="Open Sans" w:cs="Open Sans" w:eastAsia="Open Sans" w:hAnsi="Open Sans"/>
          <w:sz w:val="20"/>
          <w:szCs w:val="20"/>
          <w:rtl w:val="0"/>
        </w:rPr>
        <w:t xml:space="preserve">, se dio a conocer que los</w:t>
      </w:r>
      <w:r w:rsidDel="00000000" w:rsidR="00000000" w:rsidRPr="00000000">
        <w:rPr>
          <w:rFonts w:ascii="Open Sans" w:cs="Open Sans" w:eastAsia="Open Sans" w:hAnsi="Open Sans"/>
          <w:b w:val="1"/>
          <w:sz w:val="20"/>
          <w:szCs w:val="20"/>
          <w:rtl w:val="0"/>
        </w:rPr>
        <w:t xml:space="preserve"> ingresos del juego en línea en México ascienden a 450 millones de dólares</w:t>
      </w:r>
      <w:r w:rsidDel="00000000" w:rsidR="00000000" w:rsidRPr="00000000">
        <w:rPr>
          <w:rFonts w:ascii="Open Sans" w:cs="Open Sans" w:eastAsia="Open Sans" w:hAnsi="Open Sans"/>
          <w:sz w:val="20"/>
          <w:szCs w:val="20"/>
          <w:rtl w:val="0"/>
        </w:rPr>
        <w:t xml:space="preserve">, l</w:t>
      </w:r>
      <w:r w:rsidDel="00000000" w:rsidR="00000000" w:rsidRPr="00000000">
        <w:rPr>
          <w:rFonts w:ascii="Open Sans" w:cs="Open Sans" w:eastAsia="Open Sans" w:hAnsi="Open Sans"/>
          <w:sz w:val="20"/>
          <w:szCs w:val="20"/>
          <w:rtl w:val="0"/>
        </w:rPr>
        <w:t xml:space="preserve">o que posiciona al país a nivel LATAM por detrás de Argentina, con 2,400 mdd, y Brasil, que sólo en apuestas deportivas genera mil millones.  </w:t>
      </w:r>
    </w:p>
    <w:p w:rsidR="00000000" w:rsidDel="00000000" w:rsidP="00000000" w:rsidRDefault="00000000" w:rsidRPr="00000000" w14:paraId="0000000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Hay distintas condiciones favorables que proyectan a la región con niveles sorprendentes de crecimiento en el futuro y la tecnología es una de ellas: la </w:t>
      </w:r>
      <w:r w:rsidDel="00000000" w:rsidR="00000000" w:rsidRPr="00000000">
        <w:rPr>
          <w:rFonts w:ascii="Open Sans" w:cs="Open Sans" w:eastAsia="Open Sans" w:hAnsi="Open Sans"/>
          <w:b w:val="1"/>
          <w:sz w:val="20"/>
          <w:szCs w:val="20"/>
          <w:rtl w:val="0"/>
        </w:rPr>
        <w:t xml:space="preserve">realidad virtual, la aceptación de criptomonedas y ciberseguridad de reconocimiento facial son algunas de las novedades del </w:t>
      </w:r>
      <w:r w:rsidDel="00000000" w:rsidR="00000000" w:rsidRPr="00000000">
        <w:rPr>
          <w:rFonts w:ascii="Open Sans" w:cs="Open Sans" w:eastAsia="Open Sans" w:hAnsi="Open Sans"/>
          <w:b w:val="1"/>
          <w:i w:val="1"/>
          <w:sz w:val="20"/>
          <w:szCs w:val="20"/>
          <w:rtl w:val="0"/>
        </w:rPr>
        <w:t xml:space="preserve">gambling</w:t>
      </w:r>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b w:val="1"/>
          <w:sz w:val="20"/>
          <w:szCs w:val="20"/>
          <w:rtl w:val="0"/>
        </w:rPr>
        <w:t xml:space="preserve">implementadas </w:t>
      </w:r>
      <w:r w:rsidDel="00000000" w:rsidR="00000000" w:rsidRPr="00000000">
        <w:rPr>
          <w:rFonts w:ascii="Open Sans" w:cs="Open Sans" w:eastAsia="Open Sans" w:hAnsi="Open Sans"/>
          <w:sz w:val="20"/>
          <w:szCs w:val="20"/>
          <w:rtl w:val="0"/>
        </w:rPr>
        <w:t xml:space="preserve">e</w:t>
      </w:r>
      <w:r w:rsidDel="00000000" w:rsidR="00000000" w:rsidRPr="00000000">
        <w:rPr>
          <w:rFonts w:ascii="Open Sans" w:cs="Open Sans" w:eastAsia="Open Sans" w:hAnsi="Open Sans"/>
          <w:sz w:val="20"/>
          <w:szCs w:val="20"/>
          <w:rtl w:val="0"/>
        </w:rPr>
        <w:t xml:space="preserve">n distintos países con resultados mixtos. </w:t>
      </w:r>
    </w:p>
    <w:p w:rsidR="00000000" w:rsidDel="00000000" w:rsidP="00000000" w:rsidRDefault="00000000" w:rsidRPr="00000000" w14:paraId="0000001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Lenin Castillo, director de Operaciones en línea de Logrand Entertainment Group, señala que en el país y el resto de LATAM habría que </w:t>
      </w:r>
      <w:r w:rsidDel="00000000" w:rsidR="00000000" w:rsidRPr="00000000">
        <w:rPr>
          <w:rFonts w:ascii="Open Sans" w:cs="Open Sans" w:eastAsia="Open Sans" w:hAnsi="Open Sans"/>
          <w:b w:val="1"/>
          <w:sz w:val="20"/>
          <w:szCs w:val="20"/>
          <w:rtl w:val="0"/>
        </w:rPr>
        <w:t xml:space="preserve">enfocar la inversión en herramientas que contribuyan a garantizar la efectividad de las tendencias tecnológicas</w:t>
      </w:r>
      <w:r w:rsidDel="00000000" w:rsidR="00000000" w:rsidRPr="00000000">
        <w:rPr>
          <w:rFonts w:ascii="Open Sans" w:cs="Open Sans" w:eastAsia="Open Sans" w:hAnsi="Open Sans"/>
          <w:sz w:val="20"/>
          <w:szCs w:val="20"/>
          <w:rtl w:val="0"/>
        </w:rPr>
        <w:t xml:space="preserve"> en el sector del juego. </w:t>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“Los que operamos en la industria del entretenimiento en línea debemos garantizar al usuario una experiencia satisfactoria y una  sana actividad lúdica al usuario.  Por ello nuestra inversión estratégica está enfocada en reforzar las herramientas tecnológicas que contribuyan a este fin”</w:t>
      </w:r>
      <w:r w:rsidDel="00000000" w:rsidR="00000000" w:rsidRPr="00000000">
        <w:rPr>
          <w:rFonts w:ascii="Open Sans" w:cs="Open Sans" w:eastAsia="Open Sans" w:hAnsi="Open Sans"/>
          <w:sz w:val="20"/>
          <w:szCs w:val="20"/>
          <w:rtl w:val="0"/>
        </w:rPr>
        <w:t xml:space="preserve">, agregó Castillo, </w:t>
      </w:r>
      <w:r w:rsidDel="00000000" w:rsidR="00000000" w:rsidRPr="00000000">
        <w:rPr>
          <w:rFonts w:ascii="Open Sans" w:cs="Open Sans" w:eastAsia="Open Sans" w:hAnsi="Open Sans"/>
          <w:sz w:val="20"/>
          <w:szCs w:val="20"/>
          <w:rtl w:val="0"/>
        </w:rPr>
        <w:t xml:space="preserve">responsable de la Unidad de negocio interactivo de Strendus</w:t>
      </w:r>
      <w:r w:rsidDel="00000000" w:rsidR="00000000" w:rsidRPr="00000000">
        <w:rPr>
          <w:rFonts w:ascii="Open Sans" w:cs="Open Sans" w:eastAsia="Open Sans" w:hAnsi="Open Sans"/>
          <w:sz w:val="20"/>
          <w:szCs w:val="20"/>
          <w:rtl w:val="0"/>
        </w:rPr>
        <w:t xml:space="preserve">, la plataforma de entretenimiento en línea más segura y confiable de México.</w:t>
      </w: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Alcanzar la punta latinoamericana </w:t>
      </w:r>
    </w:p>
    <w:p w:rsidR="00000000" w:rsidDel="00000000" w:rsidP="00000000" w:rsidRDefault="00000000" w:rsidRPr="00000000" w14:paraId="00000016">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Lenin Castillo aconseja implementar </w:t>
      </w:r>
      <w:r w:rsidDel="00000000" w:rsidR="00000000" w:rsidRPr="00000000">
        <w:rPr>
          <w:rFonts w:ascii="Open Sans" w:cs="Open Sans" w:eastAsia="Open Sans" w:hAnsi="Open Sans"/>
          <w:b w:val="1"/>
          <w:sz w:val="20"/>
          <w:szCs w:val="20"/>
          <w:rtl w:val="0"/>
        </w:rPr>
        <w:t xml:space="preserve">financiación inteligente de tecnología en tres ejes: </w:t>
      </w:r>
    </w:p>
    <w:p w:rsidR="00000000" w:rsidDel="00000000" w:rsidP="00000000" w:rsidRDefault="00000000" w:rsidRPr="00000000" w14:paraId="00000018">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Métodos de pago</w:t>
      </w:r>
    </w:p>
    <w:p w:rsidR="00000000" w:rsidDel="00000000" w:rsidP="00000000" w:rsidRDefault="00000000" w:rsidRPr="00000000" w14:paraId="0000001A">
      <w:pPr>
        <w:numPr>
          <w:ilvl w:val="0"/>
          <w:numId w:val="1"/>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Seguridad electrónica</w:t>
      </w:r>
      <w:r w:rsidDel="00000000" w:rsidR="00000000" w:rsidRPr="00000000">
        <w:rPr>
          <w:rFonts w:ascii="Open Sans" w:cs="Open Sans" w:eastAsia="Open Sans" w:hAnsi="Open Sans"/>
          <w:sz w:val="20"/>
          <w:szCs w:val="20"/>
          <w:rtl w:val="0"/>
        </w:rPr>
        <w:t xml:space="preserve"> (lo que también comprende certificaciones y encriptamiento de datos)</w:t>
      </w:r>
      <w:r w:rsidDel="00000000" w:rsidR="00000000" w:rsidRPr="00000000">
        <w:rPr>
          <w:rtl w:val="0"/>
        </w:rPr>
      </w:r>
    </w:p>
    <w:p w:rsidR="00000000" w:rsidDel="00000000" w:rsidP="00000000" w:rsidRDefault="00000000" w:rsidRPr="00000000" w14:paraId="0000001B">
      <w:pPr>
        <w:numPr>
          <w:ilvl w:val="0"/>
          <w:numId w:val="1"/>
        </w:numPr>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b w:val="1"/>
          <w:i w:val="1"/>
          <w:sz w:val="20"/>
          <w:szCs w:val="20"/>
          <w:rtl w:val="0"/>
        </w:rPr>
        <w:t xml:space="preserve">S</w:t>
      </w:r>
      <w:r w:rsidDel="00000000" w:rsidR="00000000" w:rsidRPr="00000000">
        <w:rPr>
          <w:rFonts w:ascii="Open Sans" w:cs="Open Sans" w:eastAsia="Open Sans" w:hAnsi="Open Sans"/>
          <w:b w:val="1"/>
          <w:i w:val="1"/>
          <w:sz w:val="20"/>
          <w:szCs w:val="20"/>
          <w:rtl w:val="0"/>
        </w:rPr>
        <w:t xml:space="preserve">oftware</w:t>
      </w:r>
      <w:r w:rsidDel="00000000" w:rsidR="00000000" w:rsidRPr="00000000">
        <w:rPr>
          <w:rFonts w:ascii="Open Sans" w:cs="Open Sans" w:eastAsia="Open Sans" w:hAnsi="Open Sans"/>
          <w:b w:val="1"/>
          <w:sz w:val="20"/>
          <w:szCs w:val="20"/>
          <w:rtl w:val="0"/>
        </w:rPr>
        <w:t xml:space="preserve"> interactivo</w:t>
      </w:r>
      <w:r w:rsidDel="00000000" w:rsidR="00000000" w:rsidRPr="00000000">
        <w:rPr>
          <w:rFonts w:ascii="Open Sans" w:cs="Open Sans" w:eastAsia="Open Sans" w:hAnsi="Open Sans"/>
          <w:sz w:val="20"/>
          <w:szCs w:val="20"/>
          <w:rtl w:val="0"/>
        </w:rPr>
        <w:t xml:space="preserve"> que amplíe el catálogo de títulos</w:t>
      </w:r>
    </w:p>
    <w:p w:rsidR="00000000" w:rsidDel="00000000" w:rsidP="00000000" w:rsidRDefault="00000000" w:rsidRPr="00000000" w14:paraId="0000001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Destaca que en Strendus las transacciones son auditadas por Price Waterhouse Cooper, una de las firmas de consultoría de las Big Four.  La información y datos sensibles se gestionan desde el Data Center de Alestra y cada año crece su portafolio de alianzas estratégicas con los principales proveedores de juegos de la industria. Asimismo, se brindan diversas alternativas de pago que van desde las tradicionales tarjetas bancarias, hasta depósitos en establecimientos comerciales. </w:t>
      </w:r>
    </w:p>
    <w:p w:rsidR="00000000" w:rsidDel="00000000" w:rsidP="00000000" w:rsidRDefault="00000000" w:rsidRPr="00000000" w14:paraId="0000001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“El impulsar a Strendus como un sitio confiable para nuestros usuarios y con una amplia oferta de entretenimiento, que continuamente está actualizada por nuestros proveedores internacionales, nos ha mantenido como uno de los  líderes en el país”, agregó el directivo.   </w:t>
      </w:r>
    </w:p>
    <w:p w:rsidR="00000000" w:rsidDel="00000000" w:rsidP="00000000" w:rsidRDefault="00000000" w:rsidRPr="00000000" w14:paraId="00000020">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Un mercado pionero en innovación</w:t>
      </w:r>
    </w:p>
    <w:p w:rsidR="00000000" w:rsidDel="00000000" w:rsidP="00000000" w:rsidRDefault="00000000" w:rsidRPr="00000000" w14:paraId="00000022">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Incluso en sus primeros pasos, el negocio de los casinos digitales no dudó en abrazar la era digital: en los 90, mucho antes que otros giros pensaran siquiera en digitalizarse, ya existían sitios en internet que permitían realizar apuestas de manera legal. En la actualidad, el </w:t>
      </w:r>
      <w:r w:rsidDel="00000000" w:rsidR="00000000" w:rsidRPr="00000000">
        <w:rPr>
          <w:rFonts w:ascii="Open Sans" w:cs="Open Sans" w:eastAsia="Open Sans" w:hAnsi="Open Sans"/>
          <w:i w:val="1"/>
          <w:sz w:val="20"/>
          <w:szCs w:val="20"/>
          <w:rtl w:val="0"/>
        </w:rPr>
        <w:t xml:space="preserve">smartphone</w:t>
      </w:r>
      <w:r w:rsidDel="00000000" w:rsidR="00000000" w:rsidRPr="00000000">
        <w:rPr>
          <w:rFonts w:ascii="Open Sans" w:cs="Open Sans" w:eastAsia="Open Sans" w:hAnsi="Open Sans"/>
          <w:sz w:val="20"/>
          <w:szCs w:val="20"/>
          <w:rtl w:val="0"/>
        </w:rPr>
        <w:t xml:space="preserve"> puso los juegos favoritos de los usuarios a su alcance. </w:t>
      </w:r>
    </w:p>
    <w:p w:rsidR="00000000" w:rsidDel="00000000" w:rsidP="00000000" w:rsidRDefault="00000000" w:rsidRPr="00000000" w14:paraId="0000002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Históricamente,</w:t>
      </w:r>
      <w:r w:rsidDel="00000000" w:rsidR="00000000" w:rsidRPr="00000000">
        <w:rPr>
          <w:rFonts w:ascii="Open Sans" w:cs="Open Sans" w:eastAsia="Open Sans" w:hAnsi="Open Sans"/>
          <w:sz w:val="20"/>
          <w:szCs w:val="20"/>
          <w:rtl w:val="0"/>
        </w:rPr>
        <w:t xml:space="preserve"> las casas de apuesta en línea nunca han tenido miedo en tirar los dados al invertir en la vanguardia bajo el tabulador de la moderación comercial. Por tal motivo, los operadores mexicanos deberían aprovechar continuamente la tecnología que mejor se ajuste a sus necesidades para mejorar la experiencia y satisfacción de los clientes. </w:t>
      </w:r>
    </w:p>
    <w:p w:rsidR="00000000" w:rsidDel="00000000" w:rsidP="00000000" w:rsidRDefault="00000000" w:rsidRPr="00000000" w14:paraId="0000002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Conquista el juego desde tu computadora, tablet o </w:t>
      </w:r>
      <w:r w:rsidDel="00000000" w:rsidR="00000000" w:rsidRPr="00000000">
        <w:rPr>
          <w:rFonts w:ascii="Open Sans" w:cs="Open Sans" w:eastAsia="Open Sans" w:hAnsi="Open Sans"/>
          <w:i w:val="1"/>
          <w:sz w:val="20"/>
          <w:szCs w:val="20"/>
          <w:rtl w:val="0"/>
        </w:rPr>
        <w:t xml:space="preserve">smartphone</w:t>
      </w:r>
      <w:r w:rsidDel="00000000" w:rsidR="00000000" w:rsidRPr="00000000">
        <w:rPr>
          <w:rFonts w:ascii="Open Sans" w:cs="Open Sans" w:eastAsia="Open Sans" w:hAnsi="Open Sans"/>
          <w:sz w:val="20"/>
          <w:szCs w:val="20"/>
          <w:rtl w:val="0"/>
        </w:rPr>
        <w:t xml:space="preserve"> en una de las plataformas de entretenimiento en línea más importantes y seguras del país. Descarga gratis Strendus en sistemas </w:t>
      </w:r>
      <w:hyperlink r:id="rId9">
        <w:r w:rsidDel="00000000" w:rsidR="00000000" w:rsidRPr="00000000">
          <w:rPr>
            <w:rFonts w:ascii="Open Sans" w:cs="Open Sans" w:eastAsia="Open Sans" w:hAnsi="Open Sans"/>
            <w:color w:val="0000ff"/>
            <w:sz w:val="20"/>
            <w:szCs w:val="20"/>
            <w:u w:val="single"/>
            <w:rtl w:val="0"/>
          </w:rPr>
          <w:t xml:space="preserve">IOS</w:t>
        </w:r>
      </w:hyperlink>
      <w:r w:rsidDel="00000000" w:rsidR="00000000" w:rsidRPr="00000000">
        <w:rPr>
          <w:rFonts w:ascii="Open Sans" w:cs="Open Sans" w:eastAsia="Open Sans" w:hAnsi="Open Sans"/>
          <w:sz w:val="20"/>
          <w:szCs w:val="20"/>
          <w:rtl w:val="0"/>
        </w:rPr>
        <w:t xml:space="preserve"> o </w:t>
      </w:r>
      <w:hyperlink r:id="rId10">
        <w:r w:rsidDel="00000000" w:rsidR="00000000" w:rsidRPr="00000000">
          <w:rPr>
            <w:rFonts w:ascii="Open Sans" w:cs="Open Sans" w:eastAsia="Open Sans" w:hAnsi="Open Sans"/>
            <w:color w:val="0000ff"/>
            <w:sz w:val="20"/>
            <w:szCs w:val="20"/>
            <w:u w:val="single"/>
            <w:rtl w:val="0"/>
          </w:rPr>
          <w:t xml:space="preserve">Android</w:t>
        </w:r>
      </w:hyperlink>
      <w:r w:rsidDel="00000000" w:rsidR="00000000" w:rsidRPr="00000000">
        <w:rPr>
          <w:rFonts w:ascii="Open Sans" w:cs="Open Sans" w:eastAsia="Open Sans" w:hAnsi="Open Sans"/>
          <w:sz w:val="20"/>
          <w:szCs w:val="20"/>
          <w:rtl w:val="0"/>
        </w:rPr>
        <w:t xml:space="preserve">, o visita la </w:t>
      </w:r>
      <w:hyperlink r:id="rId11">
        <w:r w:rsidDel="00000000" w:rsidR="00000000" w:rsidRPr="00000000">
          <w:rPr>
            <w:rFonts w:ascii="Open Sans" w:cs="Open Sans" w:eastAsia="Open Sans" w:hAnsi="Open Sans"/>
            <w:color w:val="0000ff"/>
            <w:sz w:val="20"/>
            <w:szCs w:val="20"/>
            <w:u w:val="single"/>
            <w:rtl w:val="0"/>
          </w:rPr>
          <w:t xml:space="preserve">página</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2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9">
      <w:pPr>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w:t>
      </w:r>
    </w:p>
    <w:p w:rsidR="00000000" w:rsidDel="00000000" w:rsidP="00000000" w:rsidRDefault="00000000" w:rsidRPr="00000000" w14:paraId="0000002C">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D">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2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la plataforma de entretenimiento en línea más segura y confiable. Con la misión de ser el líder en la creación de experiencias únicas y emocionantes que superen las expectativas de sus clientes, colaboradores y la comunidad en la industria del juego y entretenimiento, Strendus ofrece más de 4,000 juegos de las categorías de slots, video bingo, virtuals, casino, lotería y sportsbooks en un plano 100% digital y seguro.</w:t>
      </w:r>
    </w:p>
    <w:p w:rsidR="00000000" w:rsidDel="00000000" w:rsidP="00000000" w:rsidRDefault="00000000" w:rsidRPr="00000000" w14:paraId="00000030">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1">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32">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33">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12">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34">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3">
        <w:r w:rsidDel="00000000" w:rsidR="00000000" w:rsidRPr="00000000">
          <w:rPr>
            <w:rFonts w:ascii="Open Sans" w:cs="Open Sans" w:eastAsia="Open Sans" w:hAnsi="Open Sans"/>
            <w:color w:val="1155cc"/>
            <w:sz w:val="18"/>
            <w:szCs w:val="18"/>
            <w:u w:val="single"/>
            <w:rtl w:val="0"/>
          </w:rPr>
          <w:t xml:space="preserve">@StrendusMX</w:t>
        </w:r>
      </w:hyperlink>
      <w:r w:rsidDel="00000000" w:rsidR="00000000" w:rsidRPr="00000000">
        <w:rPr>
          <w:rtl w:val="0"/>
        </w:rPr>
      </w:r>
    </w:p>
    <w:p w:rsidR="00000000" w:rsidDel="00000000" w:rsidP="00000000" w:rsidRDefault="00000000" w:rsidRPr="00000000" w14:paraId="00000035">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4">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36">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Youtube: </w:t>
      </w:r>
      <w:hyperlink r:id="rId15">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37">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38">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39">
      <w:pPr>
        <w:jc w:val="both"/>
        <w:rPr>
          <w:rFonts w:ascii="Open Sans" w:cs="Open Sans" w:eastAsia="Open Sans" w:hAnsi="Open Sans"/>
          <w:sz w:val="18"/>
          <w:szCs w:val="18"/>
        </w:rPr>
      </w:pPr>
      <w:hyperlink r:id="rId16">
        <w:r w:rsidDel="00000000" w:rsidR="00000000" w:rsidRPr="00000000">
          <w:rPr>
            <w:rFonts w:ascii="Open Sans" w:cs="Open Sans" w:eastAsia="Open Sans" w:hAnsi="Open Sans"/>
            <w:color w:val="1155cc"/>
            <w:sz w:val="18"/>
            <w:szCs w:val="18"/>
            <w:u w:val="single"/>
            <w:rtl w:val="0"/>
          </w:rPr>
          <w:t xml:space="preserve">https://www.strendus.com.mx</w:t>
        </w:r>
      </w:hyperlink>
      <w:r w:rsidDel="00000000" w:rsidR="00000000" w:rsidRPr="00000000">
        <w:rPr>
          <w:rtl w:val="0"/>
        </w:rPr>
      </w:r>
    </w:p>
    <w:p w:rsidR="00000000" w:rsidDel="00000000" w:rsidP="00000000" w:rsidRDefault="00000000" w:rsidRPr="00000000" w14:paraId="0000003A">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B">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r>
    </w:p>
    <w:p w:rsidR="00000000" w:rsidDel="00000000" w:rsidP="00000000" w:rsidRDefault="00000000" w:rsidRPr="00000000" w14:paraId="0000003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Alejandro Rodríguez</w:t>
      </w:r>
      <w:r w:rsidDel="00000000" w:rsidR="00000000" w:rsidRPr="00000000">
        <w:rPr>
          <w:rtl w:val="0"/>
        </w:rPr>
      </w:r>
    </w:p>
    <w:p w:rsidR="00000000" w:rsidDel="00000000" w:rsidP="00000000" w:rsidRDefault="00000000" w:rsidRPr="00000000" w14:paraId="0000003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E">
      <w:pPr>
        <w:jc w:val="both"/>
        <w:rPr>
          <w:rFonts w:ascii="Open Sans" w:cs="Open Sans" w:eastAsia="Open Sans" w:hAnsi="Open Sans"/>
          <w:sz w:val="18"/>
          <w:szCs w:val="18"/>
        </w:rPr>
      </w:pPr>
      <w:hyperlink r:id="rId17">
        <w:r w:rsidDel="00000000" w:rsidR="00000000" w:rsidRPr="00000000">
          <w:rPr>
            <w:rFonts w:ascii="Open Sans" w:cs="Open Sans" w:eastAsia="Open Sans" w:hAnsi="Open Sans"/>
            <w:color w:val="1155cc"/>
            <w:sz w:val="18"/>
            <w:szCs w:val="18"/>
            <w:u w:val="single"/>
            <w:rtl w:val="0"/>
          </w:rPr>
          <w:t xml:space="preserve">alejandro.rodriguez@another.co</w:t>
        </w:r>
      </w:hyperlink>
      <w:r w:rsidDel="00000000" w:rsidR="00000000" w:rsidRPr="00000000">
        <w:rPr>
          <w:rtl w:val="0"/>
        </w:rPr>
      </w:r>
    </w:p>
    <w:p w:rsidR="00000000" w:rsidDel="00000000" w:rsidP="00000000" w:rsidRDefault="00000000" w:rsidRPr="00000000" w14:paraId="0000003F">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55</w:t>
      </w:r>
      <w:r w:rsidDel="00000000" w:rsidR="00000000" w:rsidRPr="00000000">
        <w:rPr>
          <w:rFonts w:ascii="Open Sans" w:cs="Open Sans" w:eastAsia="Open Sans" w:hAnsi="Open Sans"/>
          <w:sz w:val="18"/>
          <w:szCs w:val="18"/>
          <w:rtl w:val="0"/>
        </w:rPr>
        <w:t xml:space="preserve">13883330</w:t>
      </w:r>
      <w:r w:rsidDel="00000000" w:rsidR="00000000" w:rsidRPr="00000000">
        <w:rPr>
          <w:rtl w:val="0"/>
        </w:rPr>
      </w:r>
    </w:p>
    <w:p w:rsidR="00000000" w:rsidDel="00000000" w:rsidP="00000000" w:rsidRDefault="00000000" w:rsidRPr="00000000" w14:paraId="0000004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1">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Míchel Torres</w:t>
      </w:r>
    </w:p>
    <w:p w:rsidR="00000000" w:rsidDel="00000000" w:rsidP="00000000" w:rsidRDefault="00000000" w:rsidRPr="00000000" w14:paraId="00000042">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43">
      <w:pPr>
        <w:jc w:val="both"/>
        <w:rPr>
          <w:rFonts w:ascii="Open Sans" w:cs="Open Sans" w:eastAsia="Open Sans" w:hAnsi="Open Sans"/>
          <w:sz w:val="18"/>
          <w:szCs w:val="18"/>
        </w:rPr>
      </w:pPr>
      <w:hyperlink r:id="rId18">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44">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55 3085 5438</w:t>
      </w:r>
    </w:p>
    <w:sectPr>
      <w:headerReference r:id="rId19" w:type="default"/>
      <w:headerReference r:id="rId20" w:type="first"/>
      <w:footerReference r:id="rId21"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pPr>
    <w:r w:rsidDel="00000000" w:rsidR="00000000" w:rsidRPr="00000000">
      <w:rPr/>
      <w:drawing>
        <wp:inline distB="114300" distT="114300" distL="114300" distR="114300">
          <wp:extent cx="2089326" cy="1471613"/>
          <wp:effectExtent b="0" l="0" r="0" t="0"/>
          <wp:docPr id="1" name="image1.jpg"/>
          <a:graphic>
            <a:graphicData uri="http://schemas.openxmlformats.org/drawingml/2006/picture">
              <pic:pic>
                <pic:nvPicPr>
                  <pic:cNvPr id="0" name="image1.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drawing>
        <wp:inline distB="114300" distT="114300" distL="114300" distR="114300">
          <wp:extent cx="2085975" cy="1076325"/>
          <wp:effectExtent b="0" l="0" r="0" t="0"/>
          <wp:docPr descr="Ubisoft+Stacked+Logo_black.png" id="2" name="image2.jpg"/>
          <a:graphic>
            <a:graphicData uri="http://schemas.openxmlformats.org/drawingml/2006/picture">
              <pic:pic>
                <pic:nvPicPr>
                  <pic:cNvPr descr="Ubisoft+Stacked+Logo_black.png" id="0" name="image2.jpg"/>
                  <pic:cNvPicPr preferRelativeResize="0"/>
                </pic:nvPicPr>
                <pic:blipFill>
                  <a:blip r:embed="rId1"/>
                  <a:srcRect b="12903" l="4653" r="4653" t="14193"/>
                  <a:stretch>
                    <a:fillRect/>
                  </a:stretch>
                </pic:blipFill>
                <pic:spPr>
                  <a:xfrm>
                    <a:off x="0" y="0"/>
                    <a:ext cx="208597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strendus.com.mx/" TargetMode="External"/><Relationship Id="rId10" Type="http://schemas.openxmlformats.org/officeDocument/2006/relationships/hyperlink" Target="https://www.strendus.com.mx/apps-playstore/" TargetMode="External"/><Relationship Id="rId21" Type="http://schemas.openxmlformats.org/officeDocument/2006/relationships/footer" Target="footer1.xml"/><Relationship Id="rId13" Type="http://schemas.openxmlformats.org/officeDocument/2006/relationships/hyperlink" Target="https://www.facebook.com/strendusmx" TargetMode="External"/><Relationship Id="rId12" Type="http://schemas.openxmlformats.org/officeDocument/2006/relationships/hyperlink" Target="https://twitter.com/strenduso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apple.com/mx/app/strendus/id1429016886" TargetMode="External"/><Relationship Id="rId15" Type="http://schemas.openxmlformats.org/officeDocument/2006/relationships/hyperlink" Target="https://www.youtube.com/strendusoficial" TargetMode="External"/><Relationship Id="rId14" Type="http://schemas.openxmlformats.org/officeDocument/2006/relationships/hyperlink" Target="https://www.instagram.com/strendusoficial/" TargetMode="External"/><Relationship Id="rId17" Type="http://schemas.openxmlformats.org/officeDocument/2006/relationships/hyperlink" Target="mailto:alejandro.rodriguez@another.co" TargetMode="External"/><Relationship Id="rId16" Type="http://schemas.openxmlformats.org/officeDocument/2006/relationships/hyperlink" Target="https://www.strendus.com.m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grandviewresearch.com/industry-analysis/online-gambling-market" TargetMode="External"/><Relationship Id="rId18" Type="http://schemas.openxmlformats.org/officeDocument/2006/relationships/hyperlink" Target="mailto:axl.torres@another.co" TargetMode="External"/><Relationship Id="rId7" Type="http://schemas.openxmlformats.org/officeDocument/2006/relationships/hyperlink" Target="https://www.gminsights.com/industry-analysis/online-gambling-market" TargetMode="External"/><Relationship Id="rId8" Type="http://schemas.openxmlformats.org/officeDocument/2006/relationships/hyperlink" Target="https://slotegrator.pro/analytical_articles/online-gambling-in-latin-america.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