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564271" w:rsidRDefault="00EA3099" w:rsidP="00EA309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564271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564271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564271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42F36E6F" w:rsidR="00EA3099" w:rsidRPr="00344ED3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344ED3"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21</w:t>
            </w:r>
            <w:r w:rsidR="00344ED3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</w:tr>
      <w:tr w:rsidR="00EA3099" w:rsidRPr="00564271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564271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965E325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64271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456B1CEE" w:rsidR="00EA3099" w:rsidRDefault="00F27995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</w:t>
      </w:r>
      <w:r w:rsidR="00EA3099" w:rsidRPr="00564271">
        <w:rPr>
          <w:rFonts w:ascii="Verdana" w:hAnsi="Verdana"/>
          <w:sz w:val="20"/>
          <w:szCs w:val="20"/>
          <w:lang w:val="bg-BG"/>
        </w:rPr>
        <w:t>.</w:t>
      </w:r>
      <w:r w:rsidR="001F3907">
        <w:rPr>
          <w:rFonts w:ascii="Verdana" w:hAnsi="Verdana"/>
          <w:sz w:val="20"/>
          <w:szCs w:val="20"/>
          <w:lang w:val="bg-BG"/>
        </w:rPr>
        <w:t>0</w:t>
      </w:r>
      <w:r w:rsidR="00DE03F4">
        <w:rPr>
          <w:rFonts w:ascii="Verdana" w:hAnsi="Verdana"/>
          <w:sz w:val="20"/>
          <w:szCs w:val="20"/>
          <w:lang w:val="bg-BG"/>
        </w:rPr>
        <w:t>9</w:t>
      </w:r>
      <w:r w:rsidR="00EA3099" w:rsidRPr="00564271">
        <w:rPr>
          <w:rFonts w:ascii="Verdana" w:hAnsi="Verdana"/>
          <w:sz w:val="20"/>
          <w:szCs w:val="20"/>
          <w:lang w:val="bg-BG"/>
        </w:rPr>
        <w:t>.2025 г.</w:t>
      </w:r>
    </w:p>
    <w:p w14:paraId="2A897BA5" w14:textId="77777777" w:rsidR="00F27995" w:rsidRPr="00F27995" w:rsidRDefault="00F27995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16F105C" w14:textId="466042A1" w:rsidR="00F41849" w:rsidRDefault="00344ED3" w:rsidP="00833ABA">
      <w:pPr>
        <w:spacing w:before="120" w:after="120"/>
        <w:rPr>
          <w:rFonts w:ascii="Verdana" w:eastAsia="Times New Roman" w:hAnsi="Verdana" w:cs="Times New Roman"/>
          <w:b/>
          <w:bCs/>
          <w:kern w:val="36"/>
          <w:sz w:val="24"/>
          <w:szCs w:val="20"/>
          <w:lang w:val="bg-BG" w:eastAsia="bg-BG"/>
        </w:rPr>
      </w:pPr>
      <w:proofErr w:type="spellStart"/>
      <w:r w:rsidRPr="005C6079">
        <w:rPr>
          <w:rFonts w:ascii="Verdana" w:hAnsi="Verdana"/>
          <w:b/>
          <w:sz w:val="24"/>
          <w:szCs w:val="20"/>
        </w:rPr>
        <w:t>Второто</w:t>
      </w:r>
      <w:proofErr w:type="spellEnd"/>
      <w:r w:rsidRPr="005C6079">
        <w:rPr>
          <w:rFonts w:ascii="Verdana" w:hAnsi="Verdana"/>
          <w:b/>
          <w:sz w:val="24"/>
          <w:szCs w:val="20"/>
        </w:rPr>
        <w:t xml:space="preserve"> </w:t>
      </w:r>
      <w:proofErr w:type="spellStart"/>
      <w:r w:rsidRPr="005C6079">
        <w:rPr>
          <w:rFonts w:ascii="Verdana" w:hAnsi="Verdana"/>
          <w:b/>
          <w:sz w:val="24"/>
          <w:szCs w:val="20"/>
        </w:rPr>
        <w:t>издание</w:t>
      </w:r>
      <w:proofErr w:type="spellEnd"/>
      <w:r w:rsidRPr="005C6079">
        <w:rPr>
          <w:rFonts w:ascii="Verdana" w:hAnsi="Verdana"/>
          <w:b/>
          <w:sz w:val="24"/>
          <w:szCs w:val="20"/>
        </w:rPr>
        <w:t xml:space="preserve"> на A1 </w:t>
      </w:r>
      <w:proofErr w:type="spellStart"/>
      <w:r w:rsidRPr="005C6079">
        <w:rPr>
          <w:rFonts w:ascii="Verdana" w:hAnsi="Verdana"/>
          <w:b/>
          <w:sz w:val="24"/>
          <w:szCs w:val="20"/>
        </w:rPr>
        <w:t>STEMfem</w:t>
      </w:r>
      <w:proofErr w:type="spellEnd"/>
      <w:r w:rsidRPr="005C6079">
        <w:rPr>
          <w:rFonts w:ascii="Verdana" w:hAnsi="Verdana"/>
          <w:b/>
          <w:sz w:val="24"/>
          <w:szCs w:val="20"/>
        </w:rPr>
        <w:t xml:space="preserve"> Junior </w:t>
      </w:r>
      <w:proofErr w:type="spellStart"/>
      <w:r w:rsidRPr="005C6079">
        <w:rPr>
          <w:rFonts w:ascii="Verdana" w:hAnsi="Verdana"/>
          <w:b/>
          <w:sz w:val="24"/>
          <w:szCs w:val="20"/>
        </w:rPr>
        <w:t>завърши</w:t>
      </w:r>
      <w:proofErr w:type="spellEnd"/>
      <w:r w:rsidRPr="005C6079">
        <w:rPr>
          <w:rFonts w:ascii="Verdana" w:hAnsi="Verdana"/>
          <w:b/>
          <w:sz w:val="24"/>
          <w:szCs w:val="20"/>
        </w:rPr>
        <w:t xml:space="preserve"> </w:t>
      </w:r>
      <w:proofErr w:type="spellStart"/>
      <w:r w:rsidRPr="005C6079">
        <w:rPr>
          <w:rFonts w:ascii="Verdana" w:hAnsi="Verdana"/>
          <w:b/>
          <w:sz w:val="24"/>
          <w:szCs w:val="20"/>
        </w:rPr>
        <w:t>успешно</w:t>
      </w:r>
      <w:proofErr w:type="spellEnd"/>
      <w:r w:rsidRPr="005C6079">
        <w:rPr>
          <w:rFonts w:ascii="Verdana" w:hAnsi="Verdana"/>
          <w:b/>
          <w:sz w:val="24"/>
          <w:szCs w:val="20"/>
        </w:rPr>
        <w:t xml:space="preserve"> с 45 </w:t>
      </w:r>
      <w:proofErr w:type="spellStart"/>
      <w:r w:rsidRPr="005C6079">
        <w:rPr>
          <w:rFonts w:ascii="Verdana" w:hAnsi="Verdana"/>
          <w:b/>
          <w:sz w:val="24"/>
          <w:szCs w:val="20"/>
        </w:rPr>
        <w:t>млади</w:t>
      </w:r>
      <w:proofErr w:type="spellEnd"/>
      <w:r w:rsidRPr="005C6079">
        <w:rPr>
          <w:rFonts w:ascii="Verdana" w:hAnsi="Verdana"/>
          <w:b/>
          <w:sz w:val="24"/>
          <w:szCs w:val="20"/>
        </w:rPr>
        <w:t xml:space="preserve"> </w:t>
      </w:r>
      <w:proofErr w:type="spellStart"/>
      <w:r w:rsidRPr="005C6079">
        <w:rPr>
          <w:rFonts w:ascii="Verdana" w:hAnsi="Verdana"/>
          <w:b/>
          <w:sz w:val="24"/>
          <w:szCs w:val="20"/>
        </w:rPr>
        <w:t>момичета</w:t>
      </w:r>
      <w:proofErr w:type="spellEnd"/>
      <w:r w:rsidRPr="005C6079">
        <w:rPr>
          <w:rFonts w:ascii="Verdana" w:hAnsi="Verdana"/>
          <w:b/>
          <w:sz w:val="24"/>
          <w:szCs w:val="20"/>
        </w:rPr>
        <w:t xml:space="preserve"> </w:t>
      </w:r>
      <w:r w:rsidRPr="005C6079">
        <w:rPr>
          <w:rFonts w:ascii="Verdana" w:eastAsia="Times New Roman" w:hAnsi="Verdana" w:cs="Times New Roman"/>
          <w:b/>
          <w:bCs/>
          <w:kern w:val="36"/>
          <w:sz w:val="24"/>
          <w:szCs w:val="20"/>
          <w:lang w:eastAsia="bg-BG"/>
        </w:rPr>
        <w:t xml:space="preserve">и </w:t>
      </w:r>
      <w:r w:rsidR="005072A4">
        <w:rPr>
          <w:rFonts w:ascii="Verdana" w:eastAsia="Times New Roman" w:hAnsi="Verdana" w:cs="Times New Roman"/>
          <w:b/>
          <w:bCs/>
          <w:kern w:val="36"/>
          <w:sz w:val="24"/>
          <w:szCs w:val="20"/>
          <w:lang w:val="bg-BG" w:eastAsia="bg-BG"/>
        </w:rPr>
        <w:t xml:space="preserve">подкрепата на </w:t>
      </w:r>
      <w:proofErr w:type="spellStart"/>
      <w:r w:rsidRPr="005C6079">
        <w:rPr>
          <w:rFonts w:ascii="Verdana" w:eastAsia="Times New Roman" w:hAnsi="Verdana" w:cs="Times New Roman"/>
          <w:b/>
          <w:bCs/>
          <w:kern w:val="36"/>
          <w:sz w:val="24"/>
          <w:szCs w:val="20"/>
          <w:lang w:eastAsia="bg-BG"/>
        </w:rPr>
        <w:t>силна</w:t>
      </w:r>
      <w:proofErr w:type="spellEnd"/>
      <w:r w:rsidRPr="005C6079">
        <w:rPr>
          <w:rFonts w:ascii="Verdana" w:eastAsia="Times New Roman" w:hAnsi="Verdana" w:cs="Times New Roman"/>
          <w:b/>
          <w:bCs/>
          <w:kern w:val="36"/>
          <w:sz w:val="24"/>
          <w:szCs w:val="20"/>
          <w:lang w:eastAsia="bg-BG"/>
        </w:rPr>
        <w:t xml:space="preserve"> </w:t>
      </w:r>
      <w:proofErr w:type="spellStart"/>
      <w:r w:rsidRPr="005C6079">
        <w:rPr>
          <w:rFonts w:ascii="Verdana" w:eastAsia="Times New Roman" w:hAnsi="Verdana" w:cs="Times New Roman"/>
          <w:b/>
          <w:bCs/>
          <w:kern w:val="36"/>
          <w:sz w:val="24"/>
          <w:szCs w:val="20"/>
          <w:lang w:eastAsia="bg-BG"/>
        </w:rPr>
        <w:t>менторска</w:t>
      </w:r>
      <w:proofErr w:type="spellEnd"/>
      <w:r w:rsidRPr="005C6079">
        <w:rPr>
          <w:rFonts w:ascii="Verdana" w:eastAsia="Times New Roman" w:hAnsi="Verdana" w:cs="Times New Roman"/>
          <w:b/>
          <w:bCs/>
          <w:kern w:val="36"/>
          <w:sz w:val="24"/>
          <w:szCs w:val="20"/>
          <w:lang w:eastAsia="bg-BG"/>
        </w:rPr>
        <w:t xml:space="preserve"> </w:t>
      </w:r>
      <w:proofErr w:type="spellStart"/>
      <w:r w:rsidRPr="005C6079">
        <w:rPr>
          <w:rFonts w:ascii="Verdana" w:eastAsia="Times New Roman" w:hAnsi="Verdana" w:cs="Times New Roman"/>
          <w:b/>
          <w:bCs/>
          <w:kern w:val="36"/>
          <w:sz w:val="24"/>
          <w:szCs w:val="20"/>
          <w:lang w:eastAsia="bg-BG"/>
        </w:rPr>
        <w:t>общност</w:t>
      </w:r>
      <w:proofErr w:type="spellEnd"/>
    </w:p>
    <w:p w14:paraId="1DEBF6D7" w14:textId="77777777" w:rsidR="00FA5F36" w:rsidRPr="00FA5F36" w:rsidRDefault="00FA5F36" w:rsidP="00833ABA">
      <w:pPr>
        <w:spacing w:before="120" w:after="120" w:line="276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</w:pP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Програмата</w:t>
      </w:r>
      <w:proofErr w:type="spellEnd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насърчава</w:t>
      </w:r>
      <w:proofErr w:type="spellEnd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момичета</w:t>
      </w:r>
      <w:proofErr w:type="spellEnd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да </w:t>
      </w: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развиват</w:t>
      </w:r>
      <w:proofErr w:type="spellEnd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интерес</w:t>
      </w:r>
      <w:proofErr w:type="spellEnd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към</w:t>
      </w:r>
      <w:proofErr w:type="spellEnd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технологиите</w:t>
      </w:r>
      <w:proofErr w:type="spellEnd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и </w:t>
      </w: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увереност</w:t>
      </w:r>
      <w:proofErr w:type="spellEnd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за </w:t>
      </w:r>
      <w:proofErr w:type="spellStart"/>
      <w:r w:rsidRPr="00FA5F3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бъдещето</w:t>
      </w:r>
      <w:proofErr w:type="spellEnd"/>
    </w:p>
    <w:p w14:paraId="58EAAD65" w14:textId="77777777" w:rsidR="00FA5F36" w:rsidRDefault="00FA5F36" w:rsidP="00833ABA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47DD5D65" w14:textId="0126CB5D" w:rsidR="005072A4" w:rsidRPr="005072A4" w:rsidRDefault="005072A4" w:rsidP="00833ABA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Второто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издание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програмата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A1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STEMfem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Junior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приключи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тази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седмица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участието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45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ученички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10., 11. и 12.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клас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цялата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страна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В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продължение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шест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месеца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те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преминаха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през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обучения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решаваха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реални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бизнес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казуси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под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ръководството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22 </w:t>
      </w:r>
      <w:r w:rsidR="00D55B9E">
        <w:rPr>
          <w:rFonts w:ascii="Verdana" w:eastAsia="Times New Roman" w:hAnsi="Verdana" w:cs="Times New Roman"/>
          <w:sz w:val="20"/>
          <w:szCs w:val="20"/>
          <w:lang w:val="bg-BG" w:eastAsia="bg-BG"/>
        </w:rPr>
        <w:t>жени-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ментори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–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мениджъри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ключови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позиции в А1.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Програмата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им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даде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възможност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развият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професионална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увереност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да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натрупат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практически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умения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да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погледнат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към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нови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кариерни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хоризонти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Всички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участнички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получиха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сертификати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успешно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завършване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част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тях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вече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започнаха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стаж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А1.</w:t>
      </w:r>
    </w:p>
    <w:p w14:paraId="3A7AA67F" w14:textId="77777777" w:rsidR="00FA5F36" w:rsidRDefault="00352750" w:rsidP="00833ABA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През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последните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месеци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ученичките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работиха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по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индивидуални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цели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проекти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съвместно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със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своите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ментори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В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допълнение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към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практическите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задачи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те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преминаха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разнообразни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обучения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–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емоционална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интелигентност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ефективна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комуникация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до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киберсигурност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дигитален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маркетинг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работа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MS Excel.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Участничките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включиха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в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доброволческа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акция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облагородяване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учебната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среда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100 ОУ „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>Найден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Геров“.</w:t>
      </w:r>
    </w:p>
    <w:p w14:paraId="16B39824" w14:textId="5482D6E3" w:rsidR="00352750" w:rsidRPr="00352750" w:rsidRDefault="00352750" w:rsidP="00833ABA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>„</w:t>
      </w:r>
      <w:r w:rsidRPr="00352750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Гордеем се с втория випуск на A1 </w:t>
      </w:r>
      <w:proofErr w:type="spellStart"/>
      <w:r w:rsidRPr="00352750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>STEMfem</w:t>
      </w:r>
      <w:proofErr w:type="spellEnd"/>
      <w:r w:rsidRPr="00352750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>Junior</w:t>
      </w:r>
      <w:proofErr w:type="spellEnd"/>
      <w:r w:rsidRPr="00352750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>. Младите момичета показаха силна мотивация, любознателност и желание за развитие. Благодарим на 22-те мениджърки от екипа на А1, които се включиха като ментори и споделиха знания и опит. Убедена съм, че начертахме пътя на тези ученички към това да се превърнат в бъдещи лидери в технологичния свят</w:t>
      </w:r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>,“ заяви Миглена Узунова-Цекова, старши директор „Човешки ресурси“ в А1.</w:t>
      </w:r>
    </w:p>
    <w:p w14:paraId="02E06889" w14:textId="77777777" w:rsidR="00352750" w:rsidRPr="00352750" w:rsidRDefault="00352750" w:rsidP="00833ABA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>От своя страна менторите споделят, че програмата доказва как дори най-сложните теми могат да се предават по достъпен и вдъхновяващ начин и че усилията са реална инвестиция в бъдещи лидери. Самите участнички също определят опита като ценен – те оценяват практичната насоченост на обученията, възможността да работят с ментор и новите приятелства, които са изградили.</w:t>
      </w:r>
    </w:p>
    <w:p w14:paraId="14B9DBE6" w14:textId="77777777" w:rsidR="00FA5F36" w:rsidRDefault="00FA5F36" w:rsidP="00833ABA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Успехът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A1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STEMfem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Junior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идва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фона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тревожни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тенденции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–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хиляди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млади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хора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България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нито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учат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нито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работят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докато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бизнесът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изпитва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остър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недостиг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специалисти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области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като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киберсигурност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изкуствен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интелект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инженерни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науки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В </w:t>
      </w:r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същото време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младите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хора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търсят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сигурност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уважение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екипна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среда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момичетата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– и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равнопоставеност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подкрепа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смисъл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професията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На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този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фон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STEMfem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Junior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създава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среда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в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която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интересът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към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технологиите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може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се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превърне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реална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кариерна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перспектива</w:t>
      </w:r>
      <w:proofErr w:type="spellEnd"/>
      <w:r w:rsidRPr="00FA5F3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6B62FF61" w14:textId="5C0C43A3" w:rsidR="00352750" w:rsidRPr="00352750" w:rsidRDefault="00352750" w:rsidP="00833ABA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второто си издание A1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>STEMfem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>Junior</w:t>
      </w:r>
      <w:proofErr w:type="spellEnd"/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се утвърди като значима инициатива за насърчаване на момичета да следват своите интереси в технологиите и да изграждат увереност за бъдещата си професионална реализация. Програмата затвърждава ролята на А1 като партньор в изграждането на следващото поколение жени </w:t>
      </w:r>
      <w:r w:rsidR="00FA5F3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</w:t>
      </w:r>
      <w:r w:rsidRPr="00352750">
        <w:rPr>
          <w:rFonts w:ascii="Verdana" w:eastAsia="Times New Roman" w:hAnsi="Verdana" w:cs="Times New Roman"/>
          <w:sz w:val="20"/>
          <w:szCs w:val="20"/>
          <w:lang w:val="bg-BG" w:eastAsia="bg-BG"/>
        </w:rPr>
        <w:t>лидери.</w:t>
      </w:r>
    </w:p>
    <w:p w14:paraId="470674F8" w14:textId="15038820" w:rsidR="001E43EA" w:rsidRPr="00344ED3" w:rsidRDefault="00FA5F36" w:rsidP="001E43EA">
      <w:pPr>
        <w:spacing w:before="100" w:beforeAutospacing="1" w:after="100" w:afterAutospacing="1" w:line="240" w:lineRule="auto"/>
        <w:jc w:val="both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  <w:vertAlign w:val="superscript"/>
        </w:rPr>
        <w:t>*</w:t>
      </w:r>
      <w:r>
        <w:rPr>
          <w:rFonts w:ascii="Verdana" w:hAnsi="Verdana"/>
          <w:i/>
          <w:sz w:val="16"/>
          <w:szCs w:val="20"/>
          <w:lang w:val="bg-BG"/>
        </w:rPr>
        <w:t>П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роучване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на Global Metrics 2024,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изследващо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нагласите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на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новото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поколение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в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градовете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в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България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.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Проведено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е в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края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на 2024 г.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сред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над 400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млади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хора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между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15 и30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години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,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по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</w:t>
      </w:r>
      <w:proofErr w:type="spellStart"/>
      <w:r w:rsidR="001E43EA" w:rsidRPr="00344ED3">
        <w:rPr>
          <w:rFonts w:ascii="Verdana" w:hAnsi="Verdana"/>
          <w:i/>
          <w:sz w:val="16"/>
          <w:szCs w:val="20"/>
        </w:rPr>
        <w:t>поръчка</w:t>
      </w:r>
      <w:proofErr w:type="spellEnd"/>
      <w:r w:rsidR="001E43EA" w:rsidRPr="00344ED3">
        <w:rPr>
          <w:rFonts w:ascii="Verdana" w:hAnsi="Verdana"/>
          <w:i/>
          <w:sz w:val="16"/>
          <w:szCs w:val="20"/>
        </w:rPr>
        <w:t xml:space="preserve"> на H4H Solutions. </w:t>
      </w:r>
    </w:p>
    <w:p w14:paraId="2D01C11A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C57EA49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26D4B601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447D083D" w14:textId="77777777" w:rsidR="00FA5F36" w:rsidRDefault="00FA5F36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405BDBFF" w14:textId="77777777" w:rsidR="00FA5F36" w:rsidRDefault="00FA5F36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4C0E1D32" w14:textId="77777777" w:rsidR="00FA5F36" w:rsidRDefault="00FA5F36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6E626A9" w14:textId="77777777" w:rsidR="00833ABA" w:rsidRDefault="00833AB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4D678C61" w14:textId="77777777" w:rsidR="00833ABA" w:rsidRDefault="00833AB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73ED3C5" w14:textId="77777777" w:rsidR="00833ABA" w:rsidRDefault="00833AB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3C1881A0" w14:textId="77777777" w:rsidR="00833ABA" w:rsidRDefault="00833AB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75DD1433" w14:textId="77777777" w:rsidR="00833ABA" w:rsidRDefault="00833AB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3212CBCB" w14:textId="77777777" w:rsidR="00833ABA" w:rsidRDefault="00833AB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515CABC1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52E24DE" w14:textId="77777777" w:rsidR="00EA3099" w:rsidRPr="00564271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C352F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</w:rPr>
      </w:pP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DE04BA" w:rsidRPr="00C352F1" w:rsidSect="00EA30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D873" w14:textId="77777777" w:rsidR="00891D15" w:rsidRDefault="00891D15">
      <w:pPr>
        <w:spacing w:after="0" w:line="240" w:lineRule="auto"/>
      </w:pPr>
      <w:r>
        <w:separator/>
      </w:r>
    </w:p>
  </w:endnote>
  <w:endnote w:type="continuationSeparator" w:id="0">
    <w:p w14:paraId="4172AEC2" w14:textId="77777777" w:rsidR="00891D15" w:rsidRDefault="008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77777777" w:rsidR="00BE2F34" w:rsidRDefault="001B262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E1BE02" w14:textId="7770CAA6" w:rsidR="00BE2F34" w:rsidRDefault="00BE2F34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3D1B3E16" w14:textId="77777777" w:rsidR="006617B5" w:rsidRPr="00853B90" w:rsidRDefault="006617B5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49E1BE02" w14:textId="7770CAA6" w:rsidR="00BE2F34" w:rsidRDefault="00BE2F34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3D1B3E16" w14:textId="77777777" w:rsidR="006617B5" w:rsidRPr="00853B90" w:rsidRDefault="006617B5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D569" w14:textId="77777777" w:rsidR="00891D15" w:rsidRDefault="00891D15">
      <w:pPr>
        <w:spacing w:after="0" w:line="240" w:lineRule="auto"/>
      </w:pPr>
      <w:r>
        <w:separator/>
      </w:r>
    </w:p>
  </w:footnote>
  <w:footnote w:type="continuationSeparator" w:id="0">
    <w:p w14:paraId="0C1E1EDD" w14:textId="77777777" w:rsidR="00891D15" w:rsidRDefault="008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4595B"/>
    <w:rsid w:val="000501BC"/>
    <w:rsid w:val="00075C79"/>
    <w:rsid w:val="000A202A"/>
    <w:rsid w:val="000E4790"/>
    <w:rsid w:val="001042B0"/>
    <w:rsid w:val="00123AFA"/>
    <w:rsid w:val="00125472"/>
    <w:rsid w:val="00127E24"/>
    <w:rsid w:val="0015555C"/>
    <w:rsid w:val="001915D4"/>
    <w:rsid w:val="001B262B"/>
    <w:rsid w:val="001B2748"/>
    <w:rsid w:val="001E1E05"/>
    <w:rsid w:val="001E2976"/>
    <w:rsid w:val="001E43EA"/>
    <w:rsid w:val="001F3907"/>
    <w:rsid w:val="002134D2"/>
    <w:rsid w:val="00216115"/>
    <w:rsid w:val="0025568C"/>
    <w:rsid w:val="002810DB"/>
    <w:rsid w:val="002C7EAA"/>
    <w:rsid w:val="002D238D"/>
    <w:rsid w:val="0031082E"/>
    <w:rsid w:val="00322F87"/>
    <w:rsid w:val="00344ED3"/>
    <w:rsid w:val="00347CEE"/>
    <w:rsid w:val="00352750"/>
    <w:rsid w:val="0037420C"/>
    <w:rsid w:val="0038213D"/>
    <w:rsid w:val="003839B1"/>
    <w:rsid w:val="00391147"/>
    <w:rsid w:val="00393764"/>
    <w:rsid w:val="003B0B3E"/>
    <w:rsid w:val="003E1410"/>
    <w:rsid w:val="00422FDA"/>
    <w:rsid w:val="004279ED"/>
    <w:rsid w:val="0043451D"/>
    <w:rsid w:val="004A1CB7"/>
    <w:rsid w:val="004C1840"/>
    <w:rsid w:val="004E01C9"/>
    <w:rsid w:val="005072A4"/>
    <w:rsid w:val="00557879"/>
    <w:rsid w:val="00564271"/>
    <w:rsid w:val="0060454B"/>
    <w:rsid w:val="00604F9B"/>
    <w:rsid w:val="006366C7"/>
    <w:rsid w:val="00647CA9"/>
    <w:rsid w:val="0065351B"/>
    <w:rsid w:val="006617B5"/>
    <w:rsid w:val="00664EF8"/>
    <w:rsid w:val="00674947"/>
    <w:rsid w:val="0071072E"/>
    <w:rsid w:val="00721B55"/>
    <w:rsid w:val="007309F8"/>
    <w:rsid w:val="00740CB5"/>
    <w:rsid w:val="00774AD0"/>
    <w:rsid w:val="007B543E"/>
    <w:rsid w:val="007C1C1D"/>
    <w:rsid w:val="007E252A"/>
    <w:rsid w:val="00802CCD"/>
    <w:rsid w:val="00804DC8"/>
    <w:rsid w:val="00821FFF"/>
    <w:rsid w:val="00833ABA"/>
    <w:rsid w:val="008400C3"/>
    <w:rsid w:val="00853B90"/>
    <w:rsid w:val="00891D15"/>
    <w:rsid w:val="00894804"/>
    <w:rsid w:val="00895DE6"/>
    <w:rsid w:val="008B1C57"/>
    <w:rsid w:val="008E4F0C"/>
    <w:rsid w:val="008F6AF9"/>
    <w:rsid w:val="008F6EBD"/>
    <w:rsid w:val="00902BF4"/>
    <w:rsid w:val="00914D55"/>
    <w:rsid w:val="00941A3C"/>
    <w:rsid w:val="009813B4"/>
    <w:rsid w:val="009A01D2"/>
    <w:rsid w:val="009A043B"/>
    <w:rsid w:val="009A5C16"/>
    <w:rsid w:val="009B61A9"/>
    <w:rsid w:val="009C604F"/>
    <w:rsid w:val="009E7512"/>
    <w:rsid w:val="00A04668"/>
    <w:rsid w:val="00A1366D"/>
    <w:rsid w:val="00A21C2A"/>
    <w:rsid w:val="00A51ED2"/>
    <w:rsid w:val="00A61CCE"/>
    <w:rsid w:val="00AA02CE"/>
    <w:rsid w:val="00AA7C20"/>
    <w:rsid w:val="00AB73D4"/>
    <w:rsid w:val="00AC0245"/>
    <w:rsid w:val="00AD3ECB"/>
    <w:rsid w:val="00B04ADB"/>
    <w:rsid w:val="00B0684D"/>
    <w:rsid w:val="00B21089"/>
    <w:rsid w:val="00B23BB3"/>
    <w:rsid w:val="00B32AE9"/>
    <w:rsid w:val="00B61DB2"/>
    <w:rsid w:val="00B838A1"/>
    <w:rsid w:val="00BB685A"/>
    <w:rsid w:val="00BC401D"/>
    <w:rsid w:val="00BE2F34"/>
    <w:rsid w:val="00BF040E"/>
    <w:rsid w:val="00BF207C"/>
    <w:rsid w:val="00BF28AD"/>
    <w:rsid w:val="00C352F1"/>
    <w:rsid w:val="00C43F9A"/>
    <w:rsid w:val="00C56630"/>
    <w:rsid w:val="00C569B8"/>
    <w:rsid w:val="00C805D5"/>
    <w:rsid w:val="00C83C19"/>
    <w:rsid w:val="00C86240"/>
    <w:rsid w:val="00CC0548"/>
    <w:rsid w:val="00D06FFD"/>
    <w:rsid w:val="00D07BF7"/>
    <w:rsid w:val="00D20BE7"/>
    <w:rsid w:val="00D51553"/>
    <w:rsid w:val="00D55B9E"/>
    <w:rsid w:val="00D748A7"/>
    <w:rsid w:val="00D94235"/>
    <w:rsid w:val="00DE03F4"/>
    <w:rsid w:val="00DE04BA"/>
    <w:rsid w:val="00DE5A3A"/>
    <w:rsid w:val="00E15306"/>
    <w:rsid w:val="00E85FA3"/>
    <w:rsid w:val="00EA3099"/>
    <w:rsid w:val="00EB36BD"/>
    <w:rsid w:val="00EE0DA3"/>
    <w:rsid w:val="00EF1BAD"/>
    <w:rsid w:val="00EF2F60"/>
    <w:rsid w:val="00F00474"/>
    <w:rsid w:val="00F04309"/>
    <w:rsid w:val="00F05E00"/>
    <w:rsid w:val="00F15B5B"/>
    <w:rsid w:val="00F173CC"/>
    <w:rsid w:val="00F17604"/>
    <w:rsid w:val="00F27995"/>
    <w:rsid w:val="00F36BAD"/>
    <w:rsid w:val="00F41849"/>
    <w:rsid w:val="00F73DDF"/>
    <w:rsid w:val="00F77145"/>
    <w:rsid w:val="00FA4DA2"/>
    <w:rsid w:val="00FA5F36"/>
    <w:rsid w:val="00FB040F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AF9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1E4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Nina Nedelcheva - Georgieva (A1 BG)</cp:lastModifiedBy>
  <cp:revision>3</cp:revision>
  <dcterms:created xsi:type="dcterms:W3CDTF">2025-09-05T06:23:00Z</dcterms:created>
  <dcterms:modified xsi:type="dcterms:W3CDTF">2025-09-05T08:07:00Z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2025-05-28T07:13:34Z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2c4022b9-fcb5-4d65-ab7c-cfad07eb899f</vt:lpwstr>
  </property>
  <property fmtid="{D5CDD505-2E9C-101B-9397-08002B2CF9AE}" pid="8" name="MSIP_Label_91665e81-b407-4c05-bc63-9319ce4a6025_ContentBits">
    <vt:lpwstr>2</vt:lpwstr>
  </property>
</Properties>
</file>