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left"/>
        <w:rPr>
          <w:rFonts w:ascii="Century Gothic" w:cs="Century Gothic" w:eastAsia="Century Gothic" w:hAnsi="Century Gothic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b w:val="1"/>
          <w:sz w:val="30"/>
          <w:szCs w:val="30"/>
        </w:rPr>
      </w:pPr>
      <w:r w:rsidDel="00000000" w:rsidR="00000000" w:rsidRPr="00000000">
        <w:rPr>
          <w:b w:val="1"/>
          <w:sz w:val="30"/>
          <w:szCs w:val="30"/>
          <w:rtl w:val="0"/>
        </w:rPr>
        <w:t xml:space="preserve">Las inscripciones de Girl’s Cup, el primer torneo femenil Valorant de México, se extienden</w:t>
      </w:r>
    </w:p>
    <w:p w:rsidR="00000000" w:rsidDel="00000000" w:rsidP="00000000" w:rsidRDefault="00000000" w:rsidRPr="00000000" w14:paraId="00000003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spacing w:line="240" w:lineRule="auto"/>
        <w:ind w:left="720" w:hanging="360"/>
        <w:jc w:val="center"/>
        <w:rPr>
          <w:i w:val="1"/>
        </w:rPr>
      </w:pPr>
      <w:r w:rsidDel="00000000" w:rsidR="00000000" w:rsidRPr="00000000">
        <w:rPr>
          <w:i w:val="1"/>
          <w:rtl w:val="0"/>
        </w:rPr>
        <w:t xml:space="preserve">Las jugadoras interesadas podrán registrarse del 1 al 12 de marzo en este </w:t>
      </w:r>
      <w:hyperlink r:id="rId7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link</w:t>
        </w:r>
      </w:hyperlink>
      <w:r w:rsidDel="00000000" w:rsidR="00000000" w:rsidRPr="00000000">
        <w:rPr>
          <w:i w:val="1"/>
          <w:rtl w:val="0"/>
        </w:rPr>
        <w:t xml:space="preserve"> y participar por grandes premios en este intenso FPS</w:t>
      </w:r>
      <w:r w:rsidDel="00000000" w:rsidR="00000000" w:rsidRPr="00000000">
        <w:rPr>
          <w:i w:val="1"/>
          <w:rtl w:val="0"/>
        </w:rPr>
        <w:t xml:space="preserve"> </w:t>
      </w:r>
    </w:p>
    <w:p w:rsidR="00000000" w:rsidDel="00000000" w:rsidP="00000000" w:rsidRDefault="00000000" w:rsidRPr="00000000" w14:paraId="00000005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line="240" w:lineRule="auto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Debido al gran interés de las mujeres gamer en </w:t>
      </w:r>
      <w:r w:rsidDel="00000000" w:rsidR="00000000" w:rsidRPr="00000000">
        <w:rPr>
          <w:b w:val="1"/>
          <w:rtl w:val="0"/>
        </w:rPr>
        <w:t xml:space="preserve">Girl’s Cup</w:t>
      </w:r>
      <w:r w:rsidDel="00000000" w:rsidR="00000000" w:rsidRPr="00000000">
        <w:rPr>
          <w:rtl w:val="0"/>
        </w:rPr>
        <w:t xml:space="preserve">, el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primer torneo femenil de </w:t>
      </w:r>
      <w:r w:rsidDel="00000000" w:rsidR="00000000" w:rsidRPr="00000000">
        <w:rPr>
          <w:b w:val="1"/>
          <w:rtl w:val="0"/>
        </w:rPr>
        <w:t xml:space="preserve">Valorant</w:t>
      </w:r>
      <w:r w:rsidDel="00000000" w:rsidR="00000000" w:rsidRPr="00000000">
        <w:rPr>
          <w:rtl w:val="0"/>
        </w:rPr>
        <w:t xml:space="preserve"> México, </w:t>
      </w:r>
      <w:r w:rsidDel="00000000" w:rsidR="00000000" w:rsidRPr="00000000">
        <w:rPr>
          <w:b w:val="1"/>
          <w:rtl w:val="0"/>
        </w:rPr>
        <w:t xml:space="preserve">Logitech G</w:t>
      </w:r>
      <w:r w:rsidDel="00000000" w:rsidR="00000000" w:rsidRPr="00000000">
        <w:rPr>
          <w:rtl w:val="0"/>
        </w:rPr>
        <w:t xml:space="preserve">, </w:t>
      </w:r>
      <w:r w:rsidDel="00000000" w:rsidR="00000000" w:rsidRPr="00000000">
        <w:rPr>
          <w:rtl w:val="0"/>
        </w:rPr>
        <w:t xml:space="preserve">marca líder en periféricos de gaming para computadora y consola, junto a </w:t>
      </w:r>
      <w:r w:rsidDel="00000000" w:rsidR="00000000" w:rsidRPr="00000000">
        <w:rPr>
          <w:b w:val="1"/>
          <w:rtl w:val="0"/>
        </w:rPr>
        <w:t xml:space="preserve">GG Tech,</w:t>
      </w:r>
      <w:r w:rsidDel="00000000" w:rsidR="00000000" w:rsidRPr="00000000">
        <w:rPr>
          <w:rtl w:val="0"/>
        </w:rPr>
        <w:t xml:space="preserve"> empresa tecnológica dedicada a promover los esports en Latinoamérica, anuncian que se extienden las fechas de inscripción.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Todas las jugadoras interesadas en inscribir a su equipo, el cual debe estar integrado por cinco competidoras, podrán registrarse del 1 al 12 de marzo en este </w:t>
      </w:r>
      <w:hyperlink r:id="rId8">
        <w:r w:rsidDel="00000000" w:rsidR="00000000" w:rsidRPr="00000000">
          <w:rPr>
            <w:color w:val="1155cc"/>
            <w:u w:val="single"/>
            <w:rtl w:val="0"/>
          </w:rPr>
          <w:t xml:space="preserve">enlace</w:t>
        </w:r>
      </w:hyperlink>
      <w:r w:rsidDel="00000000" w:rsidR="00000000" w:rsidRPr="00000000">
        <w:rPr>
          <w:rtl w:val="0"/>
        </w:rPr>
        <w:t xml:space="preserve">, donde también pueden consultar el reglamento del evento. </w:t>
      </w:r>
    </w:p>
    <w:p w:rsidR="00000000" w:rsidDel="00000000" w:rsidP="00000000" w:rsidRDefault="00000000" w:rsidRPr="00000000" w14:paraId="0000000A">
      <w:pPr>
        <w:spacing w:line="240" w:lineRule="auto"/>
        <w:jc w:val="both"/>
        <w:rPr/>
      </w:pPr>
      <w:bookmarkStart w:colFirst="0" w:colLast="0" w:name="_heading=h.w345c7bf1qrw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both"/>
        <w:rPr/>
      </w:pPr>
      <w:bookmarkStart w:colFirst="0" w:colLast="0" w:name="_heading=h.z05y01tzly8r" w:id="1"/>
      <w:bookmarkEnd w:id="1"/>
      <w:r w:rsidDel="00000000" w:rsidR="00000000" w:rsidRPr="00000000">
        <w:rPr>
          <w:rtl w:val="0"/>
        </w:rPr>
        <w:t xml:space="preserve">Ahora los cuartos de final del torneo se realizarán el 22 y 23 de marzo, mientras que la gran final se llevará a cabo el 27 y 28 de marzo. El primer lugar recibirá un premio de $1,500 USD más kits de Logitech G para cada integrante del equipo. Por su parte, el segundo lugar obtendrá $500 USD y sus respectivos kits. </w:t>
      </w:r>
    </w:p>
    <w:p w:rsidR="00000000" w:rsidDel="00000000" w:rsidP="00000000" w:rsidRDefault="00000000" w:rsidRPr="00000000" w14:paraId="0000000C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Con este tipo de torneos Logitech G </w:t>
      </w:r>
      <w:r w:rsidDel="00000000" w:rsidR="00000000" w:rsidRPr="00000000">
        <w:rPr>
          <w:rtl w:val="0"/>
        </w:rPr>
        <w:t xml:space="preserve">apoya a las mujeres en gaming a nivel competitivo a través de los torneos de esports</w:t>
      </w:r>
      <w:r w:rsidDel="00000000" w:rsidR="00000000" w:rsidRPr="00000000">
        <w:rPr>
          <w:rtl w:val="0"/>
        </w:rPr>
        <w:t xml:space="preserve">, pues el gaming es para todos y las competencias se convierten en ventanas para descubrir el talento de nuestro país en este naciente deporte. </w:t>
      </w:r>
    </w:p>
    <w:p w:rsidR="00000000" w:rsidDel="00000000" w:rsidP="00000000" w:rsidRDefault="00000000" w:rsidRPr="00000000" w14:paraId="0000000E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40" w:lineRule="auto"/>
        <w:jc w:val="both"/>
        <w:rPr/>
      </w:pPr>
      <w:r w:rsidDel="00000000" w:rsidR="00000000" w:rsidRPr="00000000">
        <w:rPr>
          <w:rtl w:val="0"/>
        </w:rPr>
        <w:t xml:space="preserve">E</w:t>
      </w:r>
      <w:r w:rsidDel="00000000" w:rsidR="00000000" w:rsidRPr="00000000">
        <w:rPr>
          <w:rtl w:val="0"/>
        </w:rPr>
        <w:t xml:space="preserve">s importante que la mujer mexicana </w:t>
      </w:r>
      <w:r w:rsidDel="00000000" w:rsidR="00000000" w:rsidRPr="00000000">
        <w:rPr>
          <w:rtl w:val="0"/>
        </w:rPr>
        <w:t xml:space="preserve">demuestre</w:t>
      </w:r>
      <w:r w:rsidDel="00000000" w:rsidR="00000000" w:rsidRPr="00000000">
        <w:rPr>
          <w:rtl w:val="0"/>
        </w:rPr>
        <w:t xml:space="preserve"> al mundo de lo que es capaz para reducir la brecha de género en el mundo de los videojuegos. Y Girl’s Cup es una excelente oportunidad para descubrir a las futuras leyendas de los esports.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40" w:lineRule="auto"/>
        <w:jc w:val="center"/>
        <w:rPr/>
      </w:pPr>
      <w:r w:rsidDel="00000000" w:rsidR="00000000" w:rsidRPr="00000000">
        <w:rPr>
          <w:rtl w:val="0"/>
        </w:rPr>
        <w:t xml:space="preserve">### </w:t>
      </w:r>
    </w:p>
    <w:p w:rsidR="00000000" w:rsidDel="00000000" w:rsidP="00000000" w:rsidRDefault="00000000" w:rsidRPr="00000000" w14:paraId="00000012">
      <w:pPr>
        <w:jc w:val="both"/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Bdr>
          <w:top w:color="000000" w:space="0" w:sz="4" w:val="single"/>
        </w:pBdr>
        <w:spacing w:after="0" w:before="0" w:line="240" w:lineRule="auto"/>
        <w:ind w:right="-120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Sobre Logitech G </w:t>
      </w:r>
    </w:p>
    <w:p w:rsidR="00000000" w:rsidDel="00000000" w:rsidP="00000000" w:rsidRDefault="00000000" w:rsidRPr="00000000" w14:paraId="00000014">
      <w:pPr>
        <w:pBdr>
          <w:top w:color="000000" w:space="0" w:sz="4" w:val="single"/>
        </w:pBdr>
        <w:spacing w:after="0" w:before="0" w:line="240" w:lineRule="auto"/>
        <w:ind w:right="-12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Logitech G, una marca de Logitech International, es el líder mundial en equipos de computadora y consolas para videojuegos. Logitech G ofrece productos a los </w:t>
      </w:r>
      <w:r w:rsidDel="00000000" w:rsidR="00000000" w:rsidRPr="00000000">
        <w:rPr>
          <w:i w:val="1"/>
          <w:sz w:val="18"/>
          <w:szCs w:val="18"/>
          <w:rtl w:val="0"/>
        </w:rPr>
        <w:t xml:space="preserve">gamers</w:t>
      </w:r>
      <w:r w:rsidDel="00000000" w:rsidR="00000000" w:rsidRPr="00000000">
        <w:rPr>
          <w:sz w:val="18"/>
          <w:szCs w:val="18"/>
          <w:rtl w:val="0"/>
        </w:rPr>
        <w:t xml:space="preserve"> de todos los niveles de experiencia como: teclados, mousepads, auriculares y productos de simulación como volantes y </w:t>
      </w:r>
      <w:r w:rsidDel="00000000" w:rsidR="00000000" w:rsidRPr="00000000">
        <w:rPr>
          <w:i w:val="1"/>
          <w:sz w:val="18"/>
          <w:szCs w:val="18"/>
          <w:rtl w:val="0"/>
        </w:rPr>
        <w:t xml:space="preserve">flight sticks</w:t>
      </w:r>
      <w:r w:rsidDel="00000000" w:rsidR="00000000" w:rsidRPr="00000000">
        <w:rPr>
          <w:sz w:val="18"/>
          <w:szCs w:val="18"/>
          <w:rtl w:val="0"/>
        </w:rPr>
        <w:t xml:space="preserve">, que son posibles gracias a un diseño innovador, tecnologías avanzadas y una profunda pasión por los juegos. Fundada en 1981, y con sede en Lausana, Suiza, Logitech International es una empresa pública que cotiza en el SIX Swiss Exchange (LOGN) y en el Nasdaq Global Select Market (LOGI). </w:t>
      </w:r>
    </w:p>
    <w:p w:rsidR="00000000" w:rsidDel="00000000" w:rsidP="00000000" w:rsidRDefault="00000000" w:rsidRPr="00000000" w14:paraId="00000015">
      <w:pPr>
        <w:pBdr>
          <w:top w:color="000000" w:space="0" w:sz="4" w:val="single"/>
        </w:pBdr>
        <w:spacing w:after="0" w:before="0" w:line="240" w:lineRule="auto"/>
        <w:ind w:right="-120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Encuentra Logitech G en </w:t>
      </w:r>
      <w:hyperlink r:id="rId9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 </w:t>
        </w:r>
      </w:hyperlink>
      <w:hyperlink r:id="rId10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logitechG.com</w:t>
        </w:r>
      </w:hyperlink>
      <w:r w:rsidDel="00000000" w:rsidR="00000000" w:rsidRPr="00000000">
        <w:rPr>
          <w:sz w:val="18"/>
          <w:szCs w:val="18"/>
          <w:rtl w:val="0"/>
        </w:rPr>
        <w:t xml:space="preserve">, </w:t>
      </w:r>
      <w:hyperlink r:id="rId11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blog de la compañía</w:t>
        </w:r>
      </w:hyperlink>
      <w:r w:rsidDel="00000000" w:rsidR="00000000" w:rsidRPr="00000000">
        <w:rPr>
          <w:sz w:val="18"/>
          <w:szCs w:val="18"/>
          <w:rtl w:val="0"/>
        </w:rPr>
        <w:t xml:space="preserve"> y sus redes sociales en </w:t>
      </w:r>
      <w:hyperlink r:id="rId12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Facebook</w:t>
        </w:r>
      </w:hyperlink>
      <w:r w:rsidDel="00000000" w:rsidR="00000000" w:rsidRPr="00000000">
        <w:rPr>
          <w:sz w:val="18"/>
          <w:szCs w:val="18"/>
          <w:rtl w:val="0"/>
        </w:rPr>
        <w:t xml:space="preserve">, </w:t>
      </w:r>
      <w:hyperlink r:id="rId13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Twitter</w:t>
        </w:r>
      </w:hyperlink>
      <w:r w:rsidDel="00000000" w:rsidR="00000000" w:rsidRPr="00000000">
        <w:rPr>
          <w:sz w:val="18"/>
          <w:szCs w:val="18"/>
          <w:rtl w:val="0"/>
        </w:rPr>
        <w:t xml:space="preserve">, </w:t>
      </w:r>
      <w:hyperlink r:id="rId14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Instagram</w:t>
        </w:r>
      </w:hyperlink>
      <w:r w:rsidDel="00000000" w:rsidR="00000000" w:rsidRPr="00000000">
        <w:rPr>
          <w:sz w:val="18"/>
          <w:szCs w:val="18"/>
          <w:rtl w:val="0"/>
        </w:rPr>
        <w:t xml:space="preserve"> y </w:t>
      </w:r>
      <w:hyperlink r:id="rId15">
        <w:r w:rsidDel="00000000" w:rsidR="00000000" w:rsidRPr="00000000">
          <w:rPr>
            <w:color w:val="1155cc"/>
            <w:sz w:val="18"/>
            <w:szCs w:val="18"/>
            <w:rtl w:val="0"/>
          </w:rPr>
          <w:t xml:space="preserve">Youtube</w:t>
        </w:r>
      </w:hyperlink>
      <w:r w:rsidDel="00000000" w:rsidR="00000000" w:rsidRPr="00000000">
        <w:rPr>
          <w:sz w:val="18"/>
          <w:szCs w:val="18"/>
          <w:rtl w:val="0"/>
        </w:rPr>
        <w:t xml:space="preserve">.</w:t>
      </w:r>
    </w:p>
    <w:p w:rsidR="00000000" w:rsidDel="00000000" w:rsidP="00000000" w:rsidRDefault="00000000" w:rsidRPr="00000000" w14:paraId="00000016">
      <w:pPr>
        <w:pBdr>
          <w:top w:color="000000" w:space="0" w:sz="4" w:val="single"/>
        </w:pBdr>
        <w:spacing w:after="0" w:before="0" w:line="240" w:lineRule="auto"/>
        <w:ind w:right="-120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Bdr>
          <w:top w:color="000000" w:space="0" w:sz="4" w:val="single"/>
        </w:pBdr>
        <w:spacing w:line="240" w:lineRule="auto"/>
        <w:rPr>
          <w:b w:val="1"/>
          <w:sz w:val="18"/>
          <w:szCs w:val="18"/>
        </w:rPr>
      </w:pPr>
      <w:r w:rsidDel="00000000" w:rsidR="00000000" w:rsidRPr="00000000">
        <w:rPr>
          <w:b w:val="1"/>
          <w:sz w:val="18"/>
          <w:szCs w:val="18"/>
          <w:rtl w:val="0"/>
        </w:rPr>
        <w:t xml:space="preserve">Sobre GGTech LATAM</w:t>
      </w:r>
    </w:p>
    <w:p w:rsidR="00000000" w:rsidDel="00000000" w:rsidP="00000000" w:rsidRDefault="00000000" w:rsidRPr="00000000" w14:paraId="00000018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GGTech es una empresa internacional, con presencia en Europa y América Latina, comprometida con el desarrollo de proyectos innovadores del entretenimiento y para la educación, a través de los videojuegos, tecnología y creatividad. Con la misión de crear una Comunidad Global de innovación tecnológica y de negocios a través de los Esports y programas educativos. Acercando el mundo de los videojuegos a la comunidad estudiantil y sociedad en general. Motivando a la sociedad a través del entretenimiento como una herramienta para promover el desarrollo personal.</w:t>
      </w:r>
    </w:p>
    <w:p w:rsidR="00000000" w:rsidDel="00000000" w:rsidP="00000000" w:rsidRDefault="00000000" w:rsidRPr="00000000" w14:paraId="00000019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i w:val="1"/>
          <w:sz w:val="18"/>
          <w:szCs w:val="18"/>
          <w:rtl w:val="0"/>
        </w:rPr>
        <w:t xml:space="preserve">“La tecnología marca el presente y apunta al futuro”</w:t>
      </w:r>
      <w:r w:rsidDel="00000000" w:rsidR="00000000" w:rsidRPr="00000000">
        <w:rPr>
          <w:sz w:val="18"/>
          <w:szCs w:val="18"/>
          <w:rtl w:val="0"/>
        </w:rPr>
        <w:t xml:space="preserve">. GGTech LATAM es un desarrollo tecnológico y social. Formada por un equipo internacional de profesionales comprometidos y enfocados en la innovación, desarrollo, producción y comercialización de tecnologías para el entretenimiento, educación y negocios a través de los videojuegos y formatos de competencia en esports. </w:t>
      </w:r>
    </w:p>
    <w:p w:rsidR="00000000" w:rsidDel="00000000" w:rsidP="00000000" w:rsidRDefault="00000000" w:rsidRPr="00000000" w14:paraId="0000001B">
      <w:pPr>
        <w:spacing w:line="240" w:lineRule="auto"/>
        <w:jc w:val="both"/>
        <w:rPr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Más información en: </w:t>
      </w:r>
      <w:hyperlink r:id="rId16">
        <w:r w:rsidDel="00000000" w:rsidR="00000000" w:rsidRPr="00000000">
          <w:rPr>
            <w:color w:val="0000ff"/>
            <w:sz w:val="18"/>
            <w:szCs w:val="18"/>
            <w:u w:val="single"/>
            <w:rtl w:val="0"/>
          </w:rPr>
          <w:t xml:space="preserve">https://www.ggtech.es/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line="240" w:lineRule="auto"/>
        <w:rPr>
          <w:rFonts w:ascii="Century Gothic" w:cs="Century Gothic" w:eastAsia="Century Gothic" w:hAnsi="Century Gothic"/>
          <w:sz w:val="18"/>
          <w:szCs w:val="18"/>
        </w:rPr>
      </w:pPr>
      <w:bookmarkStart w:colFirst="0" w:colLast="0" w:name="_heading=h.30j0zll" w:id="2"/>
      <w:bookmarkEnd w:id="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line="480" w:lineRule="auto"/>
        <w:rPr>
          <w:rFonts w:ascii="Century Gothic" w:cs="Century Gothic" w:eastAsia="Century Gothic" w:hAnsi="Century Gothic"/>
          <w:sz w:val="18"/>
          <w:szCs w:val="18"/>
        </w:rPr>
      </w:pPr>
      <w:r w:rsidDel="00000000" w:rsidR="00000000" w:rsidRPr="00000000">
        <w:rPr>
          <w:sz w:val="18"/>
          <w:szCs w:val="18"/>
          <w:rtl w:val="0"/>
        </w:rPr>
        <w:t xml:space="preserve">@GGtechLatam        </w:t>
      </w:r>
      <w:hyperlink r:id="rId17">
        <w:r w:rsidDel="00000000" w:rsidR="00000000" w:rsidRPr="00000000">
          <w:rPr>
            <w:sz w:val="18"/>
            <w:szCs w:val="18"/>
          </w:rPr>
          <w:drawing>
            <wp:inline distB="0" distT="0" distL="114300" distR="114300">
              <wp:extent cx="160020" cy="160020"/>
              <wp:effectExtent b="0" l="0" r="0" t="0"/>
              <wp:docPr id="23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8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0020" cy="16002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sz w:val="18"/>
          <w:szCs w:val="18"/>
          <w:rtl w:val="0"/>
        </w:rPr>
        <w:t xml:space="preserve">@GGTechEntertainmentLATAM      </w:t>
      </w:r>
      <w:hyperlink r:id="rId19">
        <w:r w:rsidDel="00000000" w:rsidR="00000000" w:rsidRPr="00000000">
          <w:rPr>
            <w:sz w:val="18"/>
            <w:szCs w:val="18"/>
          </w:rPr>
          <w:drawing>
            <wp:inline distB="0" distT="0" distL="114300" distR="114300">
              <wp:extent cx="154940" cy="154305"/>
              <wp:effectExtent b="0" l="0" r="0" t="0"/>
              <wp:docPr id="25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0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4940" cy="15430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sz w:val="18"/>
          <w:szCs w:val="18"/>
          <w:rtl w:val="0"/>
        </w:rPr>
        <w:t xml:space="preserve">@ggtech_latam      </w:t>
      </w:r>
      <w:hyperlink r:id="rId21">
        <w:r w:rsidDel="00000000" w:rsidR="00000000" w:rsidRPr="00000000">
          <w:rPr>
            <w:sz w:val="18"/>
            <w:szCs w:val="18"/>
          </w:rPr>
          <w:drawing>
            <wp:inline distB="0" distT="0" distL="114300" distR="114300">
              <wp:extent cx="166370" cy="165735"/>
              <wp:effectExtent b="0" l="0" r="0" t="0"/>
              <wp:docPr id="2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2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66370" cy="165735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w:r>
      </w:hyperlink>
      <w:r w:rsidDel="00000000" w:rsidR="00000000" w:rsidRPr="00000000">
        <w:rPr>
          <w:sz w:val="18"/>
          <w:szCs w:val="18"/>
          <w:rtl w:val="0"/>
        </w:rPr>
        <w:t xml:space="preserve">@ggtech_latam</w:t>
      </w:r>
      <w:r w:rsidDel="00000000" w:rsidR="00000000" w:rsidRPr="00000000">
        <w:rPr>
          <w:rtl w:val="0"/>
        </w:rPr>
      </w:r>
    </w:p>
    <w:sectPr>
      <w:headerReference r:id="rId23" w:type="first"/>
      <w:footerReference r:id="rId24" w:type="default"/>
      <w:pgSz w:h="16834" w:w="11909" w:orient="portrait"/>
      <w:pgMar w:bottom="1134" w:top="873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center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419"/>
        <w:tab w:val="right" w:pos="8838"/>
      </w:tabs>
      <w:spacing w:after="0" w:before="0" w:line="240" w:lineRule="auto"/>
      <w:ind w:left="0" w:right="0" w:firstLine="0"/>
      <w:jc w:val="left"/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</w:t>
    </w:r>
    <w:r w:rsidDel="00000000" w:rsidR="00000000" w:rsidRPr="00000000">
      <w:rPr/>
      <w:drawing>
        <wp:inline distB="0" distT="0" distL="0" distR="0">
          <wp:extent cx="1637428" cy="490538"/>
          <wp:effectExtent b="0" l="0" r="0" t="0"/>
          <wp:docPr id="26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37428" cy="49053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</w:t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4086225</wp:posOffset>
          </wp:positionH>
          <wp:positionV relativeFrom="paragraph">
            <wp:posOffset>-85723</wp:posOffset>
          </wp:positionV>
          <wp:extent cx="1798320" cy="511810"/>
          <wp:effectExtent b="0" l="0" r="0" t="0"/>
          <wp:wrapSquare wrapText="bothSides" distB="0" distT="0" distL="0" distR="0"/>
          <wp:docPr id="2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98320" cy="51181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s-MX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aconcuadrcula">
    <w:name w:val="Table Grid"/>
    <w:basedOn w:val="Tablanormal"/>
    <w:uiPriority w:val="39"/>
    <w:rsid w:val="006678FF"/>
    <w:pPr>
      <w:spacing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Hipervnculo">
    <w:name w:val="Hyperlink"/>
    <w:basedOn w:val="Fuentedeprrafopredeter"/>
    <w:uiPriority w:val="99"/>
    <w:unhideWhenUsed w:val="1"/>
    <w:rsid w:val="00A249CA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A249CA"/>
    <w:rPr>
      <w:color w:val="605e5c"/>
      <w:shd w:color="auto" w:fill="e1dfdd" w:val="clear"/>
    </w:rPr>
  </w:style>
  <w:style w:type="table" w:styleId="a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0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1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2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3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4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5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6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7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8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9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a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b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c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d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ae" w:customStyle="1">
    <w:basedOn w:val="TableNormal0"/>
    <w:pPr>
      <w:spacing w:line="240" w:lineRule="auto"/>
    </w:pPr>
    <w:tblPr>
      <w:tblStyleRowBandSize w:val="1"/>
      <w:tblStyleColBandSize w:val="1"/>
      <w:tblCellMar>
        <w:left w:w="108.0" w:type="dxa"/>
        <w:right w:w="108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E01B14"/>
    <w:pPr>
      <w:tabs>
        <w:tab w:val="center" w:pos="4419"/>
        <w:tab w:val="right" w:pos="8838"/>
      </w:tabs>
      <w:spacing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01B14"/>
  </w:style>
  <w:style w:type="paragraph" w:styleId="Piedepgina">
    <w:name w:val="footer"/>
    <w:basedOn w:val="Normal"/>
    <w:link w:val="PiedepginaCar"/>
    <w:uiPriority w:val="99"/>
    <w:unhideWhenUsed w:val="1"/>
    <w:rsid w:val="00E01B14"/>
    <w:pPr>
      <w:tabs>
        <w:tab w:val="center" w:pos="4419"/>
        <w:tab w:val="right" w:pos="8838"/>
      </w:tabs>
      <w:spacing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01B14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hyperlink" Target="https://blog.logitech.com/" TargetMode="External"/><Relationship Id="rId22" Type="http://schemas.openxmlformats.org/officeDocument/2006/relationships/image" Target="media/image2.png"/><Relationship Id="rId10" Type="http://schemas.openxmlformats.org/officeDocument/2006/relationships/hyperlink" Target="http://logitechg.com/" TargetMode="External"/><Relationship Id="rId21" Type="http://schemas.openxmlformats.org/officeDocument/2006/relationships/hyperlink" Target="https://www.twitch.tv/ggtech_latam" TargetMode="External"/><Relationship Id="rId13" Type="http://schemas.openxmlformats.org/officeDocument/2006/relationships/hyperlink" Target="https://twitter.com/LogitechG" TargetMode="External"/><Relationship Id="rId24" Type="http://schemas.openxmlformats.org/officeDocument/2006/relationships/footer" Target="footer1.xml"/><Relationship Id="rId12" Type="http://schemas.openxmlformats.org/officeDocument/2006/relationships/hyperlink" Target="https://www.facebook.com/LogitechG" TargetMode="External"/><Relationship Id="rId23" Type="http://schemas.openxmlformats.org/officeDocument/2006/relationships/header" Target="header1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logitechg.com/es-mx" TargetMode="External"/><Relationship Id="rId15" Type="http://schemas.openxmlformats.org/officeDocument/2006/relationships/hyperlink" Target="https://www.youtube.com/channel/UCCNyeUr-yOwdoVzmb_CDITg" TargetMode="External"/><Relationship Id="rId14" Type="http://schemas.openxmlformats.org/officeDocument/2006/relationships/hyperlink" Target="https://www.instagram.com/logitechg/" TargetMode="External"/><Relationship Id="rId17" Type="http://schemas.openxmlformats.org/officeDocument/2006/relationships/hyperlink" Target="https://www.facebook.com/GGTechEntertainmentLATAM/" TargetMode="External"/><Relationship Id="rId16" Type="http://schemas.openxmlformats.org/officeDocument/2006/relationships/hyperlink" Target="https://www.ggtech.es/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instagram.com/ggtech_latam/" TargetMode="External"/><Relationship Id="rId6" Type="http://schemas.openxmlformats.org/officeDocument/2006/relationships/customXml" Target="../customXML/item1.xml"/><Relationship Id="rId18" Type="http://schemas.openxmlformats.org/officeDocument/2006/relationships/image" Target="media/image5.png"/><Relationship Id="rId7" Type="http://schemas.openxmlformats.org/officeDocument/2006/relationships/hyperlink" Target="https://qualy.gg/landing/girls-cup-by-logitech-g" TargetMode="External"/><Relationship Id="rId8" Type="http://schemas.openxmlformats.org/officeDocument/2006/relationships/hyperlink" Target="https://qualy.gg/landing/girls-cup-by-logitech-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gYjOVuflK+FruQXal4LHzwtkCeg==">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2021-02-08T20:43:00Z</dcterms:created>
  <dc:creator>JORGE LUIS SANTA MARIA</dc:creator>
</cp:coreProperties>
</file>