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80" w:before="180" w:lineRule="auto"/>
        <w:ind w:left="-140" w:right="-140" w:firstLine="0"/>
        <w:jc w:val="center"/>
        <w:rPr>
          <w:b w:val="1"/>
          <w:sz w:val="32"/>
          <w:szCs w:val="32"/>
          <w:highlight w:val="white"/>
        </w:rPr>
      </w:pPr>
      <w:bookmarkStart w:colFirst="0" w:colLast="0" w:name="_heading=h.fk91wlwoubby" w:id="0"/>
      <w:bookmarkEnd w:id="0"/>
      <w:r w:rsidDel="00000000" w:rsidR="00000000" w:rsidRPr="00000000">
        <w:rPr>
          <w:sz w:val="32"/>
          <w:szCs w:val="32"/>
          <w:highlight w:val="white"/>
          <w:rtl w:val="0"/>
        </w:rPr>
        <w:t xml:space="preserve">CASIO y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Honda Racing lanzan el modelo "Championship White" en colaboración con EDIFICE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both"/>
        <w:rPr>
          <w:i w:val="1"/>
          <w:sz w:val="22"/>
          <w:szCs w:val="22"/>
          <w:highlight w:val="white"/>
        </w:rPr>
      </w:pP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El modelo busca festejar el legado de Honda y sus victorias en la F1 a través de un elegante modelo de reloj que cuenta con un acabado de pintura blanca auténtica del campeonato en el a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nillo exterior de su esfera.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100d0d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Panamá, 17 de febrero de 2022.—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Casio ha anunciado el lanzamiento del modelo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ECB-S100HR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Honda Racing Championship White Edition, la última colaboración con Honda Racing para la línea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EDIFICE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de cronógrafos metálicos de alto rendimiento basada en el concepto “Velocidad e Inteligencia”.</w:t>
      </w:r>
    </w:p>
    <w:p w:rsidR="00000000" w:rsidDel="00000000" w:rsidP="00000000" w:rsidRDefault="00000000" w:rsidRPr="00000000" w14:paraId="00000005">
      <w:pPr>
        <w:spacing w:before="220" w:line="276" w:lineRule="auto"/>
        <w:jc w:val="both"/>
        <w:rPr>
          <w:color w:val="100d0d"/>
          <w:sz w:val="22"/>
          <w:szCs w:val="22"/>
        </w:rPr>
      </w:pPr>
      <w:r w:rsidDel="00000000" w:rsidR="00000000" w:rsidRPr="00000000">
        <w:rPr>
          <w:color w:val="100d0d"/>
          <w:sz w:val="22"/>
          <w:szCs w:val="22"/>
          <w:rtl w:val="0"/>
        </w:rPr>
        <w:t xml:space="preserve">Honda Racing hace parte de las actividades deportivas de motor que Honda Motor Co. (en adelante “Honda”) lleva a cabo en todo el mundo. La colaboración entre Honda Racing y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EDIFICE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, ambas con origen japonés, ha evolucionado desde 2018 a partir de una dedicación compartida para aprovechar las capacidades de alta tecnología en sus objetivos globales.</w:t>
      </w:r>
    </w:p>
    <w:p w:rsidR="00000000" w:rsidDel="00000000" w:rsidP="00000000" w:rsidRDefault="00000000" w:rsidRPr="00000000" w14:paraId="00000006">
      <w:pPr>
        <w:spacing w:before="220" w:line="276" w:lineRule="auto"/>
        <w:jc w:val="both"/>
        <w:rPr>
          <w:color w:val="100d0d"/>
          <w:sz w:val="22"/>
          <w:szCs w:val="22"/>
        </w:rPr>
      </w:pPr>
      <w:r w:rsidDel="00000000" w:rsidR="00000000" w:rsidRPr="00000000">
        <w:rPr>
          <w:color w:val="100d0d"/>
          <w:sz w:val="22"/>
          <w:szCs w:val="22"/>
          <w:rtl w:val="0"/>
        </w:rPr>
        <w:t xml:space="preserve">El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ECB-S100HR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rinde homenaje a la distinguida historia de Honda y a sus logros en la F1™, inspirándose en el diseño de la Honda RA271. Ya en 1964, el RA271 fue la primera participación de un fabricante de automóviles japonés en una carrera de F1™, con su carrocería blanca y el sol naciente rojo. Este color de carrocería, apodado “Championship White”, se convirtió en un símbolo del espíritu de competición de Honda. El anillo exterior de la esfera del 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ECB-S100HR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está acabado con auténtica pintura Championship White, mientras que la esfera interior y los botones están acentuados en rojo. La periferia del cristal presenta un patrón impreso que evoca una bandera a cuadros, un guiño a las numerosas victorias de Honda. La correa de cuero genuino presenta una combinación de colores en dos tonos, con la parte exterior en blanco y la inferior en rojo.</w:t>
      </w:r>
    </w:p>
    <w:p w:rsidR="00000000" w:rsidDel="00000000" w:rsidP="00000000" w:rsidRDefault="00000000" w:rsidRPr="00000000" w14:paraId="00000007">
      <w:pPr>
        <w:spacing w:before="220" w:line="276" w:lineRule="auto"/>
        <w:jc w:val="both"/>
        <w:rPr>
          <w:color w:val="100d0d"/>
          <w:sz w:val="22"/>
          <w:szCs w:val="22"/>
        </w:rPr>
      </w:pPr>
      <w:r w:rsidDel="00000000" w:rsidR="00000000" w:rsidRPr="00000000">
        <w:rPr>
          <w:color w:val="100d0d"/>
          <w:sz w:val="22"/>
          <w:szCs w:val="22"/>
          <w:rtl w:val="0"/>
        </w:rPr>
        <w:t xml:space="preserve">El </w:t>
      </w:r>
      <w:r w:rsidDel="00000000" w:rsidR="00000000" w:rsidRPr="00000000">
        <w:rPr>
          <w:b w:val="1"/>
          <w:color w:val="100d0d"/>
          <w:sz w:val="22"/>
          <w:szCs w:val="22"/>
          <w:rtl w:val="0"/>
        </w:rPr>
        <w:t xml:space="preserve">ECB-S100HR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ofrece un ajuste cómodo en la muñeca gracias a su carcasa delgada de tamaño medio y a sus útiles características, como el sistema de alimentación Tough Solar, que convierte eficazmente la luz para alimentar el reloj, así como la conectividad Bluetooth® y una luz LED doble de alta luminosidad. El reloj se empareja con un smartphone mediante una aplicación específica, para ajustarse automáticamente a la hora correcta y permitir al usuario seleccionar cualquiera de las más de 300 ciudades para la hora mundial. </w:t>
      </w:r>
    </w:p>
    <w:p w:rsidR="00000000" w:rsidDel="00000000" w:rsidP="00000000" w:rsidRDefault="00000000" w:rsidRPr="00000000" w14:paraId="00000008">
      <w:pPr>
        <w:spacing w:before="220" w:line="276" w:lineRule="auto"/>
        <w:jc w:val="both"/>
        <w:rPr>
          <w:sz w:val="22"/>
          <w:szCs w:val="22"/>
        </w:rPr>
      </w:pPr>
      <w:r w:rsidDel="00000000" w:rsidR="00000000" w:rsidRPr="00000000">
        <w:rPr>
          <w:color w:val="100d0d"/>
          <w:sz w:val="22"/>
          <w:szCs w:val="22"/>
          <w:rtl w:val="0"/>
        </w:rPr>
        <w:t xml:space="preserve">Dentro de un empaque de edición especial que incluye una correa adicional de color azul oscuro, este modelo de colaboración viene con una función particular llamada  </w:t>
      </w:r>
      <w:r w:rsidDel="00000000" w:rsidR="00000000" w:rsidRPr="00000000">
        <w:rPr>
          <w:i w:val="1"/>
          <w:color w:val="100d0d"/>
          <w:sz w:val="22"/>
          <w:szCs w:val="22"/>
          <w:rtl w:val="0"/>
        </w:rPr>
        <w:t xml:space="preserve">Time &amp; Place</w:t>
      </w:r>
      <w:r w:rsidDel="00000000" w:rsidR="00000000" w:rsidRPr="00000000">
        <w:rPr>
          <w:color w:val="100d0d"/>
          <w:sz w:val="22"/>
          <w:szCs w:val="22"/>
          <w:rtl w:val="0"/>
        </w:rPr>
        <w:t xml:space="preserve"> que registra la fecha y hora actual y la posición en un mapa dentro de la aplicación con sólo pulsar un botón en el reloj, permitiendo a los usuarios comprobar dónde y cuándo se encontraban en ese momento exacto. El indicador de la esfera inscrita en la posición de las 9 cuenta atrás la alarma objetivo, a partir de 30 minutos de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Acerca de Casio Computer Co., Ltd.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1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</w:t>
      <w:tab/>
      <w:t xml:space="preserve">[Type text]</w:t>
      <w:tab/>
      <w:t xml:space="preserve">[Type text]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153"/>
        <w:tab w:val="right" w:pos="8306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the document title]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153"/>
        <w:tab w:val="right" w:pos="8306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the date]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2057400</wp:posOffset>
          </wp:positionH>
          <wp:positionV relativeFrom="paragraph">
            <wp:posOffset>228600</wp:posOffset>
          </wp:positionV>
          <wp:extent cx="1366838" cy="447757"/>
          <wp:effectExtent b="0" l="0" r="0" t="0"/>
          <wp:wrapSquare wrapText="bothSides" distB="114300" distT="114300" distL="114300" distR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4477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pos="4153"/>
        <w:tab w:val="right" w:pos="8306"/>
        <w:tab w:val="center" w:pos="4320"/>
        <w:tab w:val="right" w:pos="8640"/>
      </w:tabs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Ind w:w="108.0" w:type="pc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640"/>
      <w:tblGridChange w:id="0">
        <w:tblGrid>
          <w:gridCol w:w="8640"/>
        </w:tblGrid>
      </w:tblGridChange>
    </w:tblGrid>
    <w:tr>
      <w:trPr>
        <w:cantSplit w:val="0"/>
        <w:trHeight w:val="1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Times" w:hAnsi="Times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">
    <w:name w:val="text"/>
    <w:basedOn w:val="Normal"/>
    <w:next w:val="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Times" w:hAnsi="Times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+zNIeOjpHTTSbratpXz7xVIoQ==">AMUW2mWTyU5mE4g7OlOq2TkfN+UvkL/F+mppmM37N/DMq8k4MwPcopr3mhGIEpZGSOs/S4G7tWbgBkag+tAlnO18+nPOBucJrx+itAfiQxYgbVIbypY+57NixhyJHP6wE7LGQu9s/OYu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2015-05-05T20:03:00Z</dcterms:created>
  <dc:creator>Gabriela Alvarado Vazquez Del Mercado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