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100"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CYPHER LEARNING honra en América Latina a educadores destacados que innovan con el método educativo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e-learning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Con el objetivo de reconocer y recompensar a los maestros en Colombia, México y Perú, por su compromiso e innovación en el formación en línea, la plataforma de aprendizaje inteligente más completa del mundo, anunció a los ganadores del primer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concurso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#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Back2SchoolWithNEO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quienes fueron acreedores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 la donación de herramientas digitales para apoyar sus clase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s.  </w:t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CYPHER LEARNING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el proveedor líder de plataformas inteligentes de aprendizaje para escuelas, universidades y organizaciones de todo el mundo, celebró a los ganadores de su concurso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#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Back2SchoolWithNEO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diseñado para honrar a los educadores destacados e innovadores que todos los días se esfuerzan en las aulas virtuales para mejorar el aprendizaje en línea de América Latina.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"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Estamos agradecidos por los increíbles maestros que forman parte de nuestra comunidad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", comparte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Graham Glass, CEO de CYPHER LEARNING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"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Esta fue una buena oportunidad para reconocer su apoyo y brindarles una muestra de agradecimiento. En los últimos dos años, los maestros han enfrentado grandes obstáculos y cambios. Son héroes en el salón de clases y más allá, y nos complace reconocer la innovación en las formas en que están incorporando el aprendizaje en línea en las actividades de clase, y atrayendo e inspirando a sus estudiantes en la región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".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concurso realizado a través de la </w:t>
      </w:r>
      <w:hyperlink r:id="rId6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u w:val="single"/>
            <w:rtl w:val="0"/>
          </w:rPr>
          <w:t xml:space="preserve">página oficial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de CYPHER LEARNING en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Facebook,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reconoció a los docentes que a través del uso de las herramientas disponibles en la plataforma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NEO de CYPHER LEARNING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han logrado emplear el método educativo del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e-learning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para involucrar a los estudiantes y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crear experiencias de aprendizaje memorables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accesibles y efectivas.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CYPHER LEARNING hizo realidad la lista de deseos de Amazon de los profesores ganadores, incluido el primer lugar,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Antonio José Aguilar Aguilar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docente en la escuela “Serapio Rendón” ubicada en Mérida, Yucatán, México. Antonio José asegura que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usa NEO todos los día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s, tanto él como sus estudiantes.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“Lo que más me emocionará es conocer a mis alumnos y brindarles todas las oportunidades, para darle continuidad a su preparación y encontrar las actividades primordiales para hacer más práctico su aprendizaje”.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educador añade: “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Muchos profesores hemos trabajado arduamente en los últimos años para brindar experiencias de aprendizaje en línea más flexibles, versátiles y efectivas. Los estudiantes también han trabajado arduamente y se han comprometido de nuevas maneras, este premio es especialmente significativo para mí y mis alumnos. Estas nuevas herramientas educativas definitivamente serán muy útiles en mis clases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”.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Graham Glass, finaliza: “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Durante los últimos meses, los maestros han enfrentado y superado muchos desafíos, ya sea en entornos presenciales, remotos o híbridos. Merecen ser reconocidos por sus esfuerzos sobresalientes y los impactos positivos que han tenido. A medida que comienza el verano, nos complace aliviar la presión asociada con la obtención de donaciones de material para el ciclo escolar 2022-2023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”.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Para obtener más información sobre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CYPHER LEARNING y su plataforma fácil de usar NEO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en la que confían escuelas y universidades de todo el mundo para respaldar los recorridos de aprendizaje, impulsar el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e-learning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inclusivo, personalizar las experiencias educativas y más, visite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www.cypherlearning.com/neo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center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Acerca de CYPHER LEARNING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color w:val="202124"/>
          <w:sz w:val="20"/>
          <w:szCs w:val="20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highlight w:val="white"/>
            <w:u w:val="single"/>
            <w:rtl w:val="0"/>
          </w:rPr>
          <w:t xml:space="preserve">CYPHER LEARNING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es una empresa con sede en San Francisco que se especializa en proporcionar plataformas de aprendizaje a organizaciones de todo el mundo. CYPHER LEARNING tiene tres productos: NEO LMS para escuelas y universidades, MATRIX LMS para empresas e INDIE LMS para emprendedores. Todos los productos son utilizados por más de 20.000 organizaciones en más de 40 idiomas y han ganado varios premios. CYPHER LEARNING es actualmente la única empresa que ofrece plataformas en los principales sectores de e-learning: académico, corporativo y empresarial.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300" w:before="180" w:line="240" w:lineRule="auto"/>
        <w:jc w:val="both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300" w:before="180" w:line="240" w:lineRule="auto"/>
        <w:jc w:val="both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842.51968503937" w:left="1440" w:right="1440" w:header="1275.590551181102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rFonts w:ascii="Montserrat" w:cs="Montserrat" w:eastAsia="Montserrat" w:hAnsi="Montserrat"/>
        <w:b w:val="1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b w:val="1"/>
        <w:sz w:val="28"/>
        <w:szCs w:val="28"/>
      </w:rPr>
      <w:drawing>
        <wp:inline distB="114300" distT="114300" distL="114300" distR="114300">
          <wp:extent cx="2338388" cy="53962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8388" cy="5396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rFonts w:ascii="Montserrat" w:cs="Montserrat" w:eastAsia="Montserrat" w:hAnsi="Montserrat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facebook.com/cypherlearninglatinoamerica/" TargetMode="External"/><Relationship Id="rId7" Type="http://schemas.openxmlformats.org/officeDocument/2006/relationships/hyperlink" Target="http://www.cypherlearning.com/?utm_source=24-7-press-release&amp;utm_medium=web&amp;utm_campaign=udemy_linkedin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