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360" w:firstLine="0"/>
        <w:contextualSpacing w:val="0"/>
        <w:jc w:val="center"/>
      </w:pPr>
      <w:r w:rsidDel="00000000" w:rsidR="00000000" w:rsidRPr="00000000">
        <w:rPr>
          <w:rFonts w:ascii="Arial" w:cs="Arial" w:eastAsia="Arial" w:hAnsi="Arial"/>
          <w:b w:val="1"/>
          <w:sz w:val="28"/>
          <w:szCs w:val="28"/>
          <w:rtl w:val="0"/>
        </w:rPr>
        <w:t xml:space="preserve">VIDANTA NUEVO VALLARTA, SEDE DEL PRIMER TORNEO INTERNACIONAL DE GOLF “CELEBRITY INVITATIONAL”</w:t>
      </w:r>
      <w:r w:rsidDel="00000000" w:rsidR="00000000" w:rsidRPr="00000000">
        <w:rPr>
          <w:rtl w:val="0"/>
        </w:rPr>
      </w:r>
    </w:p>
    <w:p w:rsidR="00000000" w:rsidDel="00000000" w:rsidP="00000000" w:rsidRDefault="00000000" w:rsidRPr="00000000">
      <w:pPr>
        <w:spacing w:line="276" w:lineRule="auto"/>
        <w:ind w:left="360" w:firstLine="0"/>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i w:val="1"/>
          <w:sz w:val="22"/>
          <w:szCs w:val="22"/>
          <w:rtl w:val="0"/>
        </w:rPr>
        <w:t xml:space="preserve">Los campos de golf diseñados por Greg Norman y Jack Nicklaus, serán los escenarios perfectos para llevar a cabo del próximo 13 al 15 de octubre, el primer torneo de golf “Celebrity Invitational” en Vidanta Nuevo Vallarta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Riviera Nayarit, México, 29</w:t>
      </w:r>
      <w:r w:rsidDel="00000000" w:rsidR="00000000" w:rsidRPr="00000000">
        <w:rPr>
          <w:rFonts w:ascii="Arial" w:cs="Arial" w:eastAsia="Arial" w:hAnsi="Arial"/>
          <w:b w:val="1"/>
          <w:sz w:val="22"/>
          <w:szCs w:val="22"/>
          <w:rtl w:val="0"/>
        </w:rPr>
        <w:t xml:space="preserve"> de agosto de 2016.-</w:t>
      </w:r>
      <w:r w:rsidDel="00000000" w:rsidR="00000000" w:rsidRPr="00000000">
        <w:rPr>
          <w:b w:val="1"/>
          <w:rtl w:val="0"/>
        </w:rPr>
        <w:t xml:space="preserve"> </w:t>
      </w:r>
      <w:r w:rsidDel="00000000" w:rsidR="00000000" w:rsidRPr="00000000">
        <w:rPr>
          <w:rFonts w:ascii="Arial" w:cs="Arial" w:eastAsia="Arial" w:hAnsi="Arial"/>
          <w:b w:val="1"/>
          <w:sz w:val="22"/>
          <w:szCs w:val="22"/>
          <w:rtl w:val="0"/>
        </w:rPr>
        <w:t xml:space="preserve">Grupo Vidanta</w:t>
      </w:r>
      <w:r w:rsidDel="00000000" w:rsidR="00000000" w:rsidRPr="00000000">
        <w:rPr>
          <w:rFonts w:ascii="Arial" w:cs="Arial" w:eastAsia="Arial" w:hAnsi="Arial"/>
          <w:sz w:val="22"/>
          <w:szCs w:val="22"/>
          <w:rtl w:val="0"/>
        </w:rPr>
        <w:t xml:space="preserve"> - líder en el desarrollo de campos de golf en México -, se enorgullece en anunciar el primer torneo de golf “The Vidanta Celebrity Invitational” que se celebrará del 13 al 15 de octubre de 2016 en Vidanta Nuevo Vallarta, en la Riviera Nayarit. Todos los recorridos se llevarán a cabo en los campos diseñados por dos leyendas del golf, Jack Nicklaus y Greg Norman, este último se presentará durante el evento, antes de su inauguración oficial programada del 12 al 14 de noviembre de este año.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El formato del torneo será </w:t>
      </w:r>
      <w:r w:rsidDel="00000000" w:rsidR="00000000" w:rsidRPr="00000000">
        <w:rPr>
          <w:rFonts w:ascii="Arial" w:cs="Arial" w:eastAsia="Arial" w:hAnsi="Arial"/>
          <w:i w:val="1"/>
          <w:sz w:val="22"/>
          <w:szCs w:val="22"/>
          <w:rtl w:val="0"/>
        </w:rPr>
        <w:t xml:space="preserve">a Go-Go</w:t>
      </w:r>
      <w:r w:rsidDel="00000000" w:rsidR="00000000" w:rsidRPr="00000000">
        <w:rPr>
          <w:rFonts w:ascii="Arial" w:cs="Arial" w:eastAsia="Arial" w:hAnsi="Arial"/>
          <w:sz w:val="22"/>
          <w:szCs w:val="22"/>
          <w:rtl w:val="0"/>
        </w:rPr>
        <w:t xml:space="preserve"> por equipos, los cuales estarán conformados por cuatro aficionados y una celebridad de la NFL, MLB o NBA; entre las que destacan la leyenda del básquetbol, Ray Allen; el dos veces campeón de la Serie Mundial de Béisbol, Buster Posey y el miembro del Salón de la Fama de Fútbol Americano, Warren Sapp.</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La convocatoria está abierta a todo el público y el costo por participante es de $1,499 dólares e incluye desayunos, regalos de bienvenida, una fiesta tipo cóctel, un día de spa, cena de premiación y dos rondas con las celebridades; además de la oportunidad de ganar un total de $50,000 dólares en efectivo. De manera adicional, se entregarán premios significativos para el primer, segundo y tercer lugar en divisiones con y sin hándicap; premios diarios de </w:t>
      </w:r>
      <w:r w:rsidDel="00000000" w:rsidR="00000000" w:rsidRPr="00000000">
        <w:rPr>
          <w:rFonts w:ascii="Arial" w:cs="Arial" w:eastAsia="Arial" w:hAnsi="Arial"/>
          <w:i w:val="1"/>
          <w:sz w:val="22"/>
          <w:szCs w:val="22"/>
          <w:rtl w:val="0"/>
        </w:rPr>
        <w:t xml:space="preserve">O’yes</w:t>
      </w:r>
      <w:r w:rsidDel="00000000" w:rsidR="00000000" w:rsidRPr="00000000">
        <w:rPr>
          <w:rFonts w:ascii="Arial" w:cs="Arial" w:eastAsia="Arial" w:hAnsi="Arial"/>
          <w:sz w:val="22"/>
          <w:szCs w:val="22"/>
          <w:rtl w:val="0"/>
        </w:rPr>
        <w:t xml:space="preserve"> en todos los </w:t>
      </w:r>
      <w:r w:rsidDel="00000000" w:rsidR="00000000" w:rsidRPr="00000000">
        <w:rPr>
          <w:rFonts w:ascii="Arial" w:cs="Arial" w:eastAsia="Arial" w:hAnsi="Arial"/>
          <w:i w:val="1"/>
          <w:sz w:val="22"/>
          <w:szCs w:val="22"/>
          <w:rtl w:val="0"/>
        </w:rPr>
        <w:t xml:space="preserve">par tres</w:t>
      </w:r>
      <w:r w:rsidDel="00000000" w:rsidR="00000000" w:rsidRPr="00000000">
        <w:rPr>
          <w:rFonts w:ascii="Arial" w:cs="Arial" w:eastAsia="Arial" w:hAnsi="Arial"/>
          <w:sz w:val="22"/>
          <w:szCs w:val="22"/>
          <w:rtl w:val="0"/>
        </w:rPr>
        <w:t xml:space="preserve">, así como para el </w:t>
      </w:r>
      <w:r w:rsidDel="00000000" w:rsidR="00000000" w:rsidRPr="00000000">
        <w:rPr>
          <w:rFonts w:ascii="Arial" w:cs="Arial" w:eastAsia="Arial" w:hAnsi="Arial"/>
          <w:i w:val="1"/>
          <w:sz w:val="22"/>
          <w:szCs w:val="22"/>
          <w:rtl w:val="0"/>
        </w:rPr>
        <w:t xml:space="preserve">driver</w:t>
      </w:r>
      <w:r w:rsidDel="00000000" w:rsidR="00000000" w:rsidRPr="00000000">
        <w:rPr>
          <w:rFonts w:ascii="Arial" w:cs="Arial" w:eastAsia="Arial" w:hAnsi="Arial"/>
          <w:sz w:val="22"/>
          <w:szCs w:val="22"/>
          <w:rtl w:val="0"/>
        </w:rPr>
        <w:t xml:space="preserve"> más largo.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"Como líder en el desarrollo de campos de golf en México, Vidanta busca ofrecer constantemente las mejores y más novedosas experiencias en este deporte y en general, en turismo", dijo Iván Chávez, vicepresidente ejecutivo de Grupo Vidanta. "Nos hemos convertido en un referente en la industria y seguiremos esforzándonos por presentar a nuestros clientes las mejores opciones. Es por ello que hoy, somos anfitriones de eventos como el primer torneo de golf </w:t>
      </w:r>
      <w:r w:rsidDel="00000000" w:rsidR="00000000" w:rsidRPr="00000000">
        <w:rPr>
          <w:rFonts w:ascii="Arial" w:cs="Arial" w:eastAsia="Arial" w:hAnsi="Arial"/>
          <w:i w:val="1"/>
          <w:sz w:val="22"/>
          <w:szCs w:val="22"/>
          <w:rtl w:val="0"/>
        </w:rPr>
        <w:t xml:space="preserve">The Vidanta Celebrity Invitational</w:t>
      </w:r>
      <w:r w:rsidDel="00000000" w:rsidR="00000000" w:rsidRPr="00000000">
        <w:rPr>
          <w:rFonts w:ascii="Arial" w:cs="Arial" w:eastAsia="Arial" w:hAnsi="Arial"/>
          <w:sz w:val="22"/>
          <w:szCs w:val="22"/>
          <w:rtl w:val="0"/>
        </w:rPr>
        <w:t xml:space="preserve">, con el que además estamos promoviendo este increíble lugar a nivel mundial."</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Las celebridades invitadas presentarán además, algunos de sus artículos personales de colección que serán subastados en la fiesta de bienvenida, programada para el 13 de octubre, y los fondos recaudados durante el evento se destinarán íntegramente a la Fundación Delia Morán - institución sin fines de lucro dedicada a fomentar el aprendizaje y el desarrollo infantil en la región de Vallarta. Al complementar la educación formal con diferentes tipos de actividades, ayuda a la niñez a descubrir y desarrollar su verdadero potencial de manera divertida y creativa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br w:type="textWrapping"/>
        <w:t xml:space="preserve">Para obtener más información sobre el torneo de golf “The Vidanta Celebrity Invitational” o para reservar un lugar, visite </w:t>
      </w:r>
      <w:hyperlink r:id="rId5">
        <w:r w:rsidDel="00000000" w:rsidR="00000000" w:rsidRPr="00000000">
          <w:rPr>
            <w:rFonts w:ascii="Arial" w:cs="Arial" w:eastAsia="Arial" w:hAnsi="Arial"/>
            <w:color w:val="0000ff"/>
            <w:sz w:val="22"/>
            <w:szCs w:val="22"/>
            <w:u w:val="single"/>
            <w:rtl w:val="0"/>
          </w:rPr>
          <w:t xml:space="preserve">www.vidanta.com/GolfTournament/</w:t>
        </w:r>
      </w:hyperlink>
      <w:r w:rsidDel="00000000" w:rsidR="00000000" w:rsidRPr="00000000">
        <w:rPr>
          <w:rFonts w:ascii="Arial" w:cs="Arial" w:eastAsia="Arial" w:hAnsi="Arial"/>
          <w:sz w:val="22"/>
          <w:szCs w:val="22"/>
          <w:rtl w:val="0"/>
        </w:rPr>
        <w:t xml:space="preserve"> o llame al 1.866.231.4423.</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i w:val="1"/>
          <w:sz w:val="22"/>
          <w:szCs w:val="22"/>
          <w:rtl w:val="0"/>
        </w:rPr>
        <w:t xml:space="preserve"># #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0"/>
          <w:szCs w:val="20"/>
          <w:rtl w:val="0"/>
        </w:rPr>
        <w:t xml:space="preserve">Acerca de Grupo Vidanta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i w:val="1"/>
          <w:sz w:val="20"/>
          <w:szCs w:val="20"/>
          <w:rtl w:val="0"/>
        </w:rPr>
        <w:t xml:space="preserve">resorts</w:t>
      </w:r>
      <w:r w:rsidDel="00000000" w:rsidR="00000000" w:rsidRPr="00000000">
        <w:rPr>
          <w:rFonts w:ascii="Arial" w:cs="Arial" w:eastAsia="Arial" w:hAnsi="Arial"/>
          <w:sz w:val="20"/>
          <w:szCs w:val="20"/>
          <w:rtl w:val="0"/>
        </w:rPr>
        <w:t xml:space="preserve"> de lujo y hoteles en México y tiene al </w:t>
      </w:r>
      <w:r w:rsidDel="00000000" w:rsidR="00000000" w:rsidRPr="00000000">
        <w:rPr>
          <w:rFonts w:ascii="Arial" w:cs="Arial" w:eastAsia="Arial" w:hAnsi="Arial"/>
          <w:i w:val="1"/>
          <w:sz w:val="20"/>
          <w:szCs w:val="20"/>
          <w:rtl w:val="0"/>
        </w:rPr>
        <w:t xml:space="preserve">G</w:t>
      </w:r>
      <w:r w:rsidDel="00000000" w:rsidR="00000000" w:rsidRPr="00000000">
        <w:rPr>
          <w:rFonts w:ascii="Arial" w:cs="Arial" w:eastAsia="Arial" w:hAnsi="Arial"/>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i w:val="1"/>
          <w:sz w:val="20"/>
          <w:szCs w:val="20"/>
          <w:rtl w:val="0"/>
        </w:rPr>
        <w:t xml:space="preserve">resorts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i w:val="1"/>
          <w:sz w:val="20"/>
          <w:szCs w:val="20"/>
          <w:rtl w:val="0"/>
        </w:rPr>
        <w:t xml:space="preserve">resorts</w:t>
      </w:r>
      <w:r w:rsidDel="00000000" w:rsidR="00000000" w:rsidRPr="00000000">
        <w:rPr>
          <w:rFonts w:ascii="Arial" w:cs="Arial" w:eastAsia="Arial" w:hAnsi="Arial"/>
          <w:sz w:val="20"/>
          <w:szCs w:val="20"/>
          <w:rtl w:val="0"/>
        </w:rPr>
        <w:t xml:space="preserve"> Vidanta y los </w:t>
      </w:r>
      <w:r w:rsidDel="00000000" w:rsidR="00000000" w:rsidRPr="00000000">
        <w:rPr>
          <w:rFonts w:ascii="Arial" w:cs="Arial" w:eastAsia="Arial" w:hAnsi="Arial"/>
          <w:i w:val="1"/>
          <w:sz w:val="20"/>
          <w:szCs w:val="20"/>
          <w:rtl w:val="0"/>
        </w:rPr>
        <w:t xml:space="preserve">mega resorts </w:t>
      </w:r>
      <w:r w:rsidDel="00000000" w:rsidR="00000000" w:rsidRPr="00000000">
        <w:rPr>
          <w:rFonts w:ascii="Arial" w:cs="Arial" w:eastAsia="Arial" w:hAnsi="Arial"/>
          <w:sz w:val="20"/>
          <w:szCs w:val="20"/>
          <w:rtl w:val="0"/>
        </w:rPr>
        <w:t xml:space="preserve">en las costas de los destinos más cotizados de México</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sz w:val="20"/>
          <w:szCs w:val="20"/>
          <w:rtl w:val="0"/>
        </w:rPr>
        <w:t xml:space="preserve">Nuevo Vallarta, Riviera Maya, Los Cabos, Acapulco, Puerto Peñasco, Puerto Vallarta y Mazatlán</w:t>
      </w:r>
      <w:r w:rsidDel="00000000" w:rsidR="00000000" w:rsidRPr="00000000">
        <w:rPr>
          <w:rFonts w:ascii="Arial" w:cs="Arial" w:eastAsia="Arial" w:hAnsi="Arial"/>
          <w:color w:val="000000"/>
          <w:sz w:val="20"/>
          <w:szCs w:val="20"/>
          <w:highlight w:val="white"/>
          <w:rtl w:val="0"/>
        </w:rPr>
        <w:t xml:space="preserve">— con marcas como </w:t>
      </w:r>
      <w:r w:rsidDel="00000000" w:rsidR="00000000" w:rsidRPr="00000000">
        <w:rPr>
          <w:rFonts w:ascii="Arial" w:cs="Arial" w:eastAsia="Arial" w:hAnsi="Arial"/>
          <w:i w:val="1"/>
          <w:sz w:val="20"/>
          <w:szCs w:val="20"/>
          <w:rtl w:val="0"/>
        </w:rPr>
        <w:t xml:space="preserve">Grand Luxxe, The Grand Bliss, The Grand Mayan, The Bliss, Mayan Palace, Ocean Breeze </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i w:val="1"/>
          <w:sz w:val="20"/>
          <w:szCs w:val="20"/>
          <w:rtl w:val="0"/>
        </w:rPr>
        <w:t xml:space="preserve"> Sea Garden,</w:t>
      </w:r>
      <w:r w:rsidDel="00000000" w:rsidR="00000000" w:rsidRPr="00000000">
        <w:rPr>
          <w:rFonts w:ascii="Arial" w:cs="Arial" w:eastAsia="Arial" w:hAnsi="Arial"/>
          <w:sz w:val="20"/>
          <w:szCs w:val="20"/>
          <w:rtl w:val="0"/>
        </w:rPr>
        <w:t xml:space="preserve"> así como otras en desarrollo.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Grupo Vidanta fue fundado por Daniel Chávez Morán en 1974 y opera dos fundaciones para enriquecer la vida de los latinoamericanos. Para más información, visita</w:t>
      </w:r>
      <w:hyperlink r:id="rId6">
        <w:r w:rsidDel="00000000" w:rsidR="00000000" w:rsidRPr="00000000">
          <w:rPr>
            <w:rFonts w:ascii="Arial" w:cs="Arial" w:eastAsia="Arial" w:hAnsi="Arial"/>
            <w:sz w:val="20"/>
            <w:szCs w:val="20"/>
            <w:rtl w:val="0"/>
          </w:rPr>
          <w:t xml:space="preserve"> </w:t>
        </w:r>
      </w:hyperlink>
      <w:hyperlink r:id="rId7">
        <w:r w:rsidDel="00000000" w:rsidR="00000000" w:rsidRPr="00000000">
          <w:rPr>
            <w:rFonts w:ascii="Arial" w:cs="Arial" w:eastAsia="Arial" w:hAnsi="Arial"/>
            <w:color w:val="1155cc"/>
            <w:sz w:val="20"/>
            <w:szCs w:val="20"/>
            <w:u w:val="single"/>
            <w:rtl w:val="0"/>
          </w:rPr>
          <w:t xml:space="preserve">http://vidanta.com/</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331" w:lineRule="auto"/>
        <w:contextualSpacing w:val="0"/>
        <w:jc w:val="both"/>
      </w:pPr>
      <w:r w:rsidDel="00000000" w:rsidR="00000000" w:rsidRPr="00000000">
        <w:rPr>
          <w:rFonts w:ascii="Arial" w:cs="Arial" w:eastAsia="Arial" w:hAnsi="Arial"/>
          <w:b w:val="1"/>
          <w:sz w:val="22"/>
          <w:szCs w:val="22"/>
          <w:rtl w:val="0"/>
        </w:rPr>
        <w:t xml:space="preserve">CONTACTO</w:t>
      </w:r>
      <w:r w:rsidDel="00000000" w:rsidR="00000000" w:rsidRPr="00000000">
        <w:rPr>
          <w:rtl w:val="0"/>
        </w:rPr>
      </w:r>
    </w:p>
    <w:p w:rsidR="00000000" w:rsidDel="00000000" w:rsidP="00000000" w:rsidRDefault="00000000" w:rsidRPr="00000000">
      <w:pPr>
        <w:spacing w:line="331" w:lineRule="auto"/>
        <w:contextualSpacing w:val="0"/>
        <w:jc w:val="both"/>
      </w:pPr>
      <w:r w:rsidDel="00000000" w:rsidR="00000000" w:rsidRPr="00000000">
        <w:rPr>
          <w:rFonts w:ascii="Arial" w:cs="Arial" w:eastAsia="Arial" w:hAnsi="Arial"/>
          <w:sz w:val="22"/>
          <w:szCs w:val="22"/>
          <w:rtl w:val="0"/>
        </w:rPr>
        <w:t xml:space="preserve">Sandy Machuca</w:t>
      </w:r>
      <w:r w:rsidDel="00000000" w:rsidR="00000000" w:rsidRPr="00000000">
        <w:rPr>
          <w:rtl w:val="0"/>
        </w:rPr>
      </w:r>
    </w:p>
    <w:p w:rsidR="00000000" w:rsidDel="00000000" w:rsidP="00000000" w:rsidRDefault="00000000" w:rsidRPr="00000000">
      <w:pPr>
        <w:spacing w:line="331" w:lineRule="auto"/>
        <w:contextualSpacing w:val="0"/>
        <w:jc w:val="both"/>
      </w:pPr>
      <w:r w:rsidDel="00000000" w:rsidR="00000000" w:rsidRPr="00000000">
        <w:rPr>
          <w:rFonts w:ascii="Arial" w:cs="Arial" w:eastAsia="Arial" w:hAnsi="Arial"/>
          <w:sz w:val="22"/>
          <w:szCs w:val="22"/>
          <w:rtl w:val="0"/>
        </w:rPr>
        <w:t xml:space="preserve">Another Company</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Of. 6392.1100 ext. 2408</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headerReference r:id="rId8" w:type="default"/>
      <w:pgSz w:h="15840" w:w="12240"/>
      <w:pgMar w:bottom="1440" w:top="1699"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1485900</wp:posOffset>
          </wp:positionH>
          <wp:positionV relativeFrom="paragraph">
            <wp:posOffset>-178431</wp:posOffset>
          </wp:positionV>
          <wp:extent cx="2428875" cy="640080"/>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danta.com/GolfTournament/" TargetMode="External"/><Relationship Id="rId6" Type="http://schemas.openxmlformats.org/officeDocument/2006/relationships/hyperlink" Target="http:///h" TargetMode="External"/><Relationship Id="rId7" Type="http://schemas.openxmlformats.org/officeDocument/2006/relationships/hyperlink" Target="http://vidant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