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76" w:lineRule="auto"/>
        <w:ind w:left="360" w:firstLine="0"/>
        <w:contextualSpacing w:val="0"/>
        <w:jc w:val="center"/>
      </w:pPr>
      <w:r w:rsidDel="00000000" w:rsidR="00000000" w:rsidRPr="00000000">
        <w:rPr>
          <w:rFonts w:ascii="Arial" w:cs="Arial" w:eastAsia="Arial" w:hAnsi="Arial"/>
          <w:b w:val="1"/>
          <w:sz w:val="28"/>
          <w:szCs w:val="28"/>
          <w:rtl w:val="0"/>
        </w:rPr>
        <w:t xml:space="preserve">VIDANTA NUEVO VALLARTA, SEDE DEL PRIMER TORNEO INTERNACIONAL DE GOLF “CELEBRITY INVITATIONAL”</w:t>
      </w:r>
      <w:r w:rsidDel="00000000" w:rsidR="00000000" w:rsidRPr="00000000">
        <w:rPr>
          <w:rtl w:val="0"/>
        </w:rPr>
      </w:r>
    </w:p>
    <w:p w:rsidR="00000000" w:rsidDel="00000000" w:rsidP="00000000" w:rsidRDefault="00000000" w:rsidRPr="00000000">
      <w:pPr>
        <w:spacing w:line="276" w:lineRule="auto"/>
        <w:ind w:left="360" w:firstLine="0"/>
        <w:contextualSpacing w:val="0"/>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rFonts w:ascii="Arial" w:cs="Arial" w:eastAsia="Arial" w:hAnsi="Arial"/>
          <w:i w:val="1"/>
          <w:sz w:val="22"/>
          <w:szCs w:val="22"/>
          <w:rtl w:val="0"/>
        </w:rPr>
        <w:t xml:space="preserve">Los campos de golf diseñados por Greg Norman y Jack Nicklaus, serán los escenarios perfectos para llevar a cabo del próximo 13 al 15 de octubre, el primer torneo de golf “Celebrity Invitational” en Vidanta Nuevo Vallarta</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Arial" w:cs="Arial" w:eastAsia="Arial" w:hAnsi="Arial"/>
          <w:b w:val="1"/>
          <w:sz w:val="22"/>
          <w:szCs w:val="22"/>
          <w:rtl w:val="0"/>
        </w:rPr>
        <w:t xml:space="preserve">Riviera Nayarit, México, 29</w:t>
      </w:r>
      <w:r w:rsidDel="00000000" w:rsidR="00000000" w:rsidRPr="00000000">
        <w:rPr>
          <w:rFonts w:ascii="Arial" w:cs="Arial" w:eastAsia="Arial" w:hAnsi="Arial"/>
          <w:b w:val="1"/>
          <w:sz w:val="22"/>
          <w:szCs w:val="22"/>
          <w:rtl w:val="0"/>
        </w:rPr>
        <w:t xml:space="preserve"> de agosto de 2016.-</w:t>
      </w:r>
      <w:r w:rsidDel="00000000" w:rsidR="00000000" w:rsidRPr="00000000">
        <w:rPr>
          <w:b w:val="1"/>
          <w:rtl w:val="0"/>
        </w:rPr>
        <w:t xml:space="preserve"> </w:t>
      </w:r>
      <w:r w:rsidDel="00000000" w:rsidR="00000000" w:rsidRPr="00000000">
        <w:rPr>
          <w:rFonts w:ascii="Arial" w:cs="Arial" w:eastAsia="Arial" w:hAnsi="Arial"/>
          <w:b w:val="1"/>
          <w:sz w:val="22"/>
          <w:szCs w:val="22"/>
          <w:rtl w:val="0"/>
        </w:rPr>
        <w:t xml:space="preserve">Grupo Vidanta</w:t>
      </w:r>
      <w:r w:rsidDel="00000000" w:rsidR="00000000" w:rsidRPr="00000000">
        <w:rPr>
          <w:rFonts w:ascii="Arial" w:cs="Arial" w:eastAsia="Arial" w:hAnsi="Arial"/>
          <w:sz w:val="22"/>
          <w:szCs w:val="22"/>
          <w:rtl w:val="0"/>
        </w:rPr>
        <w:t xml:space="preserve"> - líder en el desarrollo de campos de golf en México -, se enorgullece en anunciar el primer torneo de golf “The Vidanta Celebrity Invitational” que se celebrará del 13 al 15 de octubre de 2016 en Vidanta Nuevo Vallarta, en la Riviera Nayarit. Todos los recorridos se llevarán a cabo en los campos diseñados por dos leyendas del golf, Jack Nicklaus y Greg Norman, este último se presentará durante el evento, antes de su inauguración oficial programada del 12 al 14 de noviembre de este año.</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Arial" w:cs="Arial" w:eastAsia="Arial" w:hAnsi="Arial"/>
          <w:sz w:val="22"/>
          <w:szCs w:val="22"/>
          <w:rtl w:val="0"/>
        </w:rPr>
        <w:t xml:space="preserve">El formato del torneo será </w:t>
      </w:r>
      <w:r w:rsidDel="00000000" w:rsidR="00000000" w:rsidRPr="00000000">
        <w:rPr>
          <w:rFonts w:ascii="Arial" w:cs="Arial" w:eastAsia="Arial" w:hAnsi="Arial"/>
          <w:i w:val="1"/>
          <w:sz w:val="22"/>
          <w:szCs w:val="22"/>
          <w:rtl w:val="0"/>
        </w:rPr>
        <w:t xml:space="preserve">a Go-Go</w:t>
      </w:r>
      <w:r w:rsidDel="00000000" w:rsidR="00000000" w:rsidRPr="00000000">
        <w:rPr>
          <w:rFonts w:ascii="Arial" w:cs="Arial" w:eastAsia="Arial" w:hAnsi="Arial"/>
          <w:sz w:val="22"/>
          <w:szCs w:val="22"/>
          <w:rtl w:val="0"/>
        </w:rPr>
        <w:t xml:space="preserve"> por equipos, los cuales estarán conformados por cuatro aficionados y una celebridad de la NFL, MLB o NBA; entre las que destacan la leyenda del básquetbol, Ray Allen; el dos veces campeón de la Serie Mundial de Béisbol, Buster Posey y el miembro del Salón de la Fama de Fútbol Americano, Warren Sapp.</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Arial" w:cs="Arial" w:eastAsia="Arial" w:hAnsi="Arial"/>
          <w:sz w:val="22"/>
          <w:szCs w:val="22"/>
          <w:rtl w:val="0"/>
        </w:rPr>
        <w:t xml:space="preserve">La convocatoria está abierta a todo el público y el costo por participante es de $1,499 dólares e incluye desayunos, regalos de bienvenida, una fiesta tipo cóctel, un día de spa, cena de premiación y dos rondas con las celebridades; además de la oportunidad de ganar un total de $50,000 dólares en efectivo. De manera adicional, se entregarán premios significativos para el primer, segundo y tercer lugar en divisiones con y sin hándicap; premios diarios de </w:t>
      </w:r>
      <w:r w:rsidDel="00000000" w:rsidR="00000000" w:rsidRPr="00000000">
        <w:rPr>
          <w:rFonts w:ascii="Arial" w:cs="Arial" w:eastAsia="Arial" w:hAnsi="Arial"/>
          <w:i w:val="1"/>
          <w:sz w:val="22"/>
          <w:szCs w:val="22"/>
          <w:rtl w:val="0"/>
        </w:rPr>
        <w:t xml:space="preserve">O’yes</w:t>
      </w:r>
      <w:r w:rsidDel="00000000" w:rsidR="00000000" w:rsidRPr="00000000">
        <w:rPr>
          <w:rFonts w:ascii="Arial" w:cs="Arial" w:eastAsia="Arial" w:hAnsi="Arial"/>
          <w:sz w:val="22"/>
          <w:szCs w:val="22"/>
          <w:rtl w:val="0"/>
        </w:rPr>
        <w:t xml:space="preserve"> en todos los </w:t>
      </w:r>
      <w:r w:rsidDel="00000000" w:rsidR="00000000" w:rsidRPr="00000000">
        <w:rPr>
          <w:rFonts w:ascii="Arial" w:cs="Arial" w:eastAsia="Arial" w:hAnsi="Arial"/>
          <w:i w:val="1"/>
          <w:sz w:val="22"/>
          <w:szCs w:val="22"/>
          <w:rtl w:val="0"/>
        </w:rPr>
        <w:t xml:space="preserve">par tres</w:t>
      </w:r>
      <w:r w:rsidDel="00000000" w:rsidR="00000000" w:rsidRPr="00000000">
        <w:rPr>
          <w:rFonts w:ascii="Arial" w:cs="Arial" w:eastAsia="Arial" w:hAnsi="Arial"/>
          <w:sz w:val="22"/>
          <w:szCs w:val="22"/>
          <w:rtl w:val="0"/>
        </w:rPr>
        <w:t xml:space="preserve">, así como para el </w:t>
      </w:r>
      <w:r w:rsidDel="00000000" w:rsidR="00000000" w:rsidRPr="00000000">
        <w:rPr>
          <w:rFonts w:ascii="Arial" w:cs="Arial" w:eastAsia="Arial" w:hAnsi="Arial"/>
          <w:i w:val="1"/>
          <w:sz w:val="22"/>
          <w:szCs w:val="22"/>
          <w:rtl w:val="0"/>
        </w:rPr>
        <w:t xml:space="preserve">driver</w:t>
      </w:r>
      <w:r w:rsidDel="00000000" w:rsidR="00000000" w:rsidRPr="00000000">
        <w:rPr>
          <w:rFonts w:ascii="Arial" w:cs="Arial" w:eastAsia="Arial" w:hAnsi="Arial"/>
          <w:sz w:val="22"/>
          <w:szCs w:val="22"/>
          <w:rtl w:val="0"/>
        </w:rPr>
        <w:t xml:space="preserve"> más largo.</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Arial" w:cs="Arial" w:eastAsia="Arial" w:hAnsi="Arial"/>
          <w:sz w:val="22"/>
          <w:szCs w:val="22"/>
          <w:rtl w:val="0"/>
        </w:rPr>
        <w:t xml:space="preserve">"Como líder en el desarrollo de campos de golf en México, Vidanta busca ofrecer constantemente las mejores y más novedosas experiencias en este deporte y en general, en turismo", dijo Iván Chávez, vicepresidente ejecutivo de Grupo Vidanta. "Nos hemos convertido en un referente en la industria y seguiremos esforzándonos por presentar a nuestros clientes las mejores opciones. Es por ello que hoy, somos anfitriones de eventos como el primer torneo de golf </w:t>
      </w:r>
      <w:r w:rsidDel="00000000" w:rsidR="00000000" w:rsidRPr="00000000">
        <w:rPr>
          <w:rFonts w:ascii="Arial" w:cs="Arial" w:eastAsia="Arial" w:hAnsi="Arial"/>
          <w:i w:val="1"/>
          <w:sz w:val="22"/>
          <w:szCs w:val="22"/>
          <w:rtl w:val="0"/>
        </w:rPr>
        <w:t xml:space="preserve">The Vidanta Celebrity Invitational</w:t>
      </w:r>
      <w:r w:rsidDel="00000000" w:rsidR="00000000" w:rsidRPr="00000000">
        <w:rPr>
          <w:rFonts w:ascii="Arial" w:cs="Arial" w:eastAsia="Arial" w:hAnsi="Arial"/>
          <w:sz w:val="22"/>
          <w:szCs w:val="22"/>
          <w:rtl w:val="0"/>
        </w:rPr>
        <w:t xml:space="preserve">, con el que además estamos promoviendo este increíble lugar a nivel mundial."</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Arial" w:cs="Arial" w:eastAsia="Arial" w:hAnsi="Arial"/>
          <w:sz w:val="22"/>
          <w:szCs w:val="22"/>
          <w:rtl w:val="0"/>
        </w:rPr>
        <w:t xml:space="preserve">Las celebridades invitadas presentarán además, algunos de sus artículos personales de colección que serán subastados en la fiesta de bienvenida, programada para el 13 de octubre, y los fondos recaudados durante el evento se destinarán íntegramente a la Fundación Delia Morán - institución sin fines de lucro dedicada a fomentar el aprendizaje y el desarrollo infantil en la región de Vallarta. Al complementar la educación formal con diferentes tipos de actividades, ayuda a la niñez a descubrir y desarrollar su verdadero potencial de manera divertida y creativa -.</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Arial" w:cs="Arial" w:eastAsia="Arial" w:hAnsi="Arial"/>
          <w:sz w:val="22"/>
          <w:szCs w:val="22"/>
          <w:rtl w:val="0"/>
        </w:rPr>
        <w:br w:type="textWrapping"/>
        <w:t xml:space="preserve">Para obtener más información sobre el torneo de golf “The Vidanta Celebrity Invitational” o para reservar un lugar, visite </w:t>
      </w:r>
      <w:hyperlink r:id="rId5">
        <w:r w:rsidDel="00000000" w:rsidR="00000000" w:rsidRPr="00000000">
          <w:rPr>
            <w:rFonts w:ascii="Arial" w:cs="Arial" w:eastAsia="Arial" w:hAnsi="Arial"/>
            <w:color w:val="0000ff"/>
            <w:sz w:val="22"/>
            <w:szCs w:val="22"/>
            <w:u w:val="single"/>
            <w:rtl w:val="0"/>
          </w:rPr>
          <w:t xml:space="preserve">www.vidanta.com/GolfTournament/</w:t>
        </w:r>
      </w:hyperlink>
      <w:r w:rsidDel="00000000" w:rsidR="00000000" w:rsidRPr="00000000">
        <w:rPr>
          <w:rFonts w:ascii="Arial" w:cs="Arial" w:eastAsia="Arial" w:hAnsi="Arial"/>
          <w:sz w:val="22"/>
          <w:szCs w:val="22"/>
          <w:rtl w:val="0"/>
        </w:rPr>
        <w:t xml:space="preserve"> o llame al 1.866.231.4423.</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rFonts w:ascii="Arial" w:cs="Arial" w:eastAsia="Arial" w:hAnsi="Arial"/>
          <w:b w:val="1"/>
          <w:i w:val="1"/>
          <w:sz w:val="22"/>
          <w:szCs w:val="22"/>
          <w:rtl w:val="0"/>
        </w:rPr>
        <w:t xml:space="preserve"># # #</w:t>
      </w: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Arial" w:cs="Arial" w:eastAsia="Arial" w:hAnsi="Arial"/>
          <w:b w:val="1"/>
          <w:sz w:val="20"/>
          <w:szCs w:val="20"/>
          <w:rtl w:val="0"/>
        </w:rPr>
        <w:t xml:space="preserve">Acerca de Grupo Vidanta</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Arial" w:cs="Arial" w:eastAsia="Arial" w:hAnsi="Arial"/>
          <w:sz w:val="20"/>
          <w:szCs w:val="20"/>
          <w:rtl w:val="0"/>
        </w:rPr>
        <w:t xml:space="preserve">Grupo Vidanta es un desarrollador turístico en México y Latinoamérica con experiencia en arquitectura, diseño de productos, construcción y operaciones. La compañía se especializa en el desarrollo y operación de </w:t>
      </w:r>
      <w:r w:rsidDel="00000000" w:rsidR="00000000" w:rsidRPr="00000000">
        <w:rPr>
          <w:rFonts w:ascii="Arial" w:cs="Arial" w:eastAsia="Arial" w:hAnsi="Arial"/>
          <w:i w:val="1"/>
          <w:sz w:val="20"/>
          <w:szCs w:val="20"/>
          <w:rtl w:val="0"/>
        </w:rPr>
        <w:t xml:space="preserve">resorts</w:t>
      </w:r>
      <w:r w:rsidDel="00000000" w:rsidR="00000000" w:rsidRPr="00000000">
        <w:rPr>
          <w:rFonts w:ascii="Arial" w:cs="Arial" w:eastAsia="Arial" w:hAnsi="Arial"/>
          <w:sz w:val="20"/>
          <w:szCs w:val="20"/>
          <w:rtl w:val="0"/>
        </w:rPr>
        <w:t xml:space="preserve"> de lujo y hoteles en México y tiene al </w:t>
      </w:r>
      <w:r w:rsidDel="00000000" w:rsidR="00000000" w:rsidRPr="00000000">
        <w:rPr>
          <w:rFonts w:ascii="Arial" w:cs="Arial" w:eastAsia="Arial" w:hAnsi="Arial"/>
          <w:i w:val="1"/>
          <w:sz w:val="20"/>
          <w:szCs w:val="20"/>
          <w:rtl w:val="0"/>
        </w:rPr>
        <w:t xml:space="preserve">G</w:t>
      </w:r>
      <w:r w:rsidDel="00000000" w:rsidR="00000000" w:rsidRPr="00000000">
        <w:rPr>
          <w:rFonts w:ascii="Arial" w:cs="Arial" w:eastAsia="Arial" w:hAnsi="Arial"/>
          <w:sz w:val="20"/>
          <w:szCs w:val="20"/>
          <w:rtl w:val="0"/>
        </w:rPr>
        <w:t xml:space="preserve">rand Luxxe Nuevo Vallarta, ganador del AAA Five Diamond Award y los cinco ganadores del AAA Four Diamond Award: Grand Luxxe Riviera Maya, The Grand Bliss Nuevo Vallarta, The Grand Mayan Nuevo Vallarta, The Grand Mayan Riviera Maya y The Grand Mayan Acapulco, entre su portafolio de más de 25 impresionantes hoteles y </w:t>
      </w:r>
      <w:r w:rsidDel="00000000" w:rsidR="00000000" w:rsidRPr="00000000">
        <w:rPr>
          <w:rFonts w:ascii="Arial" w:cs="Arial" w:eastAsia="Arial" w:hAnsi="Arial"/>
          <w:i w:val="1"/>
          <w:sz w:val="20"/>
          <w:szCs w:val="20"/>
          <w:rtl w:val="0"/>
        </w:rPr>
        <w:t xml:space="preserve">resorts</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Arial" w:cs="Arial" w:eastAsia="Arial" w:hAnsi="Arial"/>
          <w:sz w:val="20"/>
          <w:szCs w:val="20"/>
          <w:rtl w:val="0"/>
        </w:rPr>
        <w:t xml:space="preserve">El enfoque visionario de Grupo Vidanta sobre el desarrollo de destinos de playa de lujo trae los sueños de vacaciones a la vida real en los </w:t>
      </w:r>
      <w:r w:rsidDel="00000000" w:rsidR="00000000" w:rsidRPr="00000000">
        <w:rPr>
          <w:rFonts w:ascii="Arial" w:cs="Arial" w:eastAsia="Arial" w:hAnsi="Arial"/>
          <w:i w:val="1"/>
          <w:sz w:val="20"/>
          <w:szCs w:val="20"/>
          <w:rtl w:val="0"/>
        </w:rPr>
        <w:t xml:space="preserve">resorts</w:t>
      </w:r>
      <w:r w:rsidDel="00000000" w:rsidR="00000000" w:rsidRPr="00000000">
        <w:rPr>
          <w:rFonts w:ascii="Arial" w:cs="Arial" w:eastAsia="Arial" w:hAnsi="Arial"/>
          <w:sz w:val="20"/>
          <w:szCs w:val="20"/>
          <w:rtl w:val="0"/>
        </w:rPr>
        <w:t xml:space="preserve"> Vidanta y los </w:t>
      </w:r>
      <w:r w:rsidDel="00000000" w:rsidR="00000000" w:rsidRPr="00000000">
        <w:rPr>
          <w:rFonts w:ascii="Arial" w:cs="Arial" w:eastAsia="Arial" w:hAnsi="Arial"/>
          <w:i w:val="1"/>
          <w:sz w:val="20"/>
          <w:szCs w:val="20"/>
          <w:rtl w:val="0"/>
        </w:rPr>
        <w:t xml:space="preserve">mega resorts </w:t>
      </w:r>
      <w:r w:rsidDel="00000000" w:rsidR="00000000" w:rsidRPr="00000000">
        <w:rPr>
          <w:rFonts w:ascii="Arial" w:cs="Arial" w:eastAsia="Arial" w:hAnsi="Arial"/>
          <w:sz w:val="20"/>
          <w:szCs w:val="20"/>
          <w:rtl w:val="0"/>
        </w:rPr>
        <w:t xml:space="preserve">en las costas de los destinos más cotizados de México</w:t>
      </w:r>
      <w:r w:rsidDel="00000000" w:rsidR="00000000" w:rsidRPr="00000000">
        <w:rPr>
          <w:rFonts w:ascii="Arial" w:cs="Arial" w:eastAsia="Arial" w:hAnsi="Arial"/>
          <w:color w:val="000000"/>
          <w:sz w:val="20"/>
          <w:szCs w:val="20"/>
          <w:highlight w:val="white"/>
          <w:rtl w:val="0"/>
        </w:rPr>
        <w:t xml:space="preserve"> —</w:t>
      </w:r>
      <w:r w:rsidDel="00000000" w:rsidR="00000000" w:rsidRPr="00000000">
        <w:rPr>
          <w:rFonts w:ascii="Arial" w:cs="Arial" w:eastAsia="Arial" w:hAnsi="Arial"/>
          <w:sz w:val="20"/>
          <w:szCs w:val="20"/>
          <w:rtl w:val="0"/>
        </w:rPr>
        <w:t xml:space="preserve">Nuevo Vallarta, Riviera Maya, Los Cabos, Acapulco, Puerto Peñasco, Puerto Vallarta y Mazatlán</w:t>
      </w:r>
      <w:r w:rsidDel="00000000" w:rsidR="00000000" w:rsidRPr="00000000">
        <w:rPr>
          <w:rFonts w:ascii="Arial" w:cs="Arial" w:eastAsia="Arial" w:hAnsi="Arial"/>
          <w:color w:val="000000"/>
          <w:sz w:val="20"/>
          <w:szCs w:val="20"/>
          <w:highlight w:val="white"/>
          <w:rtl w:val="0"/>
        </w:rPr>
        <w:t xml:space="preserve">— con marcas como </w:t>
      </w:r>
      <w:r w:rsidDel="00000000" w:rsidR="00000000" w:rsidRPr="00000000">
        <w:rPr>
          <w:rFonts w:ascii="Arial" w:cs="Arial" w:eastAsia="Arial" w:hAnsi="Arial"/>
          <w:i w:val="1"/>
          <w:sz w:val="20"/>
          <w:szCs w:val="20"/>
          <w:rtl w:val="0"/>
        </w:rPr>
        <w:t xml:space="preserve">Grand Luxxe, The Grand Bliss, The Grand Mayan, The Bliss, Mayan Palace, Ocean Breeze </w:t>
      </w:r>
      <w:r w:rsidDel="00000000" w:rsidR="00000000" w:rsidRPr="00000000">
        <w:rPr>
          <w:rFonts w:ascii="Arial" w:cs="Arial" w:eastAsia="Arial" w:hAnsi="Arial"/>
          <w:sz w:val="20"/>
          <w:szCs w:val="20"/>
          <w:rtl w:val="0"/>
        </w:rPr>
        <w:t xml:space="preserve">y</w:t>
      </w:r>
      <w:r w:rsidDel="00000000" w:rsidR="00000000" w:rsidRPr="00000000">
        <w:rPr>
          <w:rFonts w:ascii="Arial" w:cs="Arial" w:eastAsia="Arial" w:hAnsi="Arial"/>
          <w:i w:val="1"/>
          <w:sz w:val="20"/>
          <w:szCs w:val="20"/>
          <w:rtl w:val="0"/>
        </w:rPr>
        <w:t xml:space="preserve"> Sea Garden,</w:t>
      </w:r>
      <w:r w:rsidDel="00000000" w:rsidR="00000000" w:rsidRPr="00000000">
        <w:rPr>
          <w:rFonts w:ascii="Arial" w:cs="Arial" w:eastAsia="Arial" w:hAnsi="Arial"/>
          <w:sz w:val="20"/>
          <w:szCs w:val="20"/>
          <w:rtl w:val="0"/>
        </w:rPr>
        <w:t xml:space="preserve"> así como otras en desarrollo.</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Arial" w:cs="Arial" w:eastAsia="Arial" w:hAnsi="Arial"/>
          <w:sz w:val="20"/>
          <w:szCs w:val="20"/>
          <w:rtl w:val="0"/>
        </w:rPr>
        <w:t xml:space="preserve">La compañía tiene más de 15,000 empleados y es reconocida constantemente como uno de los mejores empleadores en Latinoamérica. Vidanta Golf es uno de los operadores de campos de golf más grandes en México, la división de bienes raíces ha construido y vendido más de 2,000 lujosas casas de vacaciones. La compañía es responsable del desarrollo del primer aeropuerto en México de propiedad privada: el Aeropuerto Internacional Mar de Cortés en Puerto Peñasco.</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Arial" w:cs="Arial" w:eastAsia="Arial" w:hAnsi="Arial"/>
          <w:sz w:val="20"/>
          <w:szCs w:val="20"/>
          <w:rtl w:val="0"/>
        </w:rPr>
        <w:t xml:space="preserve">Grupo Vidanta fue fundado por Daniel Chávez Morán en 1974 y opera dos fundaciones para enriquecer la vida de los latinoamericanos. Para más información, visita</w:t>
      </w:r>
      <w:hyperlink r:id="rId6">
        <w:r w:rsidDel="00000000" w:rsidR="00000000" w:rsidRPr="00000000">
          <w:rPr>
            <w:rFonts w:ascii="Arial" w:cs="Arial" w:eastAsia="Arial" w:hAnsi="Arial"/>
            <w:sz w:val="20"/>
            <w:szCs w:val="20"/>
            <w:rtl w:val="0"/>
          </w:rPr>
          <w:t xml:space="preserve"> </w:t>
        </w:r>
      </w:hyperlink>
      <w:hyperlink r:id="rId7">
        <w:r w:rsidDel="00000000" w:rsidR="00000000" w:rsidRPr="00000000">
          <w:rPr>
            <w:rFonts w:ascii="Arial" w:cs="Arial" w:eastAsia="Arial" w:hAnsi="Arial"/>
            <w:color w:val="1155cc"/>
            <w:sz w:val="20"/>
            <w:szCs w:val="20"/>
            <w:u w:val="single"/>
            <w:rtl w:val="0"/>
          </w:rPr>
          <w:t xml:space="preserve">http://vidanta.com/</w:t>
        </w:r>
      </w:hyperlink>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331" w:lineRule="auto"/>
        <w:contextualSpacing w:val="0"/>
        <w:jc w:val="both"/>
      </w:pPr>
      <w:r w:rsidDel="00000000" w:rsidR="00000000" w:rsidRPr="00000000">
        <w:rPr>
          <w:rFonts w:ascii="Arial" w:cs="Arial" w:eastAsia="Arial" w:hAnsi="Arial"/>
          <w:b w:val="1"/>
          <w:sz w:val="22"/>
          <w:szCs w:val="22"/>
          <w:rtl w:val="0"/>
        </w:rPr>
        <w:t xml:space="preserve">CONTACTO</w:t>
      </w:r>
      <w:r w:rsidDel="00000000" w:rsidR="00000000" w:rsidRPr="00000000">
        <w:rPr>
          <w:rtl w:val="0"/>
        </w:rPr>
      </w:r>
    </w:p>
    <w:p w:rsidR="00000000" w:rsidDel="00000000" w:rsidP="00000000" w:rsidRDefault="00000000" w:rsidRPr="00000000">
      <w:pPr>
        <w:spacing w:line="331" w:lineRule="auto"/>
        <w:contextualSpacing w:val="0"/>
        <w:jc w:val="both"/>
      </w:pPr>
      <w:r w:rsidDel="00000000" w:rsidR="00000000" w:rsidRPr="00000000">
        <w:rPr>
          <w:rFonts w:ascii="Arial" w:cs="Arial" w:eastAsia="Arial" w:hAnsi="Arial"/>
          <w:sz w:val="22"/>
          <w:szCs w:val="22"/>
          <w:rtl w:val="0"/>
        </w:rPr>
        <w:t xml:space="preserve">Sandy Machuca</w:t>
      </w:r>
      <w:r w:rsidDel="00000000" w:rsidR="00000000" w:rsidRPr="00000000">
        <w:rPr>
          <w:rtl w:val="0"/>
        </w:rPr>
      </w:r>
    </w:p>
    <w:p w:rsidR="00000000" w:rsidDel="00000000" w:rsidP="00000000" w:rsidRDefault="00000000" w:rsidRPr="00000000">
      <w:pPr>
        <w:spacing w:line="331" w:lineRule="auto"/>
        <w:contextualSpacing w:val="0"/>
        <w:jc w:val="both"/>
      </w:pPr>
      <w:r w:rsidDel="00000000" w:rsidR="00000000" w:rsidRPr="00000000">
        <w:rPr>
          <w:rFonts w:ascii="Arial" w:cs="Arial" w:eastAsia="Arial" w:hAnsi="Arial"/>
          <w:sz w:val="22"/>
          <w:szCs w:val="22"/>
          <w:rtl w:val="0"/>
        </w:rPr>
        <w:t xml:space="preserve">Another Company</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Arial" w:cs="Arial" w:eastAsia="Arial" w:hAnsi="Arial"/>
          <w:sz w:val="22"/>
          <w:szCs w:val="22"/>
          <w:rtl w:val="0"/>
        </w:rPr>
        <w:t xml:space="preserve">Of. 6392.1100 ext. 2408</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sectPr>
      <w:headerReference r:id="rId8" w:type="default"/>
      <w:pgSz w:h="15840" w:w="12240"/>
      <w:pgMar w:bottom="1440" w:top="1699"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before="720" w:lineRule="auto"/>
      <w:contextualSpacing w:val="0"/>
    </w:pPr>
    <w:r w:rsidDel="00000000" w:rsidR="00000000" w:rsidRPr="00000000">
      <w:rPr>
        <w:rtl w:val="0"/>
      </w:rPr>
    </w:r>
    <w:r w:rsidDel="00000000" w:rsidR="00000000" w:rsidRPr="00000000">
      <w:drawing>
        <wp:anchor allowOverlap="1" behindDoc="0" distB="0" distT="0" distL="0" distR="0" hidden="0" layoutInCell="0" locked="0" relativeHeight="0" simplePos="0">
          <wp:simplePos x="0" y="0"/>
          <wp:positionH relativeFrom="margin">
            <wp:posOffset>1485900</wp:posOffset>
          </wp:positionH>
          <wp:positionV relativeFrom="paragraph">
            <wp:posOffset>-178431</wp:posOffset>
          </wp:positionV>
          <wp:extent cx="2428875" cy="640080"/>
          <wp:effectExtent b="0" l="0" r="0" t="0"/>
          <wp:wrapTopAndBottom distB="0" distT="0"/>
          <wp:docPr descr="Macintosh HD:Users:michelle:Desktop:Vidanta Resorts.png" id="1" name="image01.png"/>
          <a:graphic>
            <a:graphicData uri="http://schemas.openxmlformats.org/drawingml/2006/picture">
              <pic:pic>
                <pic:nvPicPr>
                  <pic:cNvPr descr="Macintosh HD:Users:michelle:Desktop:Vidanta Resorts.png" id="0" name="image01.png"/>
                  <pic:cNvPicPr preferRelativeResize="0"/>
                </pic:nvPicPr>
                <pic:blipFill>
                  <a:blip r:embed="rId1"/>
                  <a:srcRect b="0" l="0" r="0" t="0"/>
                  <a:stretch>
                    <a:fillRect/>
                  </a:stretch>
                </pic:blipFill>
                <pic:spPr>
                  <a:xfrm>
                    <a:off x="0" y="0"/>
                    <a:ext cx="2428875" cy="64008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spacing w:after="120" w:before="480" w:line="240" w:lineRule="auto"/>
      <w:ind w:left="0" w:right="0" w:firstLine="0"/>
      <w:jc w:val="left"/>
    </w:pPr>
    <w:rPr>
      <w:rFonts w:ascii="Cambria" w:cs="Cambria" w:eastAsia="Cambria" w:hAnsi="Cambria"/>
      <w:b w:val="1"/>
      <w:i w:val="0"/>
      <w:smallCaps w:val="0"/>
      <w:strike w:val="0"/>
      <w:color w:val="000000"/>
      <w:sz w:val="48"/>
      <w:szCs w:val="48"/>
      <w:u w:val="none"/>
      <w:vertAlign w:val="baseline"/>
    </w:rPr>
  </w:style>
  <w:style w:type="paragraph" w:styleId="Heading2">
    <w:name w:val="heading 2"/>
    <w:basedOn w:val="Normal"/>
    <w:next w:val="Normal"/>
    <w:pPr>
      <w:keepNext w:val="1"/>
      <w:keepLines w:val="1"/>
      <w:widowControl w:val="1"/>
      <w:spacing w:after="80" w:before="360" w:line="240" w:lineRule="auto"/>
      <w:ind w:left="0" w:right="0" w:firstLine="0"/>
      <w:jc w:val="left"/>
    </w:pPr>
    <w:rPr>
      <w:rFonts w:ascii="Cambria" w:cs="Cambria" w:eastAsia="Cambria" w:hAnsi="Cambria"/>
      <w:b w:val="1"/>
      <w:i w:val="0"/>
      <w:smallCaps w:val="0"/>
      <w:strike w:val="0"/>
      <w:color w:val="000000"/>
      <w:sz w:val="36"/>
      <w:szCs w:val="36"/>
      <w:u w:val="none"/>
      <w:vertAlign w:val="baseline"/>
    </w:rPr>
  </w:style>
  <w:style w:type="paragraph" w:styleId="Heading3">
    <w:name w:val="heading 3"/>
    <w:basedOn w:val="Normal"/>
    <w:next w:val="Normal"/>
    <w:pPr>
      <w:keepNext w:val="1"/>
      <w:keepLines w:val="1"/>
      <w:widowControl w:val="1"/>
      <w:spacing w:after="80" w:before="280" w:line="240" w:lineRule="auto"/>
      <w:ind w:left="0" w:right="0" w:firstLine="0"/>
      <w:jc w:val="left"/>
    </w:pPr>
    <w:rPr>
      <w:rFonts w:ascii="Cambria" w:cs="Cambria" w:eastAsia="Cambria" w:hAnsi="Cambria"/>
      <w:b w:val="1"/>
      <w:i w:val="0"/>
      <w:smallCaps w:val="0"/>
      <w:strike w:val="0"/>
      <w:color w:val="000000"/>
      <w:sz w:val="28"/>
      <w:szCs w:val="28"/>
      <w:u w:val="none"/>
      <w:vertAlign w:val="baseline"/>
    </w:rPr>
  </w:style>
  <w:style w:type="paragraph" w:styleId="Heading4">
    <w:name w:val="heading 4"/>
    <w:basedOn w:val="Normal"/>
    <w:next w:val="Normal"/>
    <w:pPr>
      <w:keepNext w:val="1"/>
      <w:keepLines w:val="1"/>
      <w:widowControl w:val="1"/>
      <w:spacing w:after="40" w:before="240" w:line="240" w:lineRule="auto"/>
      <w:ind w:left="0" w:right="0" w:firstLine="0"/>
      <w:jc w:val="left"/>
    </w:pPr>
    <w:rPr>
      <w:rFonts w:ascii="Cambria" w:cs="Cambria" w:eastAsia="Cambria" w:hAnsi="Cambria"/>
      <w:b w:val="1"/>
      <w:i w:val="0"/>
      <w:smallCaps w:val="0"/>
      <w:strike w:val="0"/>
      <w:color w:val="000000"/>
      <w:sz w:val="24"/>
      <w:szCs w:val="24"/>
      <w:u w:val="none"/>
      <w:vertAlign w:val="baseline"/>
    </w:rPr>
  </w:style>
  <w:style w:type="paragraph" w:styleId="Heading5">
    <w:name w:val="heading 5"/>
    <w:basedOn w:val="Normal"/>
    <w:next w:val="Normal"/>
    <w:pPr>
      <w:keepNext w:val="1"/>
      <w:keepLines w:val="1"/>
      <w:widowControl w:val="1"/>
      <w:spacing w:after="40" w:before="220" w:line="240" w:lineRule="auto"/>
      <w:ind w:left="0" w:right="0" w:firstLine="0"/>
      <w:jc w:val="left"/>
    </w:pPr>
    <w:rPr>
      <w:rFonts w:ascii="Cambria" w:cs="Cambria" w:eastAsia="Cambria" w:hAnsi="Cambria"/>
      <w:b w:val="1"/>
      <w:i w:val="0"/>
      <w:smallCaps w:val="0"/>
      <w:strike w:val="0"/>
      <w:color w:val="000000"/>
      <w:sz w:val="22"/>
      <w:szCs w:val="22"/>
      <w:u w:val="none"/>
      <w:vertAlign w:val="baseline"/>
    </w:rPr>
  </w:style>
  <w:style w:type="paragraph" w:styleId="Heading6">
    <w:name w:val="heading 6"/>
    <w:basedOn w:val="Normal"/>
    <w:next w:val="Normal"/>
    <w:pPr>
      <w:keepNext w:val="1"/>
      <w:keepLines w:val="1"/>
      <w:widowControl w:val="1"/>
      <w:spacing w:after="40" w:before="200" w:line="240" w:lineRule="auto"/>
      <w:ind w:left="0" w:right="0" w:firstLine="0"/>
      <w:jc w:val="left"/>
    </w:pPr>
    <w:rPr>
      <w:rFonts w:ascii="Cambria" w:cs="Cambria" w:eastAsia="Cambria" w:hAnsi="Cambria"/>
      <w:b w:val="1"/>
      <w:i w:val="0"/>
      <w:smallCaps w:val="0"/>
      <w:strike w:val="0"/>
      <w:color w:val="000000"/>
      <w:sz w:val="20"/>
      <w:szCs w:val="20"/>
      <w:u w:val="none"/>
      <w:vertAlign w:val="baseline"/>
    </w:rPr>
  </w:style>
  <w:style w:type="paragraph" w:styleId="Title">
    <w:name w:val="Title"/>
    <w:basedOn w:val="Normal"/>
    <w:next w:val="Normal"/>
    <w:pPr>
      <w:keepNext w:val="1"/>
      <w:keepLines w:val="1"/>
      <w:widowControl w:val="1"/>
      <w:spacing w:after="120" w:before="480" w:line="240" w:lineRule="auto"/>
      <w:ind w:left="0" w:right="0" w:firstLine="0"/>
      <w:jc w:val="left"/>
    </w:pPr>
    <w:rPr>
      <w:rFonts w:ascii="Cambria" w:cs="Cambria" w:eastAsia="Cambria" w:hAnsi="Cambria"/>
      <w:b w:val="1"/>
      <w:i w:val="0"/>
      <w:smallCaps w:val="0"/>
      <w:strike w:val="0"/>
      <w:color w:val="000000"/>
      <w:sz w:val="72"/>
      <w:szCs w:val="72"/>
      <w:u w:val="none"/>
      <w:vertAlign w:val="baseline"/>
    </w:rPr>
  </w:style>
  <w:style w:type="paragraph" w:styleId="Subtitle">
    <w:name w:val="Subtitle"/>
    <w:basedOn w:val="Normal"/>
    <w:next w:val="Normal"/>
    <w:pPr>
      <w:keepNext w:val="1"/>
      <w:keepLines w:val="1"/>
      <w:widowControl w:val="1"/>
      <w:spacing w:after="80" w:before="360" w:line="240" w:lineRule="auto"/>
      <w:ind w:left="0" w:right="0" w:firstLine="0"/>
      <w:jc w:val="left"/>
    </w:pPr>
    <w:rPr>
      <w:rFonts w:ascii="Georgia" w:cs="Georgia" w:eastAsia="Georgia" w:hAnsi="Georgia"/>
      <w:b w:val="0"/>
      <w:i w:val="1"/>
      <w:smallCaps w:val="0"/>
      <w:strike w:val="0"/>
      <w:color w:val="666666"/>
      <w:sz w:val="48"/>
      <w:szCs w:val="48"/>
      <w:u w:val="none"/>
      <w:vertAlign w:val="baseli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vidanta.com/GolfTournament/" TargetMode="External"/><Relationship Id="rId6" Type="http://schemas.openxmlformats.org/officeDocument/2006/relationships/hyperlink" Target="http:///h" TargetMode="External"/><Relationship Id="rId7" Type="http://schemas.openxmlformats.org/officeDocument/2006/relationships/hyperlink" Target="http://vidanta.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01.png"/></Relationships>
</file>