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3A" w:rsidRPr="00FA559A" w:rsidRDefault="00543B3A" w:rsidP="006F1325">
      <w:pPr>
        <w:pStyle w:val="NoSpacing"/>
        <w:rPr>
          <w:lang w:val="fr-FR"/>
        </w:rPr>
      </w:pPr>
      <w:r w:rsidRPr="00FA559A">
        <w:rPr>
          <w:noProof/>
          <w:lang w:val="fr-FR" w:eastAsia="nl-BE"/>
        </w:rPr>
        <mc:AlternateContent>
          <mc:Choice Requires="wps">
            <w:drawing>
              <wp:anchor distT="0" distB="0" distL="114300" distR="114300" simplePos="0" relativeHeight="251659264" behindDoc="0" locked="0" layoutInCell="1" allowOverlap="1" wp14:anchorId="0D377DC6" wp14:editId="24E0CCC1">
                <wp:simplePos x="0" y="0"/>
                <wp:positionH relativeFrom="column">
                  <wp:posOffset>1066800</wp:posOffset>
                </wp:positionH>
                <wp:positionV relativeFrom="paragraph">
                  <wp:posOffset>133349</wp:posOffset>
                </wp:positionV>
                <wp:extent cx="4709795" cy="6711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A3C" w:rsidRPr="001F7ACB" w:rsidRDefault="003E2A3C" w:rsidP="001F7ACB">
                            <w:pPr>
                              <w:pStyle w:val="Default"/>
                              <w:rPr>
                                <w:rFonts w:ascii="Rockwell" w:eastAsiaTheme="minorHAnsi" w:hAnsi="Rockwell" w:cs="Rockwell"/>
                                <w:lang w:val="fr-FR" w:eastAsia="en-US"/>
                              </w:rPr>
                            </w:pPr>
                            <w:r w:rsidRPr="001F7ACB">
                              <w:rPr>
                                <w:rFonts w:ascii="Rockwell" w:eastAsiaTheme="minorHAnsi" w:hAnsi="Rockwell" w:cs="Rockwell"/>
                                <w:lang w:val="fr-FR"/>
                              </w:rPr>
                              <w:t xml:space="preserve"> </w:t>
                            </w:r>
                            <w:r w:rsidRPr="001F7ACB">
                              <w:rPr>
                                <w:rFonts w:ascii="Rockwell" w:eastAsiaTheme="minorHAnsi" w:hAnsi="Rockwell" w:cs="Rockwell"/>
                                <w:color w:val="00ADEE"/>
                                <w:sz w:val="48"/>
                                <w:szCs w:val="48"/>
                                <w:lang w:val="fr-FR"/>
                              </w:rPr>
                              <w:t xml:space="preserve">Communiqué de presse </w:t>
                            </w:r>
                          </w:p>
                          <w:p w:rsidR="003E2A3C" w:rsidRPr="001F7ACB" w:rsidRDefault="003E2A3C" w:rsidP="001F7ACB">
                            <w:pPr>
                              <w:rPr>
                                <w:color w:val="003768"/>
                                <w:szCs w:val="20"/>
                                <w:lang w:val="fr-FR"/>
                              </w:rPr>
                            </w:pPr>
                            <w:r w:rsidRPr="001F7ACB">
                              <w:rPr>
                                <w:rFonts w:ascii="Rockwell" w:eastAsiaTheme="minorHAnsi" w:hAnsi="Rockwell" w:cs="Rockwell"/>
                                <w:color w:val="000000"/>
                                <w:lang w:val="fr-FR"/>
                              </w:rPr>
                              <w:t xml:space="preserve"> </w:t>
                            </w:r>
                            <w:r w:rsidRPr="001F7ACB">
                              <w:rPr>
                                <w:rFonts w:ascii="Rockwell" w:eastAsiaTheme="minorHAnsi" w:hAnsi="Rockwell" w:cs="Rockwell"/>
                                <w:color w:val="003667"/>
                                <w:sz w:val="20"/>
                                <w:szCs w:val="20"/>
                                <w:lang w:val="fr-FR"/>
                              </w:rPr>
                              <w:t>Hors séance boursière – Information réglementée*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77DC6" id="_x0000_t202" coordsize="21600,21600" o:spt="202" path="m,l,21600r21600,l21600,xe">
                <v:stroke joinstyle="miter"/>
                <v:path gradientshapeok="t" o:connecttype="rect"/>
              </v:shapetype>
              <v:shape id="Text Box 2" o:spid="_x0000_s1026" type="#_x0000_t202" style="position:absolute;margin-left:84pt;margin-top:10.5pt;width:370.8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" filled="f" stroked="f">
                <v:textbox>
                  <w:txbxContent>
                    <w:p w:rsidR="003E2A3C" w:rsidRPr="001F7ACB" w:rsidRDefault="003E2A3C" w:rsidP="001F7ACB">
                      <w:pPr>
                        <w:pStyle w:val="Default"/>
                        <w:rPr>
                          <w:rFonts w:ascii="Rockwell" w:eastAsiaTheme="minorHAnsi" w:hAnsi="Rockwell" w:cs="Rockwell"/>
                          <w:lang w:val="fr-FR" w:eastAsia="en-US"/>
                        </w:rPr>
                      </w:pPr>
                      <w:r w:rsidRPr="001F7ACB">
                        <w:rPr>
                          <w:rFonts w:ascii="Rockwell" w:eastAsiaTheme="minorHAnsi" w:hAnsi="Rockwell" w:cs="Rockwell"/>
                          <w:lang w:val="fr-FR"/>
                        </w:rPr>
                        <w:t xml:space="preserve"> </w:t>
                      </w:r>
                      <w:r w:rsidRPr="001F7ACB">
                        <w:rPr>
                          <w:rFonts w:ascii="Rockwell" w:eastAsiaTheme="minorHAnsi" w:hAnsi="Rockwell" w:cs="Rockwell"/>
                          <w:color w:val="00ADEE"/>
                          <w:sz w:val="48"/>
                          <w:szCs w:val="48"/>
                          <w:lang w:val="fr-FR"/>
                        </w:rPr>
                        <w:t xml:space="preserve">Communiqué de presse </w:t>
                      </w:r>
                    </w:p>
                    <w:p w:rsidR="003E2A3C" w:rsidRPr="001F7ACB" w:rsidRDefault="003E2A3C" w:rsidP="001F7ACB">
                      <w:pPr>
                        <w:rPr>
                          <w:color w:val="003768"/>
                          <w:szCs w:val="20"/>
                          <w:lang w:val="fr-FR"/>
                        </w:rPr>
                      </w:pPr>
                      <w:r w:rsidRPr="001F7ACB">
                        <w:rPr>
                          <w:rFonts w:ascii="Rockwell" w:eastAsiaTheme="minorHAnsi" w:hAnsi="Rockwell" w:cs="Rockwell"/>
                          <w:color w:val="000000"/>
                          <w:lang w:val="fr-FR"/>
                        </w:rPr>
                        <w:t xml:space="preserve"> </w:t>
                      </w:r>
                      <w:r w:rsidRPr="001F7ACB">
                        <w:rPr>
                          <w:rFonts w:ascii="Rockwell" w:eastAsiaTheme="minorHAnsi" w:hAnsi="Rockwell" w:cs="Rockwell"/>
                          <w:color w:val="003667"/>
                          <w:sz w:val="20"/>
                          <w:szCs w:val="20"/>
                          <w:lang w:val="fr-FR"/>
                        </w:rPr>
                        <w:t>Hors séance boursière – Information réglementée*</w:t>
                      </w:r>
                    </w:p>
                  </w:txbxContent>
                </v:textbox>
              </v:shape>
            </w:pict>
          </mc:Fallback>
        </mc:AlternateContent>
      </w:r>
      <w:r w:rsidRPr="00FA559A">
        <w:rPr>
          <w:noProof/>
          <w:lang w:val="fr-FR" w:eastAsia="nl-BE"/>
        </w:rPr>
        <w:drawing>
          <wp:inline distT="0" distB="0" distL="0" distR="0" wp14:anchorId="5F1BC7F3" wp14:editId="47D2AC30">
            <wp:extent cx="802005" cy="622935"/>
            <wp:effectExtent l="19050" t="0" r="0" b="0"/>
            <wp:docPr id="6" name="Picture 6"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7" cstate="print"/>
                    <a:srcRect/>
                    <a:stretch>
                      <a:fillRect/>
                    </a:stretch>
                  </pic:blipFill>
                  <pic:spPr bwMode="auto">
                    <a:xfrm>
                      <a:off x="0" y="0"/>
                      <a:ext cx="802005" cy="622935"/>
                    </a:xfrm>
                    <a:prstGeom prst="rect">
                      <a:avLst/>
                    </a:prstGeom>
                    <a:noFill/>
                    <a:ln w="9525">
                      <a:noFill/>
                      <a:miter lim="800000"/>
                      <a:headEnd/>
                      <a:tailEnd/>
                    </a:ln>
                  </pic:spPr>
                </pic:pic>
              </a:graphicData>
            </a:graphic>
          </wp:inline>
        </w:drawing>
      </w:r>
    </w:p>
    <w:p w:rsidR="00543B3A" w:rsidRPr="00FA559A" w:rsidRDefault="00543B3A" w:rsidP="006F1325">
      <w:pPr>
        <w:pStyle w:val="NoSpacing"/>
        <w:ind w:left="1440"/>
        <w:rPr>
          <w:sz w:val="8"/>
          <w:szCs w:val="8"/>
          <w:lang w:val="fr-FR"/>
        </w:rPr>
      </w:pPr>
    </w:p>
    <w:p w:rsidR="00543B3A" w:rsidRPr="00FA559A" w:rsidRDefault="00543B3A" w:rsidP="006F1325">
      <w:pPr>
        <w:pStyle w:val="NoSpacing"/>
        <w:ind w:left="1440"/>
        <w:rPr>
          <w:sz w:val="8"/>
          <w:szCs w:val="8"/>
          <w:lang w:val="fr-FR"/>
        </w:rPr>
      </w:pPr>
    </w:p>
    <w:p w:rsidR="00543B3A" w:rsidRPr="00FA559A" w:rsidRDefault="00543B3A" w:rsidP="006F1325">
      <w:pPr>
        <w:pStyle w:val="NoSpacing"/>
        <w:ind w:left="-284"/>
        <w:rPr>
          <w:lang w:val="fr-FR"/>
        </w:rPr>
      </w:pPr>
      <w:r w:rsidRPr="00FA559A">
        <w:rPr>
          <w:noProof/>
          <w:lang w:val="fr-FR" w:eastAsia="nl-BE"/>
        </w:rPr>
        <w:drawing>
          <wp:inline distT="0" distB="0" distL="0" distR="0" wp14:anchorId="78249164" wp14:editId="2DEA8F02">
            <wp:extent cx="6771005" cy="168275"/>
            <wp:effectExtent l="19050" t="0" r="0" b="0"/>
            <wp:docPr id="7" name="Picture 7"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8" cstate="print"/>
                    <a:srcRect/>
                    <a:stretch>
                      <a:fillRect/>
                    </a:stretch>
                  </pic:blipFill>
                  <pic:spPr bwMode="auto">
                    <a:xfrm>
                      <a:off x="0" y="0"/>
                      <a:ext cx="6771005" cy="168275"/>
                    </a:xfrm>
                    <a:prstGeom prst="rect">
                      <a:avLst/>
                    </a:prstGeom>
                    <a:noFill/>
                    <a:ln w="9525">
                      <a:noFill/>
                      <a:miter lim="800000"/>
                      <a:headEnd/>
                      <a:tailEnd/>
                    </a:ln>
                  </pic:spPr>
                </pic:pic>
              </a:graphicData>
            </a:graphic>
          </wp:inline>
        </w:drawing>
      </w:r>
    </w:p>
    <w:p w:rsidR="00543B3A" w:rsidRPr="00FA559A" w:rsidRDefault="00543B3A" w:rsidP="006F1325">
      <w:pPr>
        <w:pStyle w:val="NoSpacing"/>
        <w:ind w:left="993"/>
        <w:rPr>
          <w:lang w:val="fr-FR"/>
        </w:rPr>
      </w:pPr>
    </w:p>
    <w:p w:rsidR="00543B3A" w:rsidRPr="00FA559A" w:rsidRDefault="001F7ACB" w:rsidP="001F7ACB">
      <w:pPr>
        <w:rPr>
          <w:rFonts w:ascii="Calibri" w:eastAsiaTheme="minorHAnsi" w:hAnsi="Calibri" w:cs="Calibri"/>
          <w:color w:val="003667"/>
          <w:sz w:val="22"/>
          <w:szCs w:val="22"/>
          <w:lang w:val="fr-FR"/>
        </w:rPr>
      </w:pPr>
      <w:r w:rsidRPr="00FA559A">
        <w:rPr>
          <w:rFonts w:ascii="Calibri" w:eastAsiaTheme="minorHAnsi" w:hAnsi="Calibri" w:cs="Calibri"/>
          <w:color w:val="000000"/>
          <w:lang w:val="fr-FR"/>
        </w:rPr>
        <w:t xml:space="preserve"> </w:t>
      </w:r>
      <w:r w:rsidRPr="00FA559A">
        <w:rPr>
          <w:rFonts w:ascii="Calibri" w:eastAsiaTheme="minorHAnsi" w:hAnsi="Calibri" w:cs="Calibri"/>
          <w:color w:val="003667"/>
          <w:sz w:val="22"/>
          <w:szCs w:val="22"/>
          <w:lang w:val="fr-FR"/>
        </w:rPr>
        <w:t xml:space="preserve">Bruxelles, 18 février 2016 (07.00 </w:t>
      </w:r>
      <w:proofErr w:type="spellStart"/>
      <w:r w:rsidRPr="00FA559A">
        <w:rPr>
          <w:rFonts w:ascii="Calibri" w:eastAsiaTheme="minorHAnsi" w:hAnsi="Calibri" w:cs="Calibri"/>
          <w:color w:val="003667"/>
          <w:sz w:val="22"/>
          <w:szCs w:val="22"/>
          <w:lang w:val="fr-FR"/>
        </w:rPr>
        <w:t>a.m</w:t>
      </w:r>
      <w:proofErr w:type="spellEnd"/>
      <w:r w:rsidRPr="00FA559A">
        <w:rPr>
          <w:rFonts w:ascii="Calibri" w:eastAsiaTheme="minorHAnsi" w:hAnsi="Calibri" w:cs="Calibri"/>
          <w:color w:val="003667"/>
          <w:sz w:val="22"/>
          <w:szCs w:val="22"/>
          <w:lang w:val="fr-FR"/>
        </w:rPr>
        <w:t>. CET)</w:t>
      </w:r>
    </w:p>
    <w:p w:rsidR="001F7ACB" w:rsidRPr="00FA559A" w:rsidRDefault="001F7ACB" w:rsidP="001F7ACB">
      <w:pPr>
        <w:rPr>
          <w:rFonts w:ascii="Rockwell" w:hAnsi="Rockwell"/>
          <w:bCs/>
          <w:color w:val="00B0F0"/>
          <w:sz w:val="44"/>
          <w:szCs w:val="44"/>
          <w:lang w:val="fr-FR"/>
        </w:rPr>
      </w:pPr>
    </w:p>
    <w:p w:rsidR="00A43C38" w:rsidRPr="00FA559A" w:rsidRDefault="00A43C38" w:rsidP="00A43C38">
      <w:pPr>
        <w:rPr>
          <w:rFonts w:ascii="Rockwell" w:hAnsi="Rockwell"/>
          <w:b/>
          <w:bCs/>
          <w:color w:val="00B0F0"/>
          <w:sz w:val="44"/>
          <w:szCs w:val="44"/>
          <w:lang w:val="fr-FR"/>
        </w:rPr>
      </w:pPr>
      <w:r w:rsidRPr="00FA559A">
        <w:rPr>
          <w:rFonts w:ascii="Rockwell" w:hAnsi="Rockwell"/>
          <w:b/>
          <w:bCs/>
          <w:color w:val="00B0F0"/>
          <w:sz w:val="44"/>
          <w:szCs w:val="44"/>
          <w:lang w:val="fr-FR"/>
        </w:rPr>
        <w:t xml:space="preserve">KBC dégage un bénéfice de 2.6 milliards d’euros sur l’ensemble de l’exercice, à la faveur de fondamentaux commerciaux solides et d’éléments non récurrents au quatrième trimestre. </w:t>
      </w:r>
    </w:p>
    <w:p w:rsidR="00D97A46" w:rsidRPr="00FA559A" w:rsidRDefault="00D97A46" w:rsidP="00D97A46">
      <w:pPr>
        <w:jc w:val="both"/>
        <w:rPr>
          <w:rFonts w:ascii="Rockwell" w:hAnsi="Rockwell"/>
          <w:b/>
          <w:bCs/>
          <w:color w:val="00B0F0"/>
          <w:sz w:val="44"/>
          <w:szCs w:val="44"/>
          <w:lang w:val="fr-FR"/>
        </w:rPr>
      </w:pPr>
    </w:p>
    <w:p w:rsidR="00231D1C" w:rsidRPr="00FA559A" w:rsidRDefault="00A43C38" w:rsidP="006F1325">
      <w:pPr>
        <w:autoSpaceDE w:val="0"/>
        <w:autoSpaceDN w:val="0"/>
        <w:adjustRightInd w:val="0"/>
        <w:ind w:right="4"/>
        <w:jc w:val="both"/>
        <w:rPr>
          <w:rFonts w:asciiTheme="minorHAnsi" w:eastAsia="Calibri" w:hAnsiTheme="minorHAnsi" w:cs="Arial"/>
          <w:b/>
          <w:bCs/>
          <w:lang w:val="fr-FR"/>
        </w:rPr>
      </w:pPr>
      <w:r w:rsidRPr="00FA559A">
        <w:rPr>
          <w:rFonts w:ascii="Rockwell" w:hAnsi="Rockwell"/>
          <w:b/>
          <w:bCs/>
          <w:color w:val="00B0F0"/>
          <w:sz w:val="44"/>
          <w:szCs w:val="44"/>
          <w:lang w:val="fr-FR"/>
        </w:rPr>
        <w:t>Le résultat trimestriel s’inscrit à 862 millions d’euros</w:t>
      </w:r>
    </w:p>
    <w:p w:rsidR="00231D1C" w:rsidRPr="00FA559A" w:rsidRDefault="00231D1C" w:rsidP="006F1325">
      <w:pPr>
        <w:autoSpaceDE w:val="0"/>
        <w:autoSpaceDN w:val="0"/>
        <w:adjustRightInd w:val="0"/>
        <w:ind w:right="4"/>
        <w:jc w:val="both"/>
        <w:rPr>
          <w:rFonts w:asciiTheme="minorHAnsi" w:eastAsia="Calibri" w:hAnsiTheme="minorHAnsi" w:cs="Arial"/>
          <w:b/>
          <w:bCs/>
          <w:lang w:val="fr-FR"/>
        </w:rPr>
      </w:pPr>
    </w:p>
    <w:p w:rsidR="0064057B" w:rsidRPr="00FA559A" w:rsidRDefault="0064057B" w:rsidP="006F1325">
      <w:pPr>
        <w:autoSpaceDE w:val="0"/>
        <w:autoSpaceDN w:val="0"/>
        <w:adjustRightInd w:val="0"/>
        <w:ind w:right="4"/>
        <w:jc w:val="both"/>
        <w:rPr>
          <w:rFonts w:asciiTheme="minorHAnsi" w:eastAsia="Calibri" w:hAnsiTheme="minorHAnsi" w:cs="Arial"/>
          <w:b/>
          <w:bCs/>
          <w:lang w:val="fr-FR"/>
        </w:rPr>
      </w:pPr>
    </w:p>
    <w:p w:rsidR="00231D1C" w:rsidRPr="00FA559A" w:rsidRDefault="00A43C38" w:rsidP="00BF0B67">
      <w:pPr>
        <w:pStyle w:val="Intro"/>
        <w:rPr>
          <w:rFonts w:asciiTheme="minorHAnsi" w:eastAsia="Calibri" w:hAnsiTheme="minorHAnsi" w:cs="Arial"/>
          <w:sz w:val="24"/>
          <w:szCs w:val="24"/>
          <w:lang w:val="fr-FR"/>
        </w:rPr>
      </w:pPr>
      <w:r w:rsidRPr="00FA559A">
        <w:rPr>
          <w:rFonts w:asciiTheme="minorHAnsi" w:eastAsia="Calibri" w:hAnsiTheme="minorHAnsi" w:cs="Arial"/>
          <w:sz w:val="24"/>
          <w:szCs w:val="24"/>
          <w:lang w:val="fr-FR"/>
        </w:rPr>
        <w:t>Notre modèle commercial orienté client a continué de prospérer. Le</w:t>
      </w:r>
      <w:r w:rsidR="00BF72A5" w:rsidRPr="00FA559A">
        <w:rPr>
          <w:rFonts w:asciiTheme="minorHAnsi" w:eastAsia="Calibri" w:hAnsiTheme="minorHAnsi" w:cs="Arial"/>
          <w:sz w:val="24"/>
          <w:szCs w:val="24"/>
          <w:lang w:val="fr-FR"/>
        </w:rPr>
        <w:t xml:space="preserve"> volume</w:t>
      </w:r>
      <w:r w:rsidRPr="00FA559A">
        <w:rPr>
          <w:rFonts w:asciiTheme="minorHAnsi" w:eastAsia="Calibri" w:hAnsiTheme="minorHAnsi" w:cs="Arial"/>
          <w:sz w:val="24"/>
          <w:szCs w:val="24"/>
          <w:lang w:val="fr-FR"/>
        </w:rPr>
        <w:t xml:space="preserve"> des prêts et les contrats d’assurance ont augmenté dans la quasi-totalité des pays où nous opérons. Nos clients nous ont confié u</w:t>
      </w:r>
      <w:r w:rsidR="0064057B" w:rsidRPr="00FA559A">
        <w:rPr>
          <w:rFonts w:asciiTheme="minorHAnsi" w:eastAsia="Calibri" w:hAnsiTheme="minorHAnsi" w:cs="Arial"/>
          <w:sz w:val="24"/>
          <w:szCs w:val="24"/>
          <w:lang w:val="fr-FR"/>
        </w:rPr>
        <w:t>n volume plus important d’</w:t>
      </w:r>
      <w:proofErr w:type="spellStart"/>
      <w:r w:rsidR="0064057B" w:rsidRPr="00FA559A">
        <w:rPr>
          <w:rFonts w:asciiTheme="minorHAnsi" w:eastAsia="Calibri" w:hAnsiTheme="minorHAnsi" w:cs="Arial"/>
          <w:sz w:val="24"/>
          <w:szCs w:val="24"/>
          <w:lang w:val="fr-FR"/>
        </w:rPr>
        <w:t>avoirs</w:t>
      </w:r>
      <w:proofErr w:type="spellEnd"/>
      <w:r w:rsidRPr="00FA559A">
        <w:rPr>
          <w:rFonts w:asciiTheme="minorHAnsi" w:eastAsia="Calibri" w:hAnsiTheme="minorHAnsi" w:cs="Arial"/>
          <w:sz w:val="24"/>
          <w:szCs w:val="24"/>
          <w:lang w:val="fr-FR"/>
        </w:rPr>
        <w:t>, ce qui a dopé les ventes de produits d’investissement. Par ailleurs le faible coût du crédit a également soutenu notre résultat net. Dans un contexte de bas taux d’intérêt, de croissance économique modérée en Belgique et de dynamique plus soutenue en Europe centrale, KBC clôture le quatrième trimestre 2015 sur un bénéfice net exceptionnel de 862 millions d’euros, par rapport à 600 millions d’euros au trimestre précédent et 473 millions d’euros au dernier trimestre 2014. La liquidation de KBC Financial Holding Inc. a eu un impact positif sur le bénéfice, atténué cela dit par les réductions de valeur sur goodwill. Abstraction faite de ces deux éléments, le résultat net du quatrième trimestre s’élève à 441 millions d’euros. Le résultat de l’exercice 2015 s’établit à 2 639 millions d’euros (2 218 millions d’euros après exclusion des deux éléments précités), tous les pays ayant dégagé un bénéfice.</w:t>
      </w:r>
    </w:p>
    <w:p w:rsidR="00A43C38" w:rsidRPr="00FA559A" w:rsidRDefault="00A43C38" w:rsidP="00BF0B67">
      <w:pPr>
        <w:pStyle w:val="Intro"/>
        <w:rPr>
          <w:rFonts w:ascii="Rockwell" w:hAnsi="Rockwell" w:cs="Arial"/>
          <w:bCs w:val="0"/>
          <w:color w:val="00B0F0"/>
          <w:sz w:val="28"/>
          <w:szCs w:val="28"/>
          <w:lang w:val="fr-FR"/>
        </w:rPr>
      </w:pPr>
    </w:p>
    <w:p w:rsidR="00231D1C" w:rsidRPr="00FA559A" w:rsidRDefault="00A43C38" w:rsidP="00231D1C">
      <w:pPr>
        <w:pStyle w:val="Intro"/>
        <w:spacing w:after="120"/>
        <w:rPr>
          <w:rFonts w:ascii="Rockwell" w:hAnsi="Rockwell" w:cs="Arial"/>
          <w:bCs w:val="0"/>
          <w:color w:val="00B0F0"/>
          <w:sz w:val="28"/>
          <w:szCs w:val="28"/>
          <w:lang w:val="fr-FR"/>
        </w:rPr>
      </w:pPr>
      <w:r w:rsidRPr="00FA559A">
        <w:rPr>
          <w:rFonts w:ascii="Rockwell" w:hAnsi="Rockwell" w:cs="Arial"/>
          <w:bCs w:val="0"/>
          <w:color w:val="00B0F0"/>
          <w:sz w:val="28"/>
          <w:szCs w:val="28"/>
          <w:lang w:val="fr-FR"/>
        </w:rPr>
        <w:t>Principales données financières du quatrième trimestre 2015 par rapport au troisième trimestre 2015 :</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 xml:space="preserve">Nos franchises de banque et d’assurance ont toutes deux prospéré sur nos marchés clés et dans nos principales activités. </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Nous avons de nouveau octroyé plus de prêts en Belgique (+1% en un seul trimestre seulement), en République tchèque (+2%), en Slovaquie (+4%) et en Bulgarie (+3%). Les dépôts de clients ont en outre encore augmenté dans la quasi-totalité des pays où nous opérons : République tchèque (+3%), Hongrie (+8%), Slovaquie (+3%), Bulgarie (+4%) et Irlande (+1%).</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lastRenderedPageBreak/>
        <w:t>Les revenus nets d’intérêts ont légèrement augmenté malgré l’environnement de bas taux d’intérêt et une certaine pression sur les marges sur les crédits. Notre marge nette d’intérêts s’est rétrécie, passant de 1,99% à 1,95%.</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Les ventes de produits d’assurance non-vie ont progressé sur tous nos marchés en rythme annuel et le ratio non-vie combiné s’inscrit à un excellent niveau de 91% pour l’exercice complet. Les ventes globales de produits d’assurance vie ont augmenté, la République tchèque signant ici une performance particulièrement impressionnante.</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Les clients ont continué de confier leurs actifs à KBC. Le total des avoirs en gestion de notre groupe s’est inscrit en hausse pour atteindre 209 milliards d’euros grâce aux entrées nettes et à la bonne performance du marché. Nos revenus nets de commissions ont baissé de 3%, principalement en raison de la diminution des commissions de gestion découlant d’une allocation plus prudente des placements.</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Abstraction faite des taxes bancaires spécifiques, les charges en fin d’année ont augmenté sous l’effet de facteurs saisonniers, en particulier pour le Centre de groupe. Le ratio charges/produits s’établit à un bon niveau de 55% pour l’exercice complet.</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Le coût du crédit s’inscrit à un excellent niveau, 0,23% de notre portefeuille des crédits pour 2015.</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La liquidation de KBC Financial Holding Inc. annoncée précédemment s’est traduite par une incidence positive sur l’impôt mais aussi par un résultat d’instruments financiers à la juste valeur négatif de 765 millions d’euros combinés.</w:t>
      </w:r>
    </w:p>
    <w:p w:rsidR="00A43C38"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Les réductions de valeur sur goodwill atteignent 344 millions d’euros au quatrième trimestre mais sont sans effet sur nos ratios de capital.</w:t>
      </w:r>
    </w:p>
    <w:p w:rsidR="00D97A46" w:rsidRPr="00FA559A" w:rsidRDefault="00A43C38" w:rsidP="00A43C38">
      <w:pPr>
        <w:pStyle w:val="ListParagraph"/>
        <w:numPr>
          <w:ilvl w:val="0"/>
          <w:numId w:val="11"/>
        </w:numPr>
        <w:spacing w:after="120"/>
        <w:jc w:val="both"/>
        <w:rPr>
          <w:rFonts w:asciiTheme="minorHAnsi" w:hAnsiTheme="minorHAnsi"/>
          <w:sz w:val="22"/>
          <w:szCs w:val="22"/>
          <w:lang w:val="fr-FR"/>
        </w:rPr>
      </w:pPr>
      <w:r w:rsidRPr="00FA559A">
        <w:rPr>
          <w:rFonts w:asciiTheme="minorHAnsi" w:hAnsiTheme="minorHAnsi"/>
          <w:sz w:val="22"/>
          <w:szCs w:val="22"/>
          <w:lang w:val="fr-FR"/>
        </w:rPr>
        <w:t xml:space="preserve">Notre position de trésorerie reste robuste et notre base de capital – avec un ratio </w:t>
      </w:r>
      <w:proofErr w:type="spellStart"/>
      <w:r w:rsidRPr="00FA559A">
        <w:rPr>
          <w:rFonts w:asciiTheme="minorHAnsi" w:hAnsiTheme="minorHAnsi"/>
          <w:sz w:val="22"/>
          <w:szCs w:val="22"/>
          <w:lang w:val="fr-FR"/>
        </w:rPr>
        <w:t>common</w:t>
      </w:r>
      <w:proofErr w:type="spellEnd"/>
      <w:r w:rsidRPr="00FA559A">
        <w:rPr>
          <w:rFonts w:asciiTheme="minorHAnsi" w:hAnsiTheme="minorHAnsi"/>
          <w:sz w:val="22"/>
          <w:szCs w:val="22"/>
          <w:lang w:val="fr-FR"/>
        </w:rPr>
        <w:t xml:space="preserve"> </w:t>
      </w:r>
      <w:proofErr w:type="spellStart"/>
      <w:r w:rsidRPr="00FA559A">
        <w:rPr>
          <w:rFonts w:asciiTheme="minorHAnsi" w:hAnsiTheme="minorHAnsi"/>
          <w:sz w:val="22"/>
          <w:szCs w:val="22"/>
          <w:lang w:val="fr-FR"/>
        </w:rPr>
        <w:t>equity</w:t>
      </w:r>
      <w:proofErr w:type="spellEnd"/>
      <w:r w:rsidRPr="00FA559A">
        <w:rPr>
          <w:rFonts w:asciiTheme="minorHAnsi" w:hAnsiTheme="minorHAnsi"/>
          <w:sz w:val="22"/>
          <w:szCs w:val="22"/>
          <w:lang w:val="fr-FR"/>
        </w:rPr>
        <w:t xml:space="preserve"> de 15,2% (</w:t>
      </w:r>
      <w:proofErr w:type="spellStart"/>
      <w:r w:rsidRPr="00FA559A">
        <w:rPr>
          <w:rFonts w:asciiTheme="minorHAnsi" w:hAnsiTheme="minorHAnsi"/>
          <w:sz w:val="22"/>
          <w:szCs w:val="22"/>
          <w:lang w:val="fr-FR"/>
        </w:rPr>
        <w:t>phased</w:t>
      </w:r>
      <w:proofErr w:type="spellEnd"/>
      <w:r w:rsidRPr="00FA559A">
        <w:rPr>
          <w:rFonts w:asciiTheme="minorHAnsi" w:hAnsiTheme="minorHAnsi"/>
          <w:sz w:val="22"/>
          <w:szCs w:val="22"/>
          <w:lang w:val="fr-FR"/>
        </w:rPr>
        <w:t>-in, selon le compromis danois) – est toujours nettement supérieure à l’objectif réglementaire, même après remboursement de la dernière tranche des aides publiques.</w:t>
      </w:r>
    </w:p>
    <w:p w:rsidR="003910D9" w:rsidRPr="00FA559A" w:rsidRDefault="003910D9" w:rsidP="003910D9">
      <w:pPr>
        <w:spacing w:before="120"/>
        <w:ind w:left="284"/>
        <w:jc w:val="both"/>
        <w:rPr>
          <w:rFonts w:asciiTheme="minorHAnsi" w:hAnsiTheme="minorHAnsi" w:cs="Arial"/>
          <w:sz w:val="22"/>
          <w:szCs w:val="22"/>
          <w:lang w:val="fr-FR"/>
        </w:rPr>
      </w:pPr>
    </w:p>
    <w:p w:rsidR="0064057B" w:rsidRPr="00FA559A" w:rsidRDefault="0064057B" w:rsidP="003910D9">
      <w:pPr>
        <w:spacing w:before="120"/>
        <w:ind w:left="284"/>
        <w:jc w:val="both"/>
        <w:rPr>
          <w:rFonts w:asciiTheme="minorHAnsi" w:hAnsiTheme="minorHAnsi" w:cs="Arial"/>
          <w:sz w:val="22"/>
          <w:szCs w:val="22"/>
          <w:lang w:val="fr-FR"/>
        </w:rPr>
      </w:pPr>
    </w:p>
    <w:p w:rsidR="00543B3A" w:rsidRPr="00FA559A" w:rsidRDefault="00543B3A" w:rsidP="006F1325">
      <w:pPr>
        <w:ind w:left="360"/>
        <w:jc w:val="both"/>
        <w:rPr>
          <w:rFonts w:ascii="Arial" w:hAnsi="Arial" w:cs="Arial"/>
          <w:sz w:val="10"/>
          <w:szCs w:val="10"/>
          <w:highlight w:val="yellow"/>
          <w:lang w:val="fr-FR"/>
        </w:rPr>
      </w:pPr>
    </w:p>
    <w:p w:rsidR="00543B3A" w:rsidRPr="00FA559A" w:rsidRDefault="00543B3A" w:rsidP="006F1325">
      <w:pPr>
        <w:spacing w:after="120"/>
        <w:rPr>
          <w:rFonts w:ascii="Rockwell" w:hAnsi="Rockwell" w:cs="Arial"/>
          <w:b/>
          <w:bCs/>
          <w:color w:val="00AEEF"/>
          <w:sz w:val="28"/>
          <w:szCs w:val="28"/>
          <w:lang w:val="fr-FR"/>
        </w:rPr>
      </w:pPr>
      <w:r w:rsidRPr="00FA559A">
        <w:rPr>
          <w:rFonts w:ascii="Arial" w:hAnsi="Arial" w:cs="Arial"/>
          <w:i/>
          <w:noProof/>
          <w:color w:val="00AEEF"/>
          <w:sz w:val="18"/>
          <w:szCs w:val="18"/>
          <w:lang w:val="fr-FR" w:eastAsia="nl-BE"/>
        </w:rPr>
        <w:drawing>
          <wp:inline distT="0" distB="0" distL="0" distR="0" wp14:anchorId="4CA81CFC" wp14:editId="686CBBDC">
            <wp:extent cx="1354840" cy="1637858"/>
            <wp:effectExtent l="0" t="0" r="0" b="635"/>
            <wp:docPr id="8" name="Picture 8" descr="O:\Bvh_h000\Dcs_07n8\Gcm_g838\1_Data\Interne_Werking\PERSDIENST\Word\Persberichten\Quaterly Results\2015\3Q2015\persbericht\Johan_Thijs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h_h000\Dcs_07n8\Gcm_g838\1_Data\Interne_Werking\PERSDIENST\Word\Persberichten\Quaterly Results\2015\3Q2015\persbericht\Johan_Thijs_15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314" cy="1658982"/>
                    </a:xfrm>
                    <a:prstGeom prst="rect">
                      <a:avLst/>
                    </a:prstGeom>
                    <a:noFill/>
                    <a:ln>
                      <a:noFill/>
                    </a:ln>
                  </pic:spPr>
                </pic:pic>
              </a:graphicData>
            </a:graphic>
          </wp:inline>
        </w:drawing>
      </w:r>
      <w:r w:rsidRPr="00FA559A">
        <w:rPr>
          <w:rFonts w:ascii="Arial" w:hAnsi="Arial" w:cs="Arial"/>
          <w:i/>
          <w:noProof/>
          <w:color w:val="00AEEF"/>
          <w:sz w:val="18"/>
          <w:szCs w:val="18"/>
          <w:lang w:val="fr-FR" w:eastAsia="nl-BE"/>
        </w:rPr>
        <w:t xml:space="preserve">   </w:t>
      </w:r>
      <w:r w:rsidR="00D97A46" w:rsidRPr="00FA559A">
        <w:rPr>
          <w:rFonts w:ascii="Rockwell" w:hAnsi="Rockwell" w:cs="Arial"/>
          <w:b/>
          <w:bCs/>
          <w:color w:val="00AEEF"/>
          <w:sz w:val="28"/>
          <w:szCs w:val="28"/>
          <w:lang w:val="fr-FR"/>
        </w:rPr>
        <w:t xml:space="preserve">Johan Thijs, </w:t>
      </w:r>
      <w:r w:rsidR="00A43C38" w:rsidRPr="00FA559A">
        <w:rPr>
          <w:rFonts w:ascii="Rockwell" w:hAnsi="Rockwell" w:cs="Arial"/>
          <w:b/>
          <w:bCs/>
          <w:color w:val="00AEEF"/>
          <w:sz w:val="28"/>
          <w:szCs w:val="28"/>
          <w:lang w:val="fr-FR"/>
        </w:rPr>
        <w:t>CEO de notre groupe</w:t>
      </w:r>
      <w:r w:rsidRPr="00FA559A">
        <w:rPr>
          <w:rFonts w:ascii="Rockwell" w:hAnsi="Rockwell" w:cs="Arial"/>
          <w:b/>
          <w:bCs/>
          <w:color w:val="00AEEF"/>
          <w:sz w:val="28"/>
          <w:szCs w:val="28"/>
          <w:lang w:val="fr-FR"/>
        </w:rPr>
        <w:t xml:space="preserve">: </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 xml:space="preserve">« Les clients continuent de nous confier leurs actifs et se fient à nous pour la réalisation de leurs projets, ce dont nous sommes véritablement honorés. Tous les voyants sont au vert au sein de KBC et les résultats montrent que notre approche axée sur le client porte ses fruits. Nous avons enregistré un excellent résultat de 2,6 milliards d’euros en 2015, dont quelque 862 millions d’euros au quatrième trimestre, grâce à la bonne performance des activités sous-jacentes et à divers éléments exceptionnels. </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 xml:space="preserve">Les activités sous-jacentes ont été florissantes, comme l’illustre la croissance des volumes de prêts, des avoirs en gestion et des contrats d’assurance. L’accent toujours placé sur la maîtrise des coûts et l’évolution excellente du coût du crédit dynamisent l’essor de notre entreprise. </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La liquidation annoncée de KBC Financial Holding a été opérée, entraînant un impact après impôts sur le résultat de 765 millions d’euros.</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lastRenderedPageBreak/>
        <w:t xml:space="preserve">En outre, le relèvement des objectifs de capital à l’échelle locale et l’augmentation du taux d’escompte ont favorisé des réductions de valeur sur goodwill pour un total de 344 millions d’euros, enregistrées presque intégralement par nos établissements en Bulgarie et en Slovaquie. Celles-ci restent cependant sans effet sur nos ratios de </w:t>
      </w:r>
      <w:r w:rsidR="00BF72A5" w:rsidRPr="00FA559A">
        <w:rPr>
          <w:rFonts w:asciiTheme="minorHAnsi" w:hAnsiTheme="minorHAnsi" w:cs="Arial"/>
          <w:i/>
          <w:sz w:val="22"/>
          <w:szCs w:val="22"/>
          <w:lang w:val="fr-FR"/>
        </w:rPr>
        <w:t>capital. Les activités</w:t>
      </w:r>
      <w:r w:rsidRPr="00FA559A">
        <w:rPr>
          <w:rFonts w:asciiTheme="minorHAnsi" w:hAnsiTheme="minorHAnsi" w:cs="Arial"/>
          <w:i/>
          <w:sz w:val="22"/>
          <w:szCs w:val="22"/>
          <w:lang w:val="fr-FR"/>
        </w:rPr>
        <w:t>, la réputation et la pertinence de ces</w:t>
      </w:r>
      <w:r w:rsidR="00BF72A5" w:rsidRPr="00FA559A">
        <w:rPr>
          <w:rFonts w:asciiTheme="minorHAnsi" w:hAnsiTheme="minorHAnsi" w:cs="Arial"/>
          <w:i/>
          <w:sz w:val="22"/>
          <w:szCs w:val="22"/>
          <w:lang w:val="fr-FR"/>
        </w:rPr>
        <w:t xml:space="preserve"> entité</w:t>
      </w:r>
      <w:r w:rsidRPr="00FA559A">
        <w:rPr>
          <w:rFonts w:asciiTheme="minorHAnsi" w:hAnsiTheme="minorHAnsi" w:cs="Arial"/>
          <w:i/>
          <w:sz w:val="22"/>
          <w:szCs w:val="22"/>
          <w:lang w:val="fr-FR"/>
        </w:rPr>
        <w:t>s ne sont nullement en cause.</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 xml:space="preserve">Sur le front réglementaire, nous avons été informés au quatrième trimestre 2015 des nouvelles exigences minimales en matière de capital, qui imposent un ratio CET1 d’au moins 9,75%, </w:t>
      </w:r>
      <w:proofErr w:type="spellStart"/>
      <w:r w:rsidRPr="00FA559A">
        <w:rPr>
          <w:rFonts w:asciiTheme="minorHAnsi" w:hAnsiTheme="minorHAnsi" w:cs="Arial"/>
          <w:i/>
          <w:sz w:val="22"/>
          <w:szCs w:val="22"/>
          <w:lang w:val="fr-FR"/>
        </w:rPr>
        <w:t>phased</w:t>
      </w:r>
      <w:proofErr w:type="spellEnd"/>
      <w:r w:rsidRPr="00FA559A">
        <w:rPr>
          <w:rFonts w:asciiTheme="minorHAnsi" w:hAnsiTheme="minorHAnsi" w:cs="Arial"/>
          <w:i/>
          <w:sz w:val="22"/>
          <w:szCs w:val="22"/>
          <w:lang w:val="fr-FR"/>
        </w:rPr>
        <w:t>-in selon le compromis danois. À la fin octobre, la Banque nationale de Belgique a également communiqué le nouveau montant des réserves de fonds propres applicables aux banques belges d’importance systémique. Pour KBC, cela signifie qu’une réserve de fonds propres supplémentaires à hauteur de 0,5% du ratio CET1 (</w:t>
      </w:r>
      <w:proofErr w:type="spellStart"/>
      <w:r w:rsidRPr="00FA559A">
        <w:rPr>
          <w:rFonts w:asciiTheme="minorHAnsi" w:hAnsiTheme="minorHAnsi" w:cs="Arial"/>
          <w:i/>
          <w:sz w:val="22"/>
          <w:szCs w:val="22"/>
          <w:lang w:val="fr-FR"/>
        </w:rPr>
        <w:t>phased</w:t>
      </w:r>
      <w:proofErr w:type="spellEnd"/>
      <w:r w:rsidRPr="00FA559A">
        <w:rPr>
          <w:rFonts w:asciiTheme="minorHAnsi" w:hAnsiTheme="minorHAnsi" w:cs="Arial"/>
          <w:i/>
          <w:sz w:val="22"/>
          <w:szCs w:val="22"/>
          <w:lang w:val="fr-FR"/>
        </w:rPr>
        <w:t>-in selon le compromis danois) est requise pour 2016. Nous sommes à l’aise avec ces objectifs, que nous avons d’ores et déjà intégrés à nos modèles de gestion du capital.</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C’est pour cette même raison que nous avons été en mesure à la fin 2015 – soit cinq ans à l’avance – de rembourser au gouvernement régional flamand la dernière tranche de l’aide publique d’un montant de 2 milliards d’euros et de verser une pénalité de 50%. Ce faisant, nous avons rempli toutes les obligations financières qui nous ont été imposées durant et après la récente crise financière, clôturant définitivement ce chapitre. Nous sommes extrêmement reconnaissants envers le gouvernement et nos clients, collaborateurs et actionnaires pour la confiance qu’ils ont placée en nous et le soutien apporté pendant cette période.</w:t>
      </w:r>
    </w:p>
    <w:p w:rsidR="00A43C38"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Conformément à notre intention précédemment annoncée, nous proposerons lors de l’assemblée annuelle qu’aucun dividende ne soit versé au titre de 2015.</w:t>
      </w:r>
    </w:p>
    <w:p w:rsidR="00D97A46" w:rsidRPr="00FA559A" w:rsidRDefault="00A43C38" w:rsidP="00A43C38">
      <w:pPr>
        <w:tabs>
          <w:tab w:val="left" w:pos="7380"/>
          <w:tab w:val="left" w:pos="9720"/>
        </w:tabs>
        <w:spacing w:after="60"/>
        <w:jc w:val="both"/>
        <w:rPr>
          <w:rFonts w:asciiTheme="minorHAnsi" w:hAnsiTheme="minorHAnsi" w:cs="Arial"/>
          <w:i/>
          <w:sz w:val="22"/>
          <w:szCs w:val="22"/>
          <w:lang w:val="fr-FR"/>
        </w:rPr>
      </w:pPr>
      <w:r w:rsidRPr="00FA559A">
        <w:rPr>
          <w:rFonts w:asciiTheme="minorHAnsi" w:hAnsiTheme="minorHAnsi" w:cs="Arial"/>
          <w:i/>
          <w:sz w:val="22"/>
          <w:szCs w:val="22"/>
          <w:lang w:val="fr-FR"/>
        </w:rPr>
        <w:t xml:space="preserve">En 2016, nous comptons poursuivre sur notre lancée des années précédentes, plus particulièrement en jouant le rôle qui est le nôtre dans la société en tant qu’organisation orientée client. Notre modèle de bancassurance étayé par des bases de liquidité et de capital solides, nous permet de dégager des résultats durables. La persistance de taux d’intérêt bas reste cependant un défi pour l’ensemble de l’industrie financière. Par ailleurs, la volatilité régnant sur les marchés financiers est aussi susceptible de peser sur nos revenus de commissions. De manière fondamentale, nous continuons d’investir dans l’avenir et de déployer </w:t>
      </w:r>
      <w:proofErr w:type="spellStart"/>
      <w:r w:rsidRPr="00FA559A">
        <w:rPr>
          <w:rFonts w:asciiTheme="minorHAnsi" w:hAnsiTheme="minorHAnsi" w:cs="Arial"/>
          <w:i/>
          <w:sz w:val="22"/>
          <w:szCs w:val="22"/>
          <w:lang w:val="fr-FR"/>
        </w:rPr>
        <w:t>proactivement</w:t>
      </w:r>
      <w:proofErr w:type="spellEnd"/>
      <w:r w:rsidRPr="00FA559A">
        <w:rPr>
          <w:rFonts w:asciiTheme="minorHAnsi" w:hAnsiTheme="minorHAnsi" w:cs="Arial"/>
          <w:i/>
          <w:sz w:val="22"/>
          <w:szCs w:val="22"/>
          <w:lang w:val="fr-FR"/>
        </w:rPr>
        <w:t xml:space="preserve"> nos plans de technologie financière afin d’optimiser encore le service à la clientèle. »</w:t>
      </w:r>
    </w:p>
    <w:p w:rsidR="00A43C38" w:rsidRPr="00FA559A" w:rsidRDefault="00A43C38" w:rsidP="00A43C38">
      <w:pPr>
        <w:spacing w:after="60"/>
        <w:ind w:left="360"/>
        <w:jc w:val="both"/>
        <w:rPr>
          <w:rFonts w:ascii="Arial" w:hAnsi="Arial" w:cs="Arial"/>
          <w:sz w:val="10"/>
          <w:szCs w:val="10"/>
          <w:highlight w:val="yellow"/>
          <w:lang w:val="fr-FR"/>
        </w:rPr>
      </w:pPr>
    </w:p>
    <w:tbl>
      <w:tblPr>
        <w:tblW w:w="10098" w:type="dxa"/>
        <w:tblLayout w:type="fixed"/>
        <w:tblLook w:val="01E0" w:firstRow="1" w:lastRow="1" w:firstColumn="1" w:lastColumn="1" w:noHBand="0" w:noVBand="0"/>
      </w:tblPr>
      <w:tblGrid>
        <w:gridCol w:w="4995"/>
        <w:gridCol w:w="992"/>
        <w:gridCol w:w="851"/>
        <w:gridCol w:w="1134"/>
        <w:gridCol w:w="992"/>
        <w:gridCol w:w="1134"/>
      </w:tblGrid>
      <w:tr w:rsidR="00A43C38" w:rsidRPr="00FA559A" w:rsidTr="00A43C38">
        <w:tc>
          <w:tcPr>
            <w:tcW w:w="4995" w:type="dxa"/>
            <w:tcBorders>
              <w:bottom w:val="single" w:sz="4" w:space="0" w:color="808080" w:themeColor="background1" w:themeShade="80"/>
            </w:tcBorders>
            <w:shd w:val="clear" w:color="auto" w:fill="auto"/>
            <w:vAlign w:val="center"/>
          </w:tcPr>
          <w:p w:rsidR="00A43C38" w:rsidRPr="00FA559A" w:rsidRDefault="00A43C38" w:rsidP="00A43C38">
            <w:pPr>
              <w:pStyle w:val="Intro"/>
              <w:jc w:val="left"/>
              <w:rPr>
                <w:color w:val="00B0F0"/>
                <w:sz w:val="14"/>
                <w:szCs w:val="14"/>
                <w:lang w:val="fr-FR"/>
              </w:rPr>
            </w:pPr>
            <w:r w:rsidRPr="00FA559A">
              <w:rPr>
                <w:rFonts w:cs="Arial"/>
                <w:color w:val="00B0F0"/>
                <w:sz w:val="18"/>
                <w:szCs w:val="18"/>
                <w:highlight w:val="yellow"/>
                <w:lang w:val="fr-FR"/>
              </w:rPr>
              <w:br w:type="page"/>
            </w:r>
            <w:r w:rsidRPr="00FA559A">
              <w:rPr>
                <w:color w:val="00B0F0"/>
                <w:sz w:val="14"/>
                <w:szCs w:val="14"/>
                <w:lang w:val="fr-FR"/>
              </w:rPr>
              <w:t>Aperçu</w:t>
            </w:r>
          </w:p>
          <w:p w:rsidR="00A43C38" w:rsidRPr="00FA559A" w:rsidRDefault="00A43C38" w:rsidP="00A43C38">
            <w:pPr>
              <w:pStyle w:val="Intro"/>
              <w:jc w:val="left"/>
              <w:rPr>
                <w:color w:val="00B0F0"/>
                <w:sz w:val="14"/>
                <w:szCs w:val="14"/>
                <w:lang w:val="fr-FR"/>
              </w:rPr>
            </w:pPr>
            <w:r w:rsidRPr="00FA559A">
              <w:rPr>
                <w:color w:val="00B0F0"/>
                <w:sz w:val="14"/>
                <w:szCs w:val="14"/>
                <w:lang w:val="fr-FR"/>
              </w:rPr>
              <w:t>Groupe KBC (consolidé)</w:t>
            </w:r>
          </w:p>
        </w:tc>
        <w:tc>
          <w:tcPr>
            <w:tcW w:w="992" w:type="dxa"/>
            <w:tcBorders>
              <w:bottom w:val="single" w:sz="4" w:space="0" w:color="808080" w:themeColor="background1" w:themeShade="80"/>
            </w:tcBorders>
            <w:shd w:val="clear" w:color="auto" w:fill="auto"/>
            <w:vAlign w:val="center"/>
          </w:tcPr>
          <w:p w:rsidR="00A43C38" w:rsidRPr="00FA559A" w:rsidRDefault="00A43C38" w:rsidP="00A43C38">
            <w:pPr>
              <w:pStyle w:val="Intro"/>
              <w:jc w:val="right"/>
              <w:rPr>
                <w:color w:val="00B0F0"/>
                <w:sz w:val="14"/>
                <w:szCs w:val="14"/>
                <w:lang w:val="fr-FR"/>
              </w:rPr>
            </w:pPr>
            <w:r w:rsidRPr="00FA559A">
              <w:rPr>
                <w:color w:val="00B0F0"/>
                <w:sz w:val="14"/>
                <w:szCs w:val="14"/>
                <w:lang w:val="fr-FR"/>
              </w:rPr>
              <w:t>4TR2014</w:t>
            </w:r>
          </w:p>
        </w:tc>
        <w:tc>
          <w:tcPr>
            <w:tcW w:w="851" w:type="dxa"/>
            <w:tcBorders>
              <w:bottom w:val="single" w:sz="4" w:space="0" w:color="808080" w:themeColor="background1" w:themeShade="80"/>
            </w:tcBorders>
            <w:shd w:val="clear" w:color="auto" w:fill="auto"/>
            <w:vAlign w:val="center"/>
          </w:tcPr>
          <w:p w:rsidR="00A43C38" w:rsidRPr="00FA559A" w:rsidRDefault="00A43C38" w:rsidP="00A43C38">
            <w:pPr>
              <w:pStyle w:val="Intro"/>
              <w:jc w:val="right"/>
              <w:rPr>
                <w:color w:val="00B0F0"/>
                <w:sz w:val="14"/>
                <w:szCs w:val="14"/>
                <w:lang w:val="fr-FR"/>
              </w:rPr>
            </w:pPr>
            <w:r w:rsidRPr="00FA559A">
              <w:rPr>
                <w:color w:val="00B0F0"/>
                <w:sz w:val="14"/>
                <w:szCs w:val="14"/>
                <w:lang w:val="fr-FR"/>
              </w:rPr>
              <w:t>3TR2015</w:t>
            </w:r>
          </w:p>
        </w:tc>
        <w:tc>
          <w:tcPr>
            <w:tcW w:w="1134" w:type="dxa"/>
            <w:tcBorders>
              <w:bottom w:val="single" w:sz="4" w:space="0" w:color="808080" w:themeColor="background1" w:themeShade="80"/>
            </w:tcBorders>
            <w:shd w:val="clear" w:color="auto" w:fill="auto"/>
            <w:vAlign w:val="center"/>
          </w:tcPr>
          <w:p w:rsidR="00A43C38" w:rsidRPr="00FA559A" w:rsidRDefault="00A43C38" w:rsidP="00A43C38">
            <w:pPr>
              <w:pStyle w:val="Intro"/>
              <w:jc w:val="right"/>
              <w:rPr>
                <w:color w:val="00B0F0"/>
                <w:sz w:val="14"/>
                <w:szCs w:val="14"/>
                <w:lang w:val="fr-FR"/>
              </w:rPr>
            </w:pPr>
            <w:r w:rsidRPr="00FA559A">
              <w:rPr>
                <w:color w:val="00B0F0"/>
                <w:sz w:val="14"/>
                <w:szCs w:val="14"/>
                <w:lang w:val="fr-FR"/>
              </w:rPr>
              <w:t>4TR2015</w:t>
            </w:r>
          </w:p>
        </w:tc>
        <w:tc>
          <w:tcPr>
            <w:tcW w:w="992" w:type="dxa"/>
            <w:tcBorders>
              <w:bottom w:val="single" w:sz="4" w:space="0" w:color="808080" w:themeColor="background1" w:themeShade="80"/>
            </w:tcBorders>
            <w:vAlign w:val="center"/>
          </w:tcPr>
          <w:p w:rsidR="00A43C38" w:rsidRPr="00FA559A" w:rsidRDefault="00A43C38" w:rsidP="00A43C38">
            <w:pPr>
              <w:pStyle w:val="Intro"/>
              <w:jc w:val="right"/>
              <w:rPr>
                <w:color w:val="00B0F0"/>
                <w:sz w:val="14"/>
                <w:szCs w:val="14"/>
                <w:lang w:val="fr-FR"/>
              </w:rPr>
            </w:pPr>
            <w:r w:rsidRPr="00FA559A">
              <w:rPr>
                <w:color w:val="00B0F0"/>
                <w:sz w:val="14"/>
                <w:szCs w:val="14"/>
                <w:lang w:val="fr-FR"/>
              </w:rPr>
              <w:t>Exercice complet 2014</w:t>
            </w:r>
          </w:p>
        </w:tc>
        <w:tc>
          <w:tcPr>
            <w:tcW w:w="1134" w:type="dxa"/>
            <w:tcBorders>
              <w:bottom w:val="single" w:sz="4" w:space="0" w:color="808080" w:themeColor="background1" w:themeShade="80"/>
            </w:tcBorders>
            <w:vAlign w:val="center"/>
          </w:tcPr>
          <w:p w:rsidR="00A43C38" w:rsidRPr="00FA559A" w:rsidRDefault="00A43C38" w:rsidP="00A43C38">
            <w:pPr>
              <w:pStyle w:val="Intro"/>
              <w:jc w:val="right"/>
              <w:rPr>
                <w:color w:val="00B0F0"/>
                <w:sz w:val="14"/>
                <w:szCs w:val="14"/>
                <w:lang w:val="fr-FR"/>
              </w:rPr>
            </w:pPr>
            <w:r w:rsidRPr="00FA559A">
              <w:rPr>
                <w:color w:val="00B0F0"/>
                <w:sz w:val="14"/>
                <w:szCs w:val="14"/>
                <w:lang w:val="fr-FR"/>
              </w:rPr>
              <w:t>Exercice complet 2015</w:t>
            </w:r>
          </w:p>
        </w:tc>
      </w:tr>
      <w:tr w:rsidR="00A43C38" w:rsidRPr="00FA559A" w:rsidTr="00A43C38">
        <w:trPr>
          <w:trHeight w:val="284"/>
        </w:trPr>
        <w:tc>
          <w:tcPr>
            <w:tcW w:w="4995" w:type="dxa"/>
            <w:tcBorders>
              <w:top w:val="single" w:sz="4" w:space="0" w:color="808080" w:themeColor="background1" w:themeShade="80"/>
            </w:tcBorders>
            <w:vAlign w:val="center"/>
          </w:tcPr>
          <w:p w:rsidR="00A43C38" w:rsidRPr="00FA559A" w:rsidRDefault="00A43C38" w:rsidP="00A43C38">
            <w:pPr>
              <w:pStyle w:val="Intro"/>
              <w:jc w:val="left"/>
              <w:rPr>
                <w:b w:val="0"/>
                <w:sz w:val="14"/>
                <w:szCs w:val="14"/>
                <w:lang w:val="fr-FR"/>
              </w:rPr>
            </w:pPr>
            <w:r w:rsidRPr="00FA559A">
              <w:rPr>
                <w:b w:val="0"/>
                <w:sz w:val="14"/>
                <w:szCs w:val="14"/>
                <w:lang w:val="fr-FR"/>
              </w:rPr>
              <w:t>Résultat net, IFRS (en millions EUR)</w:t>
            </w:r>
          </w:p>
        </w:tc>
        <w:tc>
          <w:tcPr>
            <w:tcW w:w="992" w:type="dxa"/>
            <w:tcBorders>
              <w:top w:val="single" w:sz="4" w:space="0" w:color="808080" w:themeColor="background1" w:themeShade="80"/>
            </w:tcBorders>
            <w:vAlign w:val="center"/>
          </w:tcPr>
          <w:p w:rsidR="00A43C38" w:rsidRPr="00FA559A" w:rsidRDefault="00A43C38" w:rsidP="00A43C38">
            <w:pPr>
              <w:pStyle w:val="Intro"/>
              <w:ind w:left="-108" w:hanging="142"/>
              <w:jc w:val="right"/>
              <w:rPr>
                <w:b w:val="0"/>
                <w:sz w:val="14"/>
                <w:szCs w:val="14"/>
                <w:lang w:val="fr-FR"/>
              </w:rPr>
            </w:pPr>
            <w:r w:rsidRPr="00FA559A">
              <w:rPr>
                <w:b w:val="0"/>
                <w:sz w:val="14"/>
                <w:szCs w:val="14"/>
                <w:lang w:val="fr-FR"/>
              </w:rPr>
              <w:t>473</w:t>
            </w:r>
          </w:p>
        </w:tc>
        <w:tc>
          <w:tcPr>
            <w:tcW w:w="851" w:type="dxa"/>
            <w:tcBorders>
              <w:top w:val="single" w:sz="4" w:space="0" w:color="808080" w:themeColor="background1" w:themeShade="80"/>
            </w:tcBorders>
            <w:shd w:val="clear" w:color="auto" w:fill="auto"/>
            <w:vAlign w:val="center"/>
          </w:tcPr>
          <w:p w:rsidR="00A43C38" w:rsidRPr="00FA559A" w:rsidRDefault="00A43C38" w:rsidP="00A43C38">
            <w:pPr>
              <w:pStyle w:val="Intro"/>
              <w:ind w:left="-108" w:hanging="142"/>
              <w:jc w:val="right"/>
              <w:rPr>
                <w:b w:val="0"/>
                <w:sz w:val="14"/>
                <w:szCs w:val="14"/>
                <w:lang w:val="fr-FR"/>
              </w:rPr>
            </w:pPr>
            <w:r w:rsidRPr="00FA559A">
              <w:rPr>
                <w:b w:val="0"/>
                <w:sz w:val="14"/>
                <w:szCs w:val="14"/>
                <w:lang w:val="fr-FR"/>
              </w:rPr>
              <w:t>600</w:t>
            </w:r>
          </w:p>
        </w:tc>
        <w:tc>
          <w:tcPr>
            <w:tcW w:w="1134" w:type="dxa"/>
            <w:tcBorders>
              <w:top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ind w:left="-108" w:hanging="142"/>
              <w:jc w:val="right"/>
              <w:rPr>
                <w:b w:val="0"/>
                <w:sz w:val="14"/>
                <w:szCs w:val="14"/>
                <w:lang w:val="fr-FR"/>
              </w:rPr>
            </w:pPr>
            <w:r w:rsidRPr="00FA559A">
              <w:rPr>
                <w:b w:val="0"/>
                <w:sz w:val="14"/>
                <w:szCs w:val="14"/>
                <w:lang w:val="fr-FR"/>
              </w:rPr>
              <w:t>862</w:t>
            </w:r>
          </w:p>
        </w:tc>
        <w:tc>
          <w:tcPr>
            <w:tcW w:w="992" w:type="dxa"/>
            <w:tcBorders>
              <w:top w:val="single" w:sz="4" w:space="0" w:color="808080" w:themeColor="background1" w:themeShade="80"/>
            </w:tcBorders>
            <w:vAlign w:val="center"/>
          </w:tcPr>
          <w:p w:rsidR="00A43C38" w:rsidRPr="00FA559A" w:rsidRDefault="00A43C38" w:rsidP="00A43C38">
            <w:pPr>
              <w:pStyle w:val="Intro"/>
              <w:ind w:left="-108" w:hanging="142"/>
              <w:jc w:val="right"/>
              <w:rPr>
                <w:b w:val="0"/>
                <w:sz w:val="14"/>
                <w:szCs w:val="14"/>
                <w:lang w:val="fr-FR"/>
              </w:rPr>
            </w:pPr>
            <w:r w:rsidRPr="00FA559A">
              <w:rPr>
                <w:b w:val="0"/>
                <w:sz w:val="14"/>
                <w:szCs w:val="14"/>
                <w:lang w:val="fr-FR"/>
              </w:rPr>
              <w:t>1 762</w:t>
            </w:r>
          </w:p>
        </w:tc>
        <w:tc>
          <w:tcPr>
            <w:tcW w:w="1134" w:type="dxa"/>
            <w:tcBorders>
              <w:top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ind w:left="-108" w:hanging="142"/>
              <w:jc w:val="right"/>
              <w:rPr>
                <w:b w:val="0"/>
                <w:sz w:val="14"/>
                <w:szCs w:val="14"/>
                <w:lang w:val="fr-FR"/>
              </w:rPr>
            </w:pPr>
            <w:r w:rsidRPr="00FA559A">
              <w:rPr>
                <w:b w:val="0"/>
                <w:sz w:val="14"/>
                <w:szCs w:val="14"/>
                <w:lang w:val="fr-FR"/>
              </w:rPr>
              <w:t>2 639</w:t>
            </w:r>
          </w:p>
        </w:tc>
      </w:tr>
      <w:tr w:rsidR="00A43C38" w:rsidRPr="00FA559A" w:rsidTr="00A43C38">
        <w:trPr>
          <w:trHeight w:val="284"/>
        </w:trPr>
        <w:tc>
          <w:tcPr>
            <w:tcW w:w="4995" w:type="dxa"/>
            <w:tcBorders>
              <w:bottom w:val="single" w:sz="4" w:space="0" w:color="808080" w:themeColor="background1" w:themeShade="80"/>
            </w:tcBorders>
            <w:vAlign w:val="center"/>
          </w:tcPr>
          <w:p w:rsidR="00A43C38" w:rsidRPr="00FA559A" w:rsidRDefault="00A43C38" w:rsidP="00A43C38">
            <w:pPr>
              <w:pStyle w:val="Intro"/>
              <w:jc w:val="left"/>
              <w:rPr>
                <w:b w:val="0"/>
                <w:sz w:val="14"/>
                <w:szCs w:val="14"/>
                <w:vertAlign w:val="superscript"/>
                <w:lang w:val="fr-FR"/>
              </w:rPr>
            </w:pPr>
            <w:r w:rsidRPr="00FA559A">
              <w:rPr>
                <w:b w:val="0"/>
                <w:sz w:val="14"/>
                <w:szCs w:val="14"/>
                <w:lang w:val="fr-FR"/>
              </w:rPr>
              <w:t>Bénéfice par action, base, IFRS (en EUR)*</w:t>
            </w:r>
          </w:p>
        </w:tc>
        <w:tc>
          <w:tcPr>
            <w:tcW w:w="992" w:type="dxa"/>
            <w:tcBorders>
              <w:bottom w:val="single" w:sz="4" w:space="0" w:color="808080" w:themeColor="background1" w:themeShade="80"/>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1.00</w:t>
            </w:r>
          </w:p>
        </w:tc>
        <w:tc>
          <w:tcPr>
            <w:tcW w:w="851" w:type="dxa"/>
            <w:tcBorders>
              <w:bottom w:val="single" w:sz="4" w:space="0" w:color="808080" w:themeColor="background1" w:themeShade="80"/>
            </w:tcBorders>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1.41</w:t>
            </w:r>
          </w:p>
        </w:tc>
        <w:tc>
          <w:tcPr>
            <w:tcW w:w="1134" w:type="dxa"/>
            <w:tcBorders>
              <w:bottom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-0.36</w:t>
            </w:r>
          </w:p>
        </w:tc>
        <w:tc>
          <w:tcPr>
            <w:tcW w:w="992" w:type="dxa"/>
            <w:tcBorders>
              <w:bottom w:val="single" w:sz="4" w:space="0" w:color="808080" w:themeColor="background1" w:themeShade="80"/>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3.32</w:t>
            </w:r>
          </w:p>
        </w:tc>
        <w:tc>
          <w:tcPr>
            <w:tcW w:w="1134" w:type="dxa"/>
            <w:tcBorders>
              <w:bottom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3.80</w:t>
            </w:r>
          </w:p>
        </w:tc>
      </w:tr>
      <w:tr w:rsidR="00A43C38" w:rsidRPr="00FA559A" w:rsidTr="00A43C38">
        <w:trPr>
          <w:trHeight w:val="284"/>
        </w:trPr>
        <w:tc>
          <w:tcPr>
            <w:tcW w:w="4995" w:type="dxa"/>
            <w:tcBorders>
              <w:top w:val="single" w:sz="4" w:space="0" w:color="808080" w:themeColor="background1" w:themeShade="80"/>
            </w:tcBorders>
            <w:vAlign w:val="center"/>
          </w:tcPr>
          <w:p w:rsidR="00A43C38" w:rsidRPr="00FA559A" w:rsidRDefault="00A43C38" w:rsidP="00A43C38">
            <w:pPr>
              <w:pStyle w:val="Intro"/>
              <w:jc w:val="left"/>
              <w:rPr>
                <w:b w:val="0"/>
                <w:sz w:val="14"/>
                <w:szCs w:val="14"/>
                <w:lang w:val="fr-FR"/>
              </w:rPr>
            </w:pPr>
            <w:r w:rsidRPr="00FA559A">
              <w:rPr>
                <w:b w:val="0"/>
                <w:sz w:val="14"/>
                <w:szCs w:val="14"/>
                <w:lang w:val="fr-FR"/>
              </w:rPr>
              <w:t>Ventilation du résultat net, IFRS, par division (en millions EUR)</w:t>
            </w:r>
          </w:p>
        </w:tc>
        <w:tc>
          <w:tcPr>
            <w:tcW w:w="992" w:type="dxa"/>
            <w:tcBorders>
              <w:top w:val="single" w:sz="4" w:space="0" w:color="808080" w:themeColor="background1" w:themeShade="80"/>
            </w:tcBorders>
            <w:vAlign w:val="center"/>
          </w:tcPr>
          <w:p w:rsidR="00A43C38" w:rsidRPr="00FA559A" w:rsidRDefault="00A43C38" w:rsidP="00A43C38">
            <w:pPr>
              <w:pStyle w:val="Intro"/>
              <w:jc w:val="right"/>
              <w:rPr>
                <w:b w:val="0"/>
                <w:sz w:val="14"/>
                <w:szCs w:val="14"/>
                <w:highlight w:val="yellow"/>
                <w:lang w:val="fr-FR"/>
              </w:rPr>
            </w:pPr>
          </w:p>
        </w:tc>
        <w:tc>
          <w:tcPr>
            <w:tcW w:w="851" w:type="dxa"/>
            <w:tcBorders>
              <w:top w:val="single" w:sz="4" w:space="0" w:color="808080" w:themeColor="background1" w:themeShade="80"/>
            </w:tcBorders>
            <w:shd w:val="clear" w:color="auto" w:fill="auto"/>
            <w:vAlign w:val="center"/>
          </w:tcPr>
          <w:p w:rsidR="00A43C38" w:rsidRPr="00FA559A" w:rsidRDefault="00A43C38" w:rsidP="00A43C38">
            <w:pPr>
              <w:pStyle w:val="Intro"/>
              <w:jc w:val="right"/>
              <w:rPr>
                <w:b w:val="0"/>
                <w:sz w:val="14"/>
                <w:szCs w:val="14"/>
                <w:highlight w:val="yellow"/>
                <w:lang w:val="fr-FR"/>
              </w:rPr>
            </w:pPr>
          </w:p>
        </w:tc>
        <w:tc>
          <w:tcPr>
            <w:tcW w:w="1134" w:type="dxa"/>
            <w:tcBorders>
              <w:top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highlight w:val="yellow"/>
                <w:lang w:val="fr-FR"/>
              </w:rPr>
            </w:pPr>
          </w:p>
        </w:tc>
        <w:tc>
          <w:tcPr>
            <w:tcW w:w="992" w:type="dxa"/>
            <w:tcBorders>
              <w:top w:val="single" w:sz="4" w:space="0" w:color="808080" w:themeColor="background1" w:themeShade="80"/>
            </w:tcBorders>
            <w:vAlign w:val="center"/>
          </w:tcPr>
          <w:p w:rsidR="00A43C38" w:rsidRPr="00FA559A" w:rsidRDefault="00A43C38" w:rsidP="00A43C38">
            <w:pPr>
              <w:pStyle w:val="Intro"/>
              <w:jc w:val="right"/>
              <w:rPr>
                <w:b w:val="0"/>
                <w:sz w:val="14"/>
                <w:szCs w:val="14"/>
                <w:highlight w:val="yellow"/>
                <w:lang w:val="fr-FR"/>
              </w:rPr>
            </w:pPr>
          </w:p>
        </w:tc>
        <w:tc>
          <w:tcPr>
            <w:tcW w:w="1134" w:type="dxa"/>
            <w:tcBorders>
              <w:top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highlight w:val="yellow"/>
                <w:lang w:val="fr-FR"/>
              </w:rPr>
            </w:pPr>
          </w:p>
        </w:tc>
      </w:tr>
      <w:tr w:rsidR="00A43C38" w:rsidRPr="00FA559A" w:rsidTr="00A43C38">
        <w:trPr>
          <w:trHeight w:val="227"/>
        </w:trPr>
        <w:tc>
          <w:tcPr>
            <w:tcW w:w="4995" w:type="dxa"/>
            <w:vAlign w:val="center"/>
          </w:tcPr>
          <w:p w:rsidR="00A43C38" w:rsidRPr="00FA559A" w:rsidRDefault="00A43C38" w:rsidP="00A43C38">
            <w:pPr>
              <w:pStyle w:val="Intro"/>
              <w:jc w:val="left"/>
              <w:rPr>
                <w:b w:val="0"/>
                <w:sz w:val="14"/>
                <w:szCs w:val="14"/>
                <w:lang w:val="fr-FR"/>
              </w:rPr>
            </w:pPr>
            <w:r w:rsidRPr="00FA559A">
              <w:rPr>
                <w:b w:val="0"/>
                <w:sz w:val="14"/>
                <w:szCs w:val="14"/>
                <w:lang w:val="fr-FR"/>
              </w:rPr>
              <w:t xml:space="preserve">     Belgique</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414</w:t>
            </w:r>
          </w:p>
        </w:tc>
        <w:tc>
          <w:tcPr>
            <w:tcW w:w="851" w:type="dxa"/>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358</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348</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1 516</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1 564</w:t>
            </w:r>
          </w:p>
        </w:tc>
      </w:tr>
      <w:tr w:rsidR="00A43C38" w:rsidRPr="00FA559A" w:rsidTr="00A43C38">
        <w:trPr>
          <w:trHeight w:val="227"/>
        </w:trPr>
        <w:tc>
          <w:tcPr>
            <w:tcW w:w="4995" w:type="dxa"/>
            <w:vAlign w:val="center"/>
          </w:tcPr>
          <w:p w:rsidR="00A43C38" w:rsidRPr="00FA559A" w:rsidRDefault="00A43C38" w:rsidP="00A43C38">
            <w:pPr>
              <w:pStyle w:val="Intro"/>
              <w:jc w:val="left"/>
              <w:rPr>
                <w:b w:val="0"/>
                <w:sz w:val="14"/>
                <w:szCs w:val="14"/>
                <w:lang w:val="fr-FR"/>
              </w:rPr>
            </w:pPr>
            <w:r w:rsidRPr="00FA559A">
              <w:rPr>
                <w:b w:val="0"/>
                <w:sz w:val="14"/>
                <w:szCs w:val="14"/>
                <w:lang w:val="fr-FR"/>
              </w:rPr>
              <w:t xml:space="preserve">     République tchèque</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121</w:t>
            </w:r>
          </w:p>
        </w:tc>
        <w:tc>
          <w:tcPr>
            <w:tcW w:w="851" w:type="dxa"/>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153</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119</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528</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542</w:t>
            </w:r>
          </w:p>
        </w:tc>
      </w:tr>
      <w:tr w:rsidR="00A43C38" w:rsidRPr="00FA559A" w:rsidTr="00A43C38">
        <w:trPr>
          <w:trHeight w:val="227"/>
        </w:trPr>
        <w:tc>
          <w:tcPr>
            <w:tcW w:w="4995" w:type="dxa"/>
            <w:vAlign w:val="center"/>
          </w:tcPr>
          <w:p w:rsidR="00A43C38" w:rsidRPr="00FA559A" w:rsidRDefault="00A43C38" w:rsidP="00A43C38">
            <w:pPr>
              <w:pStyle w:val="Intro"/>
              <w:jc w:val="left"/>
              <w:rPr>
                <w:b w:val="0"/>
                <w:sz w:val="14"/>
                <w:szCs w:val="14"/>
                <w:lang w:val="fr-FR"/>
              </w:rPr>
            </w:pPr>
            <w:r w:rsidRPr="00FA559A">
              <w:rPr>
                <w:b w:val="0"/>
                <w:sz w:val="14"/>
                <w:szCs w:val="14"/>
                <w:lang w:val="fr-FR"/>
              </w:rPr>
              <w:t xml:space="preserve">     Marchés internationaux</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-7</w:t>
            </w:r>
          </w:p>
        </w:tc>
        <w:tc>
          <w:tcPr>
            <w:tcW w:w="851" w:type="dxa"/>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92</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61</w:t>
            </w:r>
          </w:p>
        </w:tc>
        <w:tc>
          <w:tcPr>
            <w:tcW w:w="992" w:type="dxa"/>
            <w:vAlign w:val="center"/>
          </w:tcPr>
          <w:p w:rsidR="00A43C38" w:rsidRPr="00FA559A" w:rsidRDefault="00A43C38" w:rsidP="00A43C38">
            <w:pPr>
              <w:pStyle w:val="Intro"/>
              <w:jc w:val="right"/>
              <w:rPr>
                <w:b w:val="0"/>
                <w:sz w:val="14"/>
                <w:szCs w:val="14"/>
                <w:lang w:val="fr-FR"/>
              </w:rPr>
            </w:pPr>
            <w:r w:rsidRPr="00FA559A">
              <w:rPr>
                <w:b w:val="0"/>
                <w:sz w:val="14"/>
                <w:szCs w:val="14"/>
                <w:lang w:val="fr-FR"/>
              </w:rPr>
              <w:t>-182</w:t>
            </w:r>
          </w:p>
        </w:tc>
        <w:tc>
          <w:tcPr>
            <w:tcW w:w="1134" w:type="dxa"/>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245</w:t>
            </w:r>
          </w:p>
        </w:tc>
      </w:tr>
      <w:tr w:rsidR="00A43C38" w:rsidRPr="00FA559A" w:rsidTr="00A43C38">
        <w:trPr>
          <w:trHeight w:val="227"/>
        </w:trPr>
        <w:tc>
          <w:tcPr>
            <w:tcW w:w="4995" w:type="dxa"/>
            <w:tcBorders>
              <w:bottom w:val="single" w:sz="4" w:space="0" w:color="808080" w:themeColor="background1" w:themeShade="80"/>
            </w:tcBorders>
            <w:vAlign w:val="center"/>
          </w:tcPr>
          <w:p w:rsidR="00A43C38" w:rsidRPr="00FA559A" w:rsidRDefault="00A43C38" w:rsidP="00A43C38">
            <w:pPr>
              <w:pStyle w:val="Intro"/>
              <w:jc w:val="left"/>
              <w:rPr>
                <w:b w:val="0"/>
                <w:sz w:val="14"/>
                <w:szCs w:val="14"/>
                <w:lang w:val="fr-FR"/>
              </w:rPr>
            </w:pPr>
            <w:r w:rsidRPr="00FA559A">
              <w:rPr>
                <w:b w:val="0"/>
                <w:sz w:val="14"/>
                <w:szCs w:val="14"/>
                <w:lang w:val="fr-FR"/>
              </w:rPr>
              <w:t xml:space="preserve">     Centre de groupe</w:t>
            </w:r>
          </w:p>
        </w:tc>
        <w:tc>
          <w:tcPr>
            <w:tcW w:w="992" w:type="dxa"/>
            <w:tcBorders>
              <w:bottom w:val="single" w:sz="4" w:space="0" w:color="808080" w:themeColor="background1" w:themeShade="80"/>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-54</w:t>
            </w:r>
          </w:p>
        </w:tc>
        <w:tc>
          <w:tcPr>
            <w:tcW w:w="851" w:type="dxa"/>
            <w:tcBorders>
              <w:bottom w:val="single" w:sz="4" w:space="0" w:color="808080" w:themeColor="background1" w:themeShade="80"/>
            </w:tcBorders>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-2</w:t>
            </w:r>
          </w:p>
        </w:tc>
        <w:tc>
          <w:tcPr>
            <w:tcW w:w="1134" w:type="dxa"/>
            <w:tcBorders>
              <w:bottom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334</w:t>
            </w:r>
          </w:p>
        </w:tc>
        <w:tc>
          <w:tcPr>
            <w:tcW w:w="992" w:type="dxa"/>
            <w:tcBorders>
              <w:bottom w:val="single" w:sz="4" w:space="0" w:color="808080" w:themeColor="background1" w:themeShade="80"/>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-100</w:t>
            </w:r>
          </w:p>
        </w:tc>
        <w:tc>
          <w:tcPr>
            <w:tcW w:w="1134" w:type="dxa"/>
            <w:tcBorders>
              <w:bottom w:val="single" w:sz="4" w:space="0" w:color="808080" w:themeColor="background1" w:themeShade="80"/>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287</w:t>
            </w:r>
          </w:p>
        </w:tc>
      </w:tr>
      <w:tr w:rsidR="00A43C38" w:rsidRPr="00FA559A" w:rsidTr="00A43C38">
        <w:trPr>
          <w:trHeight w:val="284"/>
        </w:trPr>
        <w:tc>
          <w:tcPr>
            <w:tcW w:w="4995" w:type="dxa"/>
            <w:tcBorders>
              <w:top w:val="single" w:sz="4" w:space="0" w:color="808080" w:themeColor="background1" w:themeShade="80"/>
              <w:bottom w:val="single" w:sz="4" w:space="0" w:color="2E74B5" w:themeColor="accent1" w:themeShade="BF"/>
            </w:tcBorders>
            <w:vAlign w:val="center"/>
          </w:tcPr>
          <w:p w:rsidR="00A43C38" w:rsidRPr="00FA559A" w:rsidRDefault="00A43C38" w:rsidP="00A43C38">
            <w:pPr>
              <w:pStyle w:val="Intro"/>
              <w:jc w:val="left"/>
              <w:rPr>
                <w:b w:val="0"/>
                <w:sz w:val="14"/>
                <w:szCs w:val="14"/>
                <w:lang w:val="fr-FR"/>
              </w:rPr>
            </w:pPr>
            <w:r w:rsidRPr="00FA559A">
              <w:rPr>
                <w:b w:val="0"/>
                <w:sz w:val="14"/>
                <w:szCs w:val="14"/>
                <w:lang w:val="fr-FR"/>
              </w:rPr>
              <w:t>Capitaux propres des actionnaires de la société mère par action (en EUR, fin de période)</w:t>
            </w:r>
          </w:p>
        </w:tc>
        <w:tc>
          <w:tcPr>
            <w:tcW w:w="992" w:type="dxa"/>
            <w:tcBorders>
              <w:top w:val="single" w:sz="4" w:space="0" w:color="808080" w:themeColor="background1" w:themeShade="80"/>
              <w:bottom w:val="single" w:sz="4" w:space="0" w:color="2E74B5" w:themeColor="accent1" w:themeShade="BF"/>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31.4</w:t>
            </w:r>
          </w:p>
        </w:tc>
        <w:tc>
          <w:tcPr>
            <w:tcW w:w="851" w:type="dxa"/>
            <w:tcBorders>
              <w:top w:val="single" w:sz="4" w:space="0" w:color="808080" w:themeColor="background1" w:themeShade="80"/>
              <w:bottom w:val="single" w:sz="4" w:space="0" w:color="2E74B5" w:themeColor="accent1" w:themeShade="BF"/>
            </w:tcBorders>
            <w:shd w:val="clear" w:color="auto" w:fill="auto"/>
            <w:vAlign w:val="center"/>
          </w:tcPr>
          <w:p w:rsidR="00A43C38" w:rsidRPr="00FA559A" w:rsidRDefault="00A43C38" w:rsidP="00A43C38">
            <w:pPr>
              <w:pStyle w:val="Intro"/>
              <w:jc w:val="right"/>
              <w:rPr>
                <w:b w:val="0"/>
                <w:sz w:val="14"/>
                <w:szCs w:val="14"/>
                <w:lang w:val="fr-FR"/>
              </w:rPr>
            </w:pPr>
            <w:r w:rsidRPr="00FA559A">
              <w:rPr>
                <w:b w:val="0"/>
                <w:sz w:val="14"/>
                <w:szCs w:val="14"/>
                <w:lang w:val="fr-FR"/>
              </w:rPr>
              <w:t>33.6</w:t>
            </w:r>
          </w:p>
        </w:tc>
        <w:tc>
          <w:tcPr>
            <w:tcW w:w="1134" w:type="dxa"/>
            <w:tcBorders>
              <w:top w:val="single" w:sz="4" w:space="0" w:color="808080" w:themeColor="background1" w:themeShade="80"/>
              <w:bottom w:val="single" w:sz="4" w:space="0" w:color="2E74B5" w:themeColor="accent1" w:themeShade="BF"/>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34.5</w:t>
            </w:r>
          </w:p>
        </w:tc>
        <w:tc>
          <w:tcPr>
            <w:tcW w:w="992" w:type="dxa"/>
            <w:tcBorders>
              <w:top w:val="single" w:sz="4" w:space="0" w:color="808080" w:themeColor="background1" w:themeShade="80"/>
              <w:bottom w:val="single" w:sz="4" w:space="0" w:color="2E74B5" w:themeColor="accent1" w:themeShade="BF"/>
            </w:tcBorders>
            <w:vAlign w:val="center"/>
          </w:tcPr>
          <w:p w:rsidR="00A43C38" w:rsidRPr="00FA559A" w:rsidRDefault="00A43C38" w:rsidP="00A43C38">
            <w:pPr>
              <w:pStyle w:val="Intro"/>
              <w:jc w:val="right"/>
              <w:rPr>
                <w:b w:val="0"/>
                <w:sz w:val="14"/>
                <w:szCs w:val="14"/>
                <w:lang w:val="fr-FR"/>
              </w:rPr>
            </w:pPr>
            <w:r w:rsidRPr="00FA559A">
              <w:rPr>
                <w:b w:val="0"/>
                <w:sz w:val="14"/>
                <w:szCs w:val="14"/>
                <w:lang w:val="fr-FR"/>
              </w:rPr>
              <w:t>31.4</w:t>
            </w:r>
          </w:p>
        </w:tc>
        <w:tc>
          <w:tcPr>
            <w:tcW w:w="1134" w:type="dxa"/>
            <w:tcBorders>
              <w:top w:val="single" w:sz="4" w:space="0" w:color="808080" w:themeColor="background1" w:themeShade="80"/>
              <w:bottom w:val="single" w:sz="4" w:space="0" w:color="2E74B5" w:themeColor="accent1" w:themeShade="BF"/>
            </w:tcBorders>
            <w:shd w:val="clear" w:color="auto" w:fill="D9D9D9" w:themeFill="background1" w:themeFillShade="D9"/>
            <w:vAlign w:val="center"/>
          </w:tcPr>
          <w:p w:rsidR="00A43C38" w:rsidRPr="00FA559A" w:rsidRDefault="00A43C38" w:rsidP="00A43C38">
            <w:pPr>
              <w:pStyle w:val="Intro"/>
              <w:jc w:val="right"/>
              <w:rPr>
                <w:b w:val="0"/>
                <w:sz w:val="14"/>
                <w:szCs w:val="14"/>
                <w:lang w:val="fr-FR"/>
              </w:rPr>
            </w:pPr>
            <w:r w:rsidRPr="00FA559A">
              <w:rPr>
                <w:b w:val="0"/>
                <w:sz w:val="14"/>
                <w:szCs w:val="14"/>
                <w:lang w:val="fr-FR"/>
              </w:rPr>
              <w:t>34.5</w:t>
            </w:r>
          </w:p>
        </w:tc>
      </w:tr>
    </w:tbl>
    <w:p w:rsidR="00543B3A" w:rsidRPr="00FA559A" w:rsidRDefault="00A43C38" w:rsidP="006F1325">
      <w:pPr>
        <w:pStyle w:val="Default"/>
        <w:tabs>
          <w:tab w:val="left" w:pos="7380"/>
        </w:tabs>
        <w:jc w:val="both"/>
        <w:rPr>
          <w:i/>
          <w:iCs/>
          <w:sz w:val="18"/>
          <w:szCs w:val="18"/>
          <w:lang w:val="fr-FR"/>
        </w:rPr>
      </w:pPr>
      <w:r w:rsidRPr="00FA559A">
        <w:rPr>
          <w:rFonts w:ascii="ArialMT" w:eastAsiaTheme="minorHAnsi" w:hAnsi="ArialMT" w:cs="ArialMT"/>
          <w:color w:val="595959" w:themeColor="text1" w:themeTint="A6"/>
          <w:sz w:val="12"/>
          <w:szCs w:val="12"/>
          <w:lang w:val="fr-FR"/>
        </w:rPr>
        <w:t>* Remarque : en cas de paiement d’un coupon sur les titres de capital de base vendus au gouvernement régional flamand et les instruments additionnels Tier-1 inclus dans les capitaux propres, il sera déduit du numérateur (</w:t>
      </w:r>
      <w:r w:rsidRPr="00FA559A">
        <w:rPr>
          <w:rFonts w:eastAsiaTheme="minorHAnsi"/>
          <w:i/>
          <w:iCs/>
          <w:color w:val="595959" w:themeColor="text1" w:themeTint="A6"/>
          <w:sz w:val="12"/>
          <w:szCs w:val="12"/>
          <w:lang w:val="fr-FR"/>
        </w:rPr>
        <w:t>au pro rata</w:t>
      </w:r>
      <w:r w:rsidRPr="00FA559A">
        <w:rPr>
          <w:rFonts w:ascii="ArialMT" w:eastAsiaTheme="minorHAnsi" w:hAnsi="ArialMT" w:cs="ArialMT"/>
          <w:color w:val="595959" w:themeColor="text1" w:themeTint="A6"/>
          <w:sz w:val="12"/>
          <w:szCs w:val="12"/>
          <w:lang w:val="fr-FR"/>
        </w:rPr>
        <w:t>). En cas de paiement d’une pénalité sur les titres de capital de base, elle sera déduite de la même manière.</w:t>
      </w:r>
      <w:r w:rsidR="006F1325" w:rsidRPr="00FA559A">
        <w:rPr>
          <w:i/>
          <w:iCs/>
          <w:sz w:val="18"/>
          <w:szCs w:val="18"/>
          <w:lang w:val="fr-FR"/>
        </w:rPr>
        <w:tab/>
      </w:r>
    </w:p>
    <w:p w:rsidR="00177083" w:rsidRPr="00FA559A" w:rsidRDefault="00177083" w:rsidP="00231D1C">
      <w:pPr>
        <w:spacing w:after="120"/>
        <w:rPr>
          <w:rFonts w:ascii="Rockwell" w:hAnsi="Rockwell" w:cs="Arial"/>
          <w:b/>
          <w:color w:val="00B0F0"/>
          <w:sz w:val="28"/>
          <w:szCs w:val="28"/>
          <w:lang w:val="fr-FR"/>
        </w:rPr>
      </w:pPr>
    </w:p>
    <w:p w:rsidR="00A43C38" w:rsidRPr="00FA559A" w:rsidRDefault="00A43C38" w:rsidP="0064057B">
      <w:pPr>
        <w:spacing w:after="120"/>
        <w:contextualSpacing/>
        <w:jc w:val="both"/>
        <w:rPr>
          <w:rFonts w:ascii="Rockwell" w:hAnsi="Rockwell" w:cs="Arial"/>
          <w:b/>
          <w:color w:val="00B0F0"/>
          <w:sz w:val="28"/>
          <w:szCs w:val="28"/>
          <w:lang w:val="fr-FR"/>
        </w:rPr>
      </w:pPr>
      <w:r w:rsidRPr="00FA559A">
        <w:rPr>
          <w:rFonts w:ascii="Rockwell" w:hAnsi="Rockwell" w:cs="Arial"/>
          <w:b/>
          <w:color w:val="00B0F0"/>
          <w:sz w:val="28"/>
          <w:szCs w:val="28"/>
          <w:lang w:val="fr-FR"/>
        </w:rPr>
        <w:t>Faits marquants du trimestre sous revue</w:t>
      </w:r>
    </w:p>
    <w:p w:rsidR="0064057B" w:rsidRPr="00FA559A" w:rsidRDefault="00A43C38" w:rsidP="003E2A3C">
      <w:pPr>
        <w:pStyle w:val="ListParagraph"/>
        <w:numPr>
          <w:ilvl w:val="0"/>
          <w:numId w:val="2"/>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 xml:space="preserve">Notre stratégie de base reste centrée sur la fourniture de produits et de services de bancassurance aux particuliers, aux PME et aux moyennes capitalisations en Belgique, en République tchèque, en Slovaquie, en Hongrie et en Bulgarie. </w:t>
      </w:r>
    </w:p>
    <w:p w:rsidR="00A43C38" w:rsidRPr="00FA559A" w:rsidRDefault="00A43C38" w:rsidP="00A43C38">
      <w:pPr>
        <w:pStyle w:val="ListParagraph"/>
        <w:numPr>
          <w:ilvl w:val="0"/>
          <w:numId w:val="2"/>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La robuste position de capital de KBC s’est reflétée dans les éléments suivants :</w:t>
      </w:r>
    </w:p>
    <w:p w:rsidR="00A43C38" w:rsidRPr="00FA559A" w:rsidRDefault="00A43C38" w:rsidP="00A43C38">
      <w:pPr>
        <w:pStyle w:val="ListParagraph"/>
        <w:numPr>
          <w:ilvl w:val="0"/>
          <w:numId w:val="16"/>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 xml:space="preserve">Nous nous attachons toujours à atteindre nos objectifs stratégiques, dans notre cadre strict de gestion des risques et du capital et sous la surveillance des autorités réglementaires. Dans ce contexte, la Banque centrale européenne a informé KBC fin novembre 2015 de ses nouvelles exigences minimales en matière de capital, qui imposent un ratio CET1 d’au moins 9,75%, </w:t>
      </w:r>
      <w:proofErr w:type="spellStart"/>
      <w:r w:rsidRPr="00FA559A">
        <w:rPr>
          <w:rFonts w:asciiTheme="minorHAnsi" w:hAnsiTheme="minorHAnsi" w:cs="Arial"/>
          <w:sz w:val="22"/>
          <w:szCs w:val="22"/>
          <w:lang w:val="fr-FR"/>
        </w:rPr>
        <w:t>phased</w:t>
      </w:r>
      <w:proofErr w:type="spellEnd"/>
      <w:r w:rsidRPr="00FA559A">
        <w:rPr>
          <w:rFonts w:asciiTheme="minorHAnsi" w:hAnsiTheme="minorHAnsi" w:cs="Arial"/>
          <w:sz w:val="22"/>
          <w:szCs w:val="22"/>
          <w:lang w:val="fr-FR"/>
        </w:rPr>
        <w:t xml:space="preserve">-in selon le compromis danois. À la fin octobre, la Banque nationale de Belgique a également communiqué le nouveau montant des réserves de fonds propres applicables aux banques belges d’importance systémique. </w:t>
      </w:r>
      <w:r w:rsidRPr="00FA559A">
        <w:rPr>
          <w:rFonts w:asciiTheme="minorHAnsi" w:hAnsiTheme="minorHAnsi" w:cs="Arial"/>
          <w:sz w:val="22"/>
          <w:szCs w:val="22"/>
          <w:lang w:val="fr-FR"/>
        </w:rPr>
        <w:lastRenderedPageBreak/>
        <w:t>Pour KBC, cela signifie qu’une réserve de fonds propres supplémentaires à hauteur de 0,5% du ratio CET1 (</w:t>
      </w:r>
      <w:proofErr w:type="spellStart"/>
      <w:r w:rsidRPr="00FA559A">
        <w:rPr>
          <w:rFonts w:asciiTheme="minorHAnsi" w:hAnsiTheme="minorHAnsi" w:cs="Arial"/>
          <w:sz w:val="22"/>
          <w:szCs w:val="22"/>
          <w:lang w:val="fr-FR"/>
        </w:rPr>
        <w:t>phased</w:t>
      </w:r>
      <w:proofErr w:type="spellEnd"/>
      <w:r w:rsidRPr="00FA559A">
        <w:rPr>
          <w:rFonts w:asciiTheme="minorHAnsi" w:hAnsiTheme="minorHAnsi" w:cs="Arial"/>
          <w:sz w:val="22"/>
          <w:szCs w:val="22"/>
          <w:lang w:val="fr-FR"/>
        </w:rPr>
        <w:t>-in selon le compromis danois) est requise pour 2016. Cette réserve devra être relevée linéairement sur une période de trois ans pour être portée à 1,5% en 2018.</w:t>
      </w:r>
    </w:p>
    <w:p w:rsidR="00A43C38" w:rsidRPr="00FA559A" w:rsidRDefault="00A43C38" w:rsidP="00A43C38">
      <w:pPr>
        <w:pStyle w:val="ListParagraph"/>
        <w:numPr>
          <w:ilvl w:val="0"/>
          <w:numId w:val="16"/>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À la fin 2015 et avec cinq ans d’avance, KBC a remboursé au gouvernement régional flamand la dernière tranche de l’aide publique d’un montant de 2 milliards d’euros et a versé une pénalité de 50%. Ce faisant, le groupe a rempli toutes les obligations financières qui lui ont été imposées durant et après la récente crise financière, clôturant définitivement ce chapitre.</w:t>
      </w:r>
    </w:p>
    <w:p w:rsidR="0064057B" w:rsidRPr="00FA559A" w:rsidRDefault="00A43C38" w:rsidP="003E2A3C">
      <w:pPr>
        <w:pStyle w:val="ListParagraph"/>
        <w:numPr>
          <w:ilvl w:val="0"/>
          <w:numId w:val="16"/>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En vertu du nouveau cadre Solvabilité II entré en vigueur au 1er janvier 2016, les assureurs actifs en Europe doivent satisfaire de nouvelles exigences en termes de capital requis, de gestion des risques et de normes de reporting. La robustesse de l’activité d’assurance ainsi que la gestion rigoureuse du capital et des risques de KBC se reflètent dans son ratio Solvabilité II, qui atteint 231% la fin 2015 et classe KBC Assurances parmi les sociétés les mieux capitalisées du secteur en Europe.</w:t>
      </w:r>
    </w:p>
    <w:p w:rsidR="0064057B" w:rsidRPr="00FA559A" w:rsidRDefault="00A43C38" w:rsidP="003E2A3C">
      <w:pPr>
        <w:pStyle w:val="ListParagraph"/>
        <w:numPr>
          <w:ilvl w:val="0"/>
          <w:numId w:val="2"/>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Dans le cadre du plan de recentrage stratégique convenu en 2009 avec la Commission européenne, KBC s’est engagée à réduire ou à céder les activités de sa filiale, KBC Financial Holding Inc. (États-Unis), dans l’objectif d’abaisser le profil de risque du groupe. Dernière étape de ce plan, KBC a liquidé KBC Financial Holding Inc. Cela signifie que les pertes déjà enregistrées lors des précédents exercices (en particulier en 2008 et 2009) – et pour lesquelles un actif d’impôt différé a maintenant été comptabilisé – étaient fiscalement déductibles. La perte en capital libéré subie par KBC Bank est en effet déductible de l’impôt pour la société mère au moment de la liquidation. Globalement, l’impact après impôts sur le résultat s’est établi à 765 millions d’euros. Initialement, la comptabilisation de l’actif d’impôt différé n’a eu qu’un impact positif limité de 0,2 point de pourcentage (ratio CET1 à pleine charge, calculé selon la méthode du compromis danois) sur les fonds propres réglementaires de KBC.</w:t>
      </w:r>
    </w:p>
    <w:p w:rsidR="0064057B" w:rsidRPr="00FA559A" w:rsidRDefault="00A43C38" w:rsidP="003E2A3C">
      <w:pPr>
        <w:pStyle w:val="ListParagraph"/>
        <w:numPr>
          <w:ilvl w:val="0"/>
          <w:numId w:val="2"/>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Au quatrième trimestre 2015, nous avons comptabilisé des amortissements sur good</w:t>
      </w:r>
      <w:r w:rsidR="00057514" w:rsidRPr="00FA559A">
        <w:rPr>
          <w:rFonts w:asciiTheme="minorHAnsi" w:hAnsiTheme="minorHAnsi" w:cs="Arial"/>
          <w:sz w:val="22"/>
          <w:szCs w:val="22"/>
          <w:lang w:val="fr-FR"/>
        </w:rPr>
        <w:t>will, principalement pour ČSOB en République slovaque</w:t>
      </w:r>
      <w:r w:rsidRPr="00FA559A">
        <w:rPr>
          <w:rFonts w:asciiTheme="minorHAnsi" w:hAnsiTheme="minorHAnsi" w:cs="Arial"/>
          <w:sz w:val="22"/>
          <w:szCs w:val="22"/>
          <w:lang w:val="fr-FR"/>
        </w:rPr>
        <w:t xml:space="preserve"> (-191 millions d’euros),</w:t>
      </w:r>
      <w:r w:rsidR="00057514" w:rsidRPr="00FA559A">
        <w:rPr>
          <w:rFonts w:asciiTheme="minorHAnsi" w:hAnsiTheme="minorHAnsi" w:cs="Arial"/>
          <w:sz w:val="22"/>
          <w:szCs w:val="22"/>
          <w:lang w:val="fr-FR"/>
        </w:rPr>
        <w:t xml:space="preserve"> et</w:t>
      </w:r>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CiBank</w:t>
      </w:r>
      <w:proofErr w:type="spellEnd"/>
      <w:r w:rsidRPr="00FA559A">
        <w:rPr>
          <w:rFonts w:asciiTheme="minorHAnsi" w:hAnsiTheme="minorHAnsi" w:cs="Arial"/>
          <w:sz w:val="22"/>
          <w:szCs w:val="22"/>
          <w:lang w:val="fr-FR"/>
        </w:rPr>
        <w:t xml:space="preserve"> (-117 millions d’euros) et DZI </w:t>
      </w:r>
      <w:proofErr w:type="spellStart"/>
      <w:r w:rsidRPr="00FA559A">
        <w:rPr>
          <w:rFonts w:asciiTheme="minorHAnsi" w:hAnsiTheme="minorHAnsi" w:cs="Arial"/>
          <w:sz w:val="22"/>
          <w:szCs w:val="22"/>
          <w:lang w:val="fr-FR"/>
        </w:rPr>
        <w:t>Insurance</w:t>
      </w:r>
      <w:proofErr w:type="spellEnd"/>
      <w:r w:rsidRPr="00FA559A">
        <w:rPr>
          <w:rFonts w:asciiTheme="minorHAnsi" w:hAnsiTheme="minorHAnsi" w:cs="Arial"/>
          <w:sz w:val="22"/>
          <w:szCs w:val="22"/>
          <w:lang w:val="fr-FR"/>
        </w:rPr>
        <w:t xml:space="preserve"> (-34 millions d’euros) en Bulgarie. Ces amortissements s’expliquent en grande partie par une baisse de la valeur recouvrable (calculé sur une analyse </w:t>
      </w:r>
      <w:proofErr w:type="spellStart"/>
      <w:r w:rsidRPr="00FA559A">
        <w:rPr>
          <w:rFonts w:asciiTheme="minorHAnsi" w:hAnsiTheme="minorHAnsi" w:cs="Arial"/>
          <w:sz w:val="22"/>
          <w:szCs w:val="22"/>
          <w:lang w:val="fr-FR"/>
        </w:rPr>
        <w:t>discounted</w:t>
      </w:r>
      <w:proofErr w:type="spellEnd"/>
      <w:r w:rsidRPr="00FA559A">
        <w:rPr>
          <w:rFonts w:asciiTheme="minorHAnsi" w:hAnsiTheme="minorHAnsi" w:cs="Arial"/>
          <w:sz w:val="22"/>
          <w:szCs w:val="22"/>
          <w:lang w:val="fr-FR"/>
        </w:rPr>
        <w:t xml:space="preserve"> cashflow) due principalement à un relèvement des objectifs en matière de capital (qui s’est traduit par une hausse des exigences en matière de capital réduisant le free </w:t>
      </w:r>
      <w:proofErr w:type="spellStart"/>
      <w:r w:rsidRPr="00FA559A">
        <w:rPr>
          <w:rFonts w:asciiTheme="minorHAnsi" w:hAnsiTheme="minorHAnsi" w:cs="Arial"/>
          <w:sz w:val="22"/>
          <w:szCs w:val="22"/>
          <w:lang w:val="fr-FR"/>
        </w:rPr>
        <w:t>cash flow</w:t>
      </w:r>
      <w:proofErr w:type="spellEnd"/>
      <w:r w:rsidRPr="00FA559A">
        <w:rPr>
          <w:rFonts w:asciiTheme="minorHAnsi" w:hAnsiTheme="minorHAnsi" w:cs="Arial"/>
          <w:sz w:val="22"/>
          <w:szCs w:val="22"/>
          <w:lang w:val="fr-FR"/>
        </w:rPr>
        <w:t xml:space="preserve"> pouvant être distribué à titre de dividende selon le modèle de valorisation) et un taux d’escompte accru (beta et prime de marché plus élevés). Ces amortissements sont toutefois sans incidence sur nos ratios de capital.</w:t>
      </w:r>
    </w:p>
    <w:p w:rsidR="00A43C38" w:rsidRPr="00FA559A" w:rsidRDefault="00A43C38" w:rsidP="003E2A3C">
      <w:pPr>
        <w:pStyle w:val="ListParagraph"/>
        <w:numPr>
          <w:ilvl w:val="0"/>
          <w:numId w:val="2"/>
        </w:numPr>
        <w:spacing w:after="120"/>
        <w:contextualSpacing/>
        <w:jc w:val="both"/>
        <w:rPr>
          <w:rFonts w:asciiTheme="minorHAnsi" w:hAnsiTheme="minorHAnsi" w:cs="Arial"/>
          <w:sz w:val="22"/>
          <w:szCs w:val="22"/>
          <w:lang w:val="fr-FR"/>
        </w:rPr>
      </w:pPr>
      <w:r w:rsidRPr="00FA559A">
        <w:rPr>
          <w:rFonts w:asciiTheme="minorHAnsi" w:hAnsiTheme="minorHAnsi" w:cs="Arial"/>
          <w:sz w:val="22"/>
          <w:szCs w:val="22"/>
          <w:lang w:val="fr-FR"/>
        </w:rPr>
        <w:t>Du point de vue macroéconomique, le net écart de croissance entre pays développés et émergents s’est maintenu au quatrième trimestre. En particulier, les marchés financiers ont remis en cause la viabilité de la croissance économique chinoise. Les robustes chiffres du marché du travail américain au quatrième trimestre ont cependant apaisé les craintes des marchés quant à une possible contagion des pays émergents à leurs homologues développés. En conséquence, la Fed a relevé son taux directeur de 25 points de base à l’occasion de sa réunion de décembre. La croissance enregistrée au quatrième trimestre par l’économie américaine s’est révélée moins soutenue qu’attendu, sous l’effet notamment d’un repli de la consommation, des investissements et des exportations nettes. La zone euro a poursuivi sur la voie de la reprise et le taux de chômage est tombé à 10,6% à la fin 2015. La faiblesse de l’inflation dans la région a néanmoins conduit la BCE à procéder à un nouvel assouplissement de sa politique monétaire en décembre, en réduisant le taux d'intérêt de la facilité de dépôt à -30 points de base. L’indice général est demeuré inférieur à l’objectif de la BCE (un taux juste en-deçà de 2%), essentiellement en raison de l’effondrement des prix du pétrole et des taux de chômage toujours élevés dans la zone euro, qui empêchent toute progression significative des salaires. À la fin du quatrième trimestre, la dépréciation du renminbi face au dollar américain a été à l’origine d’un regain d’incertitudes sur les marchés financiers. Bien que résultant d’un changement de monnaie d’ancrage (du dollar américain uniquement à un panier de devises des principaux partenaires commerciaux de la Chine), la dépréciation a suffi à semer le doute quant à la viabilité du modèle de croissance économique chinois.</w:t>
      </w:r>
    </w:p>
    <w:p w:rsidR="00543B3A" w:rsidRPr="00FA559A" w:rsidRDefault="00A43C38" w:rsidP="00A43C38">
      <w:pPr>
        <w:pStyle w:val="ListParagraph"/>
        <w:numPr>
          <w:ilvl w:val="0"/>
          <w:numId w:val="2"/>
        </w:numPr>
        <w:spacing w:after="120"/>
        <w:contextualSpacing/>
        <w:jc w:val="both"/>
        <w:rPr>
          <w:rFonts w:asciiTheme="minorHAnsi" w:hAnsiTheme="minorHAnsi" w:cs="Arial"/>
          <w:color w:val="0070C0"/>
          <w:sz w:val="22"/>
          <w:szCs w:val="22"/>
          <w:lang w:val="fr-FR"/>
        </w:rPr>
      </w:pPr>
      <w:r w:rsidRPr="00FA559A">
        <w:rPr>
          <w:rFonts w:asciiTheme="minorHAnsi" w:hAnsiTheme="minorHAnsi" w:cs="Arial"/>
          <w:sz w:val="22"/>
          <w:szCs w:val="22"/>
          <w:lang w:val="fr-FR"/>
        </w:rPr>
        <w:t xml:space="preserve">Nous avons de nouveau lancé diverses initiatives en matière de durabilité et de responsabilité de l’entreprise. En Belgique, la plate-forme de financement participatif </w:t>
      </w:r>
      <w:proofErr w:type="spellStart"/>
      <w:r w:rsidRPr="00FA559A">
        <w:rPr>
          <w:rFonts w:asciiTheme="minorHAnsi" w:hAnsiTheme="minorHAnsi" w:cs="Arial"/>
          <w:sz w:val="22"/>
          <w:szCs w:val="22"/>
          <w:lang w:val="fr-FR"/>
        </w:rPr>
        <w:t>Bolero</w:t>
      </w:r>
      <w:proofErr w:type="spellEnd"/>
      <w:r w:rsidRPr="00FA559A">
        <w:rPr>
          <w:rFonts w:asciiTheme="minorHAnsi" w:hAnsiTheme="minorHAnsi" w:cs="Arial"/>
          <w:sz w:val="22"/>
          <w:szCs w:val="22"/>
          <w:lang w:val="fr-FR"/>
        </w:rPr>
        <w:t xml:space="preserve"> s’est vu décerner l’EFMA &amp; </w:t>
      </w:r>
      <w:proofErr w:type="spellStart"/>
      <w:r w:rsidRPr="00FA559A">
        <w:rPr>
          <w:rFonts w:asciiTheme="minorHAnsi" w:hAnsiTheme="minorHAnsi" w:cs="Arial"/>
          <w:sz w:val="22"/>
          <w:szCs w:val="22"/>
          <w:lang w:val="fr-FR"/>
        </w:rPr>
        <w:t>Accenture</w:t>
      </w:r>
      <w:proofErr w:type="spellEnd"/>
      <w:r w:rsidRPr="00FA559A">
        <w:rPr>
          <w:rFonts w:asciiTheme="minorHAnsi" w:hAnsiTheme="minorHAnsi" w:cs="Arial"/>
          <w:sz w:val="22"/>
          <w:szCs w:val="22"/>
          <w:lang w:val="fr-FR"/>
        </w:rPr>
        <w:t xml:space="preserve"> Innovation </w:t>
      </w:r>
      <w:proofErr w:type="spellStart"/>
      <w:r w:rsidRPr="00FA559A">
        <w:rPr>
          <w:rFonts w:asciiTheme="minorHAnsi" w:hAnsiTheme="minorHAnsi" w:cs="Arial"/>
          <w:sz w:val="22"/>
          <w:szCs w:val="22"/>
          <w:lang w:val="fr-FR"/>
        </w:rPr>
        <w:t>Award</w:t>
      </w:r>
      <w:proofErr w:type="spellEnd"/>
      <w:r w:rsidRPr="00FA559A">
        <w:rPr>
          <w:rFonts w:asciiTheme="minorHAnsi" w:hAnsiTheme="minorHAnsi" w:cs="Arial"/>
          <w:sz w:val="22"/>
          <w:szCs w:val="22"/>
          <w:lang w:val="fr-FR"/>
        </w:rPr>
        <w:t xml:space="preserve">, le programme « </w:t>
      </w:r>
      <w:proofErr w:type="spellStart"/>
      <w:r w:rsidRPr="00FA559A">
        <w:rPr>
          <w:rFonts w:asciiTheme="minorHAnsi" w:hAnsiTheme="minorHAnsi" w:cs="Arial"/>
          <w:sz w:val="22"/>
          <w:szCs w:val="22"/>
          <w:lang w:val="fr-FR"/>
        </w:rPr>
        <w:t>Ready</w:t>
      </w:r>
      <w:proofErr w:type="spellEnd"/>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Steady</w:t>
      </w:r>
      <w:proofErr w:type="spellEnd"/>
      <w:r w:rsidRPr="00FA559A">
        <w:rPr>
          <w:rFonts w:asciiTheme="minorHAnsi" w:hAnsiTheme="minorHAnsi" w:cs="Arial"/>
          <w:sz w:val="22"/>
          <w:szCs w:val="22"/>
          <w:lang w:val="fr-FR"/>
        </w:rPr>
        <w:t xml:space="preserve"> Money » géré par K&amp;H en Hongrie a reçu le </w:t>
      </w:r>
      <w:r w:rsidRPr="00FA559A">
        <w:rPr>
          <w:rFonts w:asciiTheme="minorHAnsi" w:hAnsiTheme="minorHAnsi" w:cs="Arial"/>
          <w:sz w:val="22"/>
          <w:szCs w:val="22"/>
          <w:lang w:val="fr-FR"/>
        </w:rPr>
        <w:lastRenderedPageBreak/>
        <w:t xml:space="preserve">Social </w:t>
      </w:r>
      <w:proofErr w:type="spellStart"/>
      <w:r w:rsidRPr="00FA559A">
        <w:rPr>
          <w:rFonts w:asciiTheme="minorHAnsi" w:hAnsiTheme="minorHAnsi" w:cs="Arial"/>
          <w:sz w:val="22"/>
          <w:szCs w:val="22"/>
          <w:lang w:val="fr-FR"/>
        </w:rPr>
        <w:t>Investment</w:t>
      </w:r>
      <w:proofErr w:type="spellEnd"/>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Award</w:t>
      </w:r>
      <w:proofErr w:type="spellEnd"/>
      <w:r w:rsidRPr="00FA559A">
        <w:rPr>
          <w:rFonts w:asciiTheme="minorHAnsi" w:hAnsiTheme="minorHAnsi" w:cs="Arial"/>
          <w:sz w:val="22"/>
          <w:szCs w:val="22"/>
          <w:lang w:val="fr-FR"/>
        </w:rPr>
        <w:t xml:space="preserve"> de MAF (forum de donateurs hongrois), ČSOB </w:t>
      </w:r>
      <w:proofErr w:type="spellStart"/>
      <w:r w:rsidRPr="00FA559A">
        <w:rPr>
          <w:rFonts w:asciiTheme="minorHAnsi" w:hAnsiTheme="minorHAnsi" w:cs="Arial"/>
          <w:sz w:val="22"/>
          <w:szCs w:val="22"/>
          <w:lang w:val="fr-FR"/>
        </w:rPr>
        <w:t>Insurance</w:t>
      </w:r>
      <w:proofErr w:type="spellEnd"/>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Slovakia</w:t>
      </w:r>
      <w:proofErr w:type="spellEnd"/>
      <w:r w:rsidRPr="00FA559A">
        <w:rPr>
          <w:rFonts w:asciiTheme="minorHAnsi" w:hAnsiTheme="minorHAnsi" w:cs="Arial"/>
          <w:sz w:val="22"/>
          <w:szCs w:val="22"/>
          <w:lang w:val="fr-FR"/>
        </w:rPr>
        <w:t xml:space="preserve"> a été couronné « </w:t>
      </w:r>
      <w:proofErr w:type="spellStart"/>
      <w:r w:rsidRPr="00FA559A">
        <w:rPr>
          <w:rFonts w:asciiTheme="minorHAnsi" w:hAnsiTheme="minorHAnsi" w:cs="Arial"/>
          <w:sz w:val="22"/>
          <w:szCs w:val="22"/>
          <w:lang w:val="fr-FR"/>
        </w:rPr>
        <w:t>Insurer</w:t>
      </w:r>
      <w:proofErr w:type="spellEnd"/>
      <w:r w:rsidRPr="00FA559A">
        <w:rPr>
          <w:rFonts w:asciiTheme="minorHAnsi" w:hAnsiTheme="minorHAnsi" w:cs="Arial"/>
          <w:sz w:val="22"/>
          <w:szCs w:val="22"/>
          <w:lang w:val="fr-FR"/>
        </w:rPr>
        <w:t xml:space="preserve"> of the </w:t>
      </w:r>
      <w:proofErr w:type="spellStart"/>
      <w:r w:rsidRPr="00FA559A">
        <w:rPr>
          <w:rFonts w:asciiTheme="minorHAnsi" w:hAnsiTheme="minorHAnsi" w:cs="Arial"/>
          <w:sz w:val="22"/>
          <w:szCs w:val="22"/>
          <w:lang w:val="fr-FR"/>
        </w:rPr>
        <w:t>Year</w:t>
      </w:r>
      <w:proofErr w:type="spellEnd"/>
      <w:r w:rsidRPr="00FA559A">
        <w:rPr>
          <w:rFonts w:asciiTheme="minorHAnsi" w:hAnsiTheme="minorHAnsi" w:cs="Arial"/>
          <w:sz w:val="22"/>
          <w:szCs w:val="22"/>
          <w:lang w:val="fr-FR"/>
        </w:rPr>
        <w:t xml:space="preserve"> » par le magazine Trend et ČSOB </w:t>
      </w:r>
      <w:proofErr w:type="spellStart"/>
      <w:r w:rsidRPr="00FA559A">
        <w:rPr>
          <w:rFonts w:asciiTheme="minorHAnsi" w:hAnsiTheme="minorHAnsi" w:cs="Arial"/>
          <w:sz w:val="22"/>
          <w:szCs w:val="22"/>
          <w:lang w:val="fr-FR"/>
        </w:rPr>
        <w:t>Private</w:t>
      </w:r>
      <w:proofErr w:type="spellEnd"/>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Banking</w:t>
      </w:r>
      <w:proofErr w:type="spellEnd"/>
      <w:r w:rsidRPr="00FA559A">
        <w:rPr>
          <w:rFonts w:asciiTheme="minorHAnsi" w:hAnsiTheme="minorHAnsi" w:cs="Arial"/>
          <w:sz w:val="22"/>
          <w:szCs w:val="22"/>
          <w:lang w:val="fr-FR"/>
        </w:rPr>
        <w:t xml:space="preserve"> en République tchèque a été nommé « Best </w:t>
      </w:r>
      <w:proofErr w:type="spellStart"/>
      <w:r w:rsidRPr="00FA559A">
        <w:rPr>
          <w:rFonts w:asciiTheme="minorHAnsi" w:hAnsiTheme="minorHAnsi" w:cs="Arial"/>
          <w:sz w:val="22"/>
          <w:szCs w:val="22"/>
          <w:lang w:val="fr-FR"/>
        </w:rPr>
        <w:t>Private</w:t>
      </w:r>
      <w:proofErr w:type="spellEnd"/>
      <w:r w:rsidRPr="00FA559A">
        <w:rPr>
          <w:rFonts w:asciiTheme="minorHAnsi" w:hAnsiTheme="minorHAnsi" w:cs="Arial"/>
          <w:sz w:val="22"/>
          <w:szCs w:val="22"/>
          <w:lang w:val="fr-FR"/>
        </w:rPr>
        <w:t xml:space="preserve"> Bank » par The </w:t>
      </w:r>
      <w:proofErr w:type="spellStart"/>
      <w:r w:rsidRPr="00FA559A">
        <w:rPr>
          <w:rFonts w:asciiTheme="minorHAnsi" w:hAnsiTheme="minorHAnsi" w:cs="Arial"/>
          <w:sz w:val="22"/>
          <w:szCs w:val="22"/>
          <w:lang w:val="fr-FR"/>
        </w:rPr>
        <w:t>Banker</w:t>
      </w:r>
      <w:proofErr w:type="spellEnd"/>
      <w:r w:rsidRPr="00FA559A">
        <w:rPr>
          <w:rFonts w:asciiTheme="minorHAnsi" w:hAnsiTheme="minorHAnsi" w:cs="Arial"/>
          <w:sz w:val="22"/>
          <w:szCs w:val="22"/>
          <w:lang w:val="fr-FR"/>
        </w:rPr>
        <w:t xml:space="preserve">. En Bulgarie, le CEO de </w:t>
      </w:r>
      <w:proofErr w:type="spellStart"/>
      <w:r w:rsidRPr="00FA559A">
        <w:rPr>
          <w:rFonts w:asciiTheme="minorHAnsi" w:hAnsiTheme="minorHAnsi" w:cs="Arial"/>
          <w:sz w:val="22"/>
          <w:szCs w:val="22"/>
          <w:lang w:val="fr-FR"/>
        </w:rPr>
        <w:t>CiBank</w:t>
      </w:r>
      <w:proofErr w:type="spellEnd"/>
      <w:r w:rsidRPr="00FA559A">
        <w:rPr>
          <w:rFonts w:asciiTheme="minorHAnsi" w:hAnsiTheme="minorHAnsi" w:cs="Arial"/>
          <w:sz w:val="22"/>
          <w:szCs w:val="22"/>
          <w:lang w:val="fr-FR"/>
        </w:rPr>
        <w:t xml:space="preserve"> a été désigné ‘</w:t>
      </w:r>
      <w:proofErr w:type="spellStart"/>
      <w:r w:rsidRPr="00FA559A">
        <w:rPr>
          <w:rFonts w:asciiTheme="minorHAnsi" w:hAnsiTheme="minorHAnsi" w:cs="Arial"/>
          <w:sz w:val="22"/>
          <w:szCs w:val="22"/>
          <w:lang w:val="fr-FR"/>
        </w:rPr>
        <w:t>Banker</w:t>
      </w:r>
      <w:proofErr w:type="spellEnd"/>
      <w:r w:rsidRPr="00FA559A">
        <w:rPr>
          <w:rFonts w:asciiTheme="minorHAnsi" w:hAnsiTheme="minorHAnsi" w:cs="Arial"/>
          <w:sz w:val="22"/>
          <w:szCs w:val="22"/>
          <w:lang w:val="fr-FR"/>
        </w:rPr>
        <w:t xml:space="preserve"> of the </w:t>
      </w:r>
      <w:proofErr w:type="spellStart"/>
      <w:r w:rsidRPr="00FA559A">
        <w:rPr>
          <w:rFonts w:asciiTheme="minorHAnsi" w:hAnsiTheme="minorHAnsi" w:cs="Arial"/>
          <w:sz w:val="22"/>
          <w:szCs w:val="22"/>
          <w:lang w:val="fr-FR"/>
        </w:rPr>
        <w:t>Year</w:t>
      </w:r>
      <w:proofErr w:type="spellEnd"/>
      <w:r w:rsidRPr="00FA559A">
        <w:rPr>
          <w:rFonts w:asciiTheme="minorHAnsi" w:hAnsiTheme="minorHAnsi" w:cs="Arial"/>
          <w:sz w:val="22"/>
          <w:szCs w:val="22"/>
          <w:lang w:val="fr-FR"/>
        </w:rPr>
        <w:t xml:space="preserve">’ par The </w:t>
      </w:r>
      <w:proofErr w:type="spellStart"/>
      <w:r w:rsidRPr="00FA559A">
        <w:rPr>
          <w:rFonts w:asciiTheme="minorHAnsi" w:hAnsiTheme="minorHAnsi" w:cs="Arial"/>
          <w:sz w:val="22"/>
          <w:szCs w:val="22"/>
          <w:lang w:val="fr-FR"/>
        </w:rPr>
        <w:t>Banker</w:t>
      </w:r>
      <w:proofErr w:type="spellEnd"/>
      <w:r w:rsidRPr="00FA559A">
        <w:rPr>
          <w:rFonts w:asciiTheme="minorHAnsi" w:hAnsiTheme="minorHAnsi" w:cs="Arial"/>
          <w:sz w:val="22"/>
          <w:szCs w:val="22"/>
          <w:lang w:val="fr-FR"/>
        </w:rPr>
        <w:t xml:space="preserve">. La certification EMAS (système européen de management environnemental et d’audit) a été reconfirmée en Belgique, tandis que KBC Securities a lancé le « Start </w:t>
      </w:r>
      <w:proofErr w:type="spellStart"/>
      <w:r w:rsidRPr="00FA559A">
        <w:rPr>
          <w:rFonts w:asciiTheme="minorHAnsi" w:hAnsiTheme="minorHAnsi" w:cs="Arial"/>
          <w:sz w:val="22"/>
          <w:szCs w:val="22"/>
          <w:lang w:val="fr-FR"/>
        </w:rPr>
        <w:t>it</w:t>
      </w:r>
      <w:proofErr w:type="spellEnd"/>
      <w:r w:rsidRPr="00FA559A">
        <w:rPr>
          <w:rFonts w:asciiTheme="minorHAnsi" w:hAnsiTheme="minorHAnsi" w:cs="Arial"/>
          <w:sz w:val="22"/>
          <w:szCs w:val="22"/>
          <w:lang w:val="fr-FR"/>
        </w:rPr>
        <w:t xml:space="preserve"> </w:t>
      </w:r>
      <w:proofErr w:type="spellStart"/>
      <w:r w:rsidRPr="00FA559A">
        <w:rPr>
          <w:rFonts w:asciiTheme="minorHAnsi" w:hAnsiTheme="minorHAnsi" w:cs="Arial"/>
          <w:sz w:val="22"/>
          <w:szCs w:val="22"/>
          <w:lang w:val="fr-FR"/>
        </w:rPr>
        <w:t>Fund</w:t>
      </w:r>
      <w:proofErr w:type="spellEnd"/>
      <w:r w:rsidRPr="00FA559A">
        <w:rPr>
          <w:rFonts w:asciiTheme="minorHAnsi" w:hAnsiTheme="minorHAnsi" w:cs="Arial"/>
          <w:sz w:val="22"/>
          <w:szCs w:val="22"/>
          <w:lang w:val="fr-FR"/>
        </w:rPr>
        <w:t xml:space="preserve"> » à l’intention des start-ups. KBC a également o</w:t>
      </w:r>
      <w:r w:rsidR="00057514" w:rsidRPr="00FA559A">
        <w:rPr>
          <w:rFonts w:asciiTheme="minorHAnsi" w:hAnsiTheme="minorHAnsi" w:cs="Arial"/>
          <w:sz w:val="22"/>
          <w:szCs w:val="22"/>
          <w:lang w:val="fr-FR"/>
        </w:rPr>
        <w:t xml:space="preserve">uvert un nouveau site Start </w:t>
      </w:r>
      <w:proofErr w:type="spellStart"/>
      <w:r w:rsidR="00057514" w:rsidRPr="00FA559A">
        <w:rPr>
          <w:rFonts w:asciiTheme="minorHAnsi" w:hAnsiTheme="minorHAnsi" w:cs="Arial"/>
          <w:sz w:val="22"/>
          <w:szCs w:val="22"/>
          <w:lang w:val="fr-FR"/>
        </w:rPr>
        <w:t>it@KBC</w:t>
      </w:r>
      <w:proofErr w:type="spellEnd"/>
      <w:r w:rsidRPr="00FA559A">
        <w:rPr>
          <w:rFonts w:asciiTheme="minorHAnsi" w:hAnsiTheme="minorHAnsi" w:cs="Arial"/>
          <w:sz w:val="22"/>
          <w:szCs w:val="22"/>
          <w:lang w:val="fr-FR"/>
        </w:rPr>
        <w:t xml:space="preserve"> dans la ville de Courtrai, ce qui porte le nombre total de ces sites à six.</w:t>
      </w:r>
      <w:r w:rsidR="00543B3A" w:rsidRPr="00FA559A">
        <w:rPr>
          <w:rFonts w:asciiTheme="minorHAnsi" w:hAnsiTheme="minorHAnsi" w:cs="Arial"/>
          <w:sz w:val="22"/>
          <w:szCs w:val="22"/>
          <w:lang w:val="fr-FR"/>
        </w:rPr>
        <w:t xml:space="preserve"> </w:t>
      </w:r>
    </w:p>
    <w:p w:rsidR="00A43C38" w:rsidRPr="00FA559A" w:rsidRDefault="00A43C38" w:rsidP="00B91016">
      <w:pPr>
        <w:pStyle w:val="BodyTextIndent"/>
        <w:spacing w:after="120"/>
        <w:ind w:left="0"/>
        <w:rPr>
          <w:rFonts w:ascii="Rockwell" w:hAnsi="Rockwell"/>
          <w:b/>
          <w:color w:val="00B0F0"/>
          <w:sz w:val="28"/>
          <w:szCs w:val="28"/>
          <w:lang w:val="fr-FR"/>
        </w:rPr>
      </w:pPr>
      <w:r w:rsidRPr="00FA559A">
        <w:rPr>
          <w:rFonts w:ascii="Rockwell" w:hAnsi="Rockwell"/>
          <w:b/>
          <w:color w:val="00B0F0"/>
          <w:sz w:val="28"/>
          <w:szCs w:val="28"/>
          <w:lang w:val="fr-FR"/>
        </w:rPr>
        <w:t>Aperçu de nos résultats et de notre bilan</w:t>
      </w:r>
    </w:p>
    <w:p w:rsidR="00543B3A" w:rsidRPr="00FA559A" w:rsidRDefault="00A43C38" w:rsidP="00B91016">
      <w:pPr>
        <w:pStyle w:val="BodyTextIndent"/>
        <w:spacing w:after="120"/>
        <w:ind w:left="0"/>
        <w:rPr>
          <w:sz w:val="4"/>
          <w:szCs w:val="4"/>
          <w:lang w:val="fr-FR"/>
        </w:rPr>
      </w:pPr>
      <w:r w:rsidRPr="00FA559A">
        <w:rPr>
          <w:rFonts w:asciiTheme="minorHAnsi" w:hAnsiTheme="minorHAnsi"/>
          <w:sz w:val="22"/>
          <w:szCs w:val="22"/>
          <w:lang w:val="fr-FR"/>
        </w:rPr>
        <w:t xml:space="preserve">Pour les données complètes du compte de résultat et du bilan consolidés selon les normes IFRS, nous vous renvoyons au chapitre « </w:t>
      </w:r>
      <w:proofErr w:type="spellStart"/>
      <w:r w:rsidRPr="00FA559A">
        <w:rPr>
          <w:rFonts w:asciiTheme="minorHAnsi" w:hAnsiTheme="minorHAnsi"/>
          <w:sz w:val="22"/>
          <w:szCs w:val="22"/>
          <w:lang w:val="fr-FR"/>
        </w:rPr>
        <w:t>Consolidated</w:t>
      </w:r>
      <w:proofErr w:type="spellEnd"/>
      <w:r w:rsidRPr="00FA559A">
        <w:rPr>
          <w:rFonts w:asciiTheme="minorHAnsi" w:hAnsiTheme="minorHAnsi"/>
          <w:sz w:val="22"/>
          <w:szCs w:val="22"/>
          <w:lang w:val="fr-FR"/>
        </w:rPr>
        <w:t xml:space="preserve"> </w:t>
      </w:r>
      <w:proofErr w:type="spellStart"/>
      <w:r w:rsidRPr="00FA559A">
        <w:rPr>
          <w:rFonts w:asciiTheme="minorHAnsi" w:hAnsiTheme="minorHAnsi"/>
          <w:sz w:val="22"/>
          <w:szCs w:val="22"/>
          <w:lang w:val="fr-FR"/>
        </w:rPr>
        <w:t>financial</w:t>
      </w:r>
      <w:proofErr w:type="spellEnd"/>
      <w:r w:rsidRPr="00FA559A">
        <w:rPr>
          <w:rFonts w:asciiTheme="minorHAnsi" w:hAnsiTheme="minorHAnsi"/>
          <w:sz w:val="22"/>
          <w:szCs w:val="22"/>
          <w:lang w:val="fr-FR"/>
        </w:rPr>
        <w:t xml:space="preserve"> </w:t>
      </w:r>
      <w:proofErr w:type="spellStart"/>
      <w:r w:rsidRPr="00FA559A">
        <w:rPr>
          <w:rFonts w:asciiTheme="minorHAnsi" w:hAnsiTheme="minorHAnsi"/>
          <w:sz w:val="22"/>
          <w:szCs w:val="22"/>
          <w:lang w:val="fr-FR"/>
        </w:rPr>
        <w:t>statements</w:t>
      </w:r>
      <w:proofErr w:type="spellEnd"/>
      <w:r w:rsidRPr="00FA559A">
        <w:rPr>
          <w:rFonts w:asciiTheme="minorHAnsi" w:hAnsiTheme="minorHAnsi"/>
          <w:sz w:val="22"/>
          <w:szCs w:val="22"/>
          <w:lang w:val="fr-FR"/>
        </w:rPr>
        <w:t xml:space="preserve"> » du rapport trimestriel, qui reprend également un résumé du résultat global, des variations des capitaux propres des actionnaires, ainsi que plusieurs annexes relatives aux comptes.</w:t>
      </w:r>
    </w:p>
    <w:p w:rsidR="00543B3A" w:rsidRPr="00FA559A" w:rsidRDefault="00543B3A" w:rsidP="006F1325">
      <w:pPr>
        <w:pStyle w:val="BodyTextIndent"/>
        <w:spacing w:before="60"/>
        <w:ind w:left="0"/>
        <w:rPr>
          <w:sz w:val="4"/>
          <w:szCs w:val="4"/>
          <w:lang w:val="fr-FR"/>
        </w:rPr>
      </w:pPr>
    </w:p>
    <w:tbl>
      <w:tblPr>
        <w:tblW w:w="10240" w:type="dxa"/>
        <w:tblLayout w:type="fixed"/>
        <w:tblLook w:val="01E0" w:firstRow="1" w:lastRow="1" w:firstColumn="1" w:lastColumn="1" w:noHBand="0" w:noVBand="0"/>
      </w:tblPr>
      <w:tblGrid>
        <w:gridCol w:w="4287"/>
        <w:gridCol w:w="850"/>
        <w:gridCol w:w="851"/>
        <w:gridCol w:w="850"/>
        <w:gridCol w:w="851"/>
        <w:gridCol w:w="850"/>
        <w:gridCol w:w="851"/>
        <w:gridCol w:w="850"/>
      </w:tblGrid>
      <w:tr w:rsidR="00921911" w:rsidRPr="00FA559A" w:rsidTr="003E2A3C">
        <w:tc>
          <w:tcPr>
            <w:tcW w:w="4287" w:type="dxa"/>
            <w:tcBorders>
              <w:bottom w:val="single" w:sz="8" w:space="0" w:color="808080" w:themeColor="background1" w:themeShade="80"/>
            </w:tcBorders>
            <w:shd w:val="clear" w:color="auto" w:fill="auto"/>
            <w:vAlign w:val="center"/>
          </w:tcPr>
          <w:p w:rsidR="00921911" w:rsidRPr="00FA559A" w:rsidRDefault="00921911" w:rsidP="003E2A3C">
            <w:pPr>
              <w:pStyle w:val="Intro"/>
              <w:jc w:val="left"/>
              <w:rPr>
                <w:color w:val="00B0F0"/>
                <w:sz w:val="14"/>
                <w:szCs w:val="14"/>
                <w:lang w:val="fr-FR"/>
              </w:rPr>
            </w:pPr>
            <w:r w:rsidRPr="00FA559A">
              <w:rPr>
                <w:color w:val="00B0F0"/>
                <w:sz w:val="14"/>
                <w:szCs w:val="14"/>
                <w:lang w:val="fr-FR"/>
              </w:rPr>
              <w:t>Compte de résultat consolidé, IFRS</w:t>
            </w:r>
            <w:r w:rsidRPr="00FA559A">
              <w:rPr>
                <w:color w:val="00B0F0"/>
                <w:sz w:val="14"/>
                <w:szCs w:val="14"/>
                <w:lang w:val="fr-FR"/>
              </w:rPr>
              <w:br/>
              <w:t>Groupe KBC (en millions EUR)</w:t>
            </w:r>
          </w:p>
        </w:tc>
        <w:tc>
          <w:tcPr>
            <w:tcW w:w="850"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4TR2014</w:t>
            </w:r>
          </w:p>
        </w:tc>
        <w:tc>
          <w:tcPr>
            <w:tcW w:w="851"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1TR2015</w:t>
            </w:r>
          </w:p>
        </w:tc>
        <w:tc>
          <w:tcPr>
            <w:tcW w:w="850"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2TR2015</w:t>
            </w:r>
          </w:p>
        </w:tc>
        <w:tc>
          <w:tcPr>
            <w:tcW w:w="851"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3TR2015</w:t>
            </w:r>
          </w:p>
        </w:tc>
        <w:tc>
          <w:tcPr>
            <w:tcW w:w="850"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4TR2015</w:t>
            </w:r>
          </w:p>
        </w:tc>
        <w:tc>
          <w:tcPr>
            <w:tcW w:w="851" w:type="dxa"/>
            <w:tcBorders>
              <w:bottom w:val="single" w:sz="8" w:space="0" w:color="808080" w:themeColor="background1" w:themeShade="80"/>
            </w:tcBorders>
            <w:shd w:val="clear" w:color="auto" w:fill="auto"/>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Exercice complet 2014</w:t>
            </w:r>
          </w:p>
        </w:tc>
        <w:tc>
          <w:tcPr>
            <w:tcW w:w="850" w:type="dxa"/>
            <w:tcBorders>
              <w:bottom w:val="single" w:sz="8" w:space="0" w:color="808080" w:themeColor="background1" w:themeShade="80"/>
            </w:tcBorders>
            <w:vAlign w:val="bottom"/>
          </w:tcPr>
          <w:p w:rsidR="00921911" w:rsidRPr="00FA559A" w:rsidRDefault="00921911" w:rsidP="003E2A3C">
            <w:pPr>
              <w:pStyle w:val="Intro"/>
              <w:jc w:val="right"/>
              <w:rPr>
                <w:color w:val="00B0F0"/>
                <w:sz w:val="14"/>
                <w:szCs w:val="14"/>
                <w:lang w:val="fr-FR"/>
              </w:rPr>
            </w:pPr>
            <w:r w:rsidRPr="00FA559A">
              <w:rPr>
                <w:color w:val="00B0F0"/>
                <w:sz w:val="14"/>
                <w:szCs w:val="14"/>
                <w:lang w:val="fr-FR"/>
              </w:rPr>
              <w:t>Exercice complet 2015</w:t>
            </w:r>
          </w:p>
        </w:tc>
      </w:tr>
      <w:tr w:rsidR="00921911" w:rsidRPr="00FA559A" w:rsidTr="003E2A3C">
        <w:trPr>
          <w:trHeight w:val="321"/>
        </w:trPr>
        <w:tc>
          <w:tcPr>
            <w:tcW w:w="4287"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Revenus nets d’intérêts</w:t>
            </w:r>
          </w:p>
        </w:tc>
        <w:tc>
          <w:tcPr>
            <w:tcW w:w="850" w:type="dxa"/>
            <w:tcBorders>
              <w:top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1 123</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1 091</w:t>
            </w:r>
          </w:p>
        </w:tc>
        <w:tc>
          <w:tcPr>
            <w:tcW w:w="850"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1 092</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highlight w:val="darkGray"/>
                <w:lang w:val="fr-FR"/>
              </w:rPr>
            </w:pPr>
            <w:r w:rsidRPr="00FA559A">
              <w:rPr>
                <w:b w:val="0"/>
                <w:sz w:val="14"/>
                <w:szCs w:val="14"/>
                <w:lang w:val="fr-FR"/>
              </w:rPr>
              <w:t>1 062</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highlight w:val="darkGray"/>
                <w:lang w:val="fr-FR"/>
              </w:rPr>
            </w:pPr>
            <w:r w:rsidRPr="00FA559A">
              <w:rPr>
                <w:b w:val="0"/>
                <w:sz w:val="14"/>
                <w:szCs w:val="14"/>
                <w:lang w:val="fr-FR"/>
              </w:rPr>
              <w:t>1 066</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highlight w:val="darkGray"/>
                <w:lang w:val="fr-FR"/>
              </w:rPr>
            </w:pPr>
            <w:r w:rsidRPr="00FA559A">
              <w:rPr>
                <w:b w:val="0"/>
                <w:sz w:val="14"/>
                <w:szCs w:val="14"/>
                <w:lang w:val="fr-FR"/>
              </w:rPr>
              <w:t>4 308</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highlight w:val="darkGray"/>
                <w:lang w:val="fr-FR"/>
              </w:rPr>
            </w:pPr>
            <w:r w:rsidRPr="00FA559A">
              <w:rPr>
                <w:b w:val="0"/>
                <w:sz w:val="14"/>
                <w:szCs w:val="14"/>
                <w:lang w:val="fr-FR"/>
              </w:rPr>
              <w:t>4 311</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Revenus d’intérêts</w:t>
            </w:r>
          </w:p>
        </w:tc>
        <w:tc>
          <w:tcPr>
            <w:tcW w:w="850" w:type="dxa"/>
            <w:shd w:val="clear" w:color="auto" w:fill="FFFFFF" w:themeFill="background1"/>
            <w:vAlign w:val="center"/>
          </w:tcPr>
          <w:p w:rsidR="00921911" w:rsidRPr="00FA559A" w:rsidRDefault="00921911" w:rsidP="003E2A3C">
            <w:pPr>
              <w:pStyle w:val="Intro"/>
              <w:spacing w:before="100" w:beforeAutospacing="1"/>
              <w:ind w:left="-242"/>
              <w:jc w:val="right"/>
              <w:rPr>
                <w:b w:val="0"/>
                <w:sz w:val="12"/>
                <w:szCs w:val="12"/>
                <w:lang w:val="fr-FR"/>
              </w:rPr>
            </w:pPr>
            <w:r w:rsidRPr="00FA559A">
              <w:rPr>
                <w:b w:val="0"/>
                <w:sz w:val="12"/>
                <w:szCs w:val="12"/>
                <w:lang w:val="fr-FR"/>
              </w:rPr>
              <w:t>1 982</w:t>
            </w:r>
          </w:p>
        </w:tc>
        <w:tc>
          <w:tcPr>
            <w:tcW w:w="851" w:type="dxa"/>
            <w:shd w:val="clear" w:color="auto" w:fill="auto"/>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1 850</w:t>
            </w:r>
          </w:p>
        </w:tc>
        <w:tc>
          <w:tcPr>
            <w:tcW w:w="850" w:type="dxa"/>
            <w:shd w:val="clear" w:color="auto" w:fill="auto"/>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1 804</w:t>
            </w:r>
          </w:p>
        </w:tc>
        <w:tc>
          <w:tcPr>
            <w:tcW w:w="851" w:type="dxa"/>
            <w:shd w:val="clear" w:color="auto" w:fill="auto"/>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1 770</w:t>
            </w:r>
          </w:p>
        </w:tc>
        <w:tc>
          <w:tcPr>
            <w:tcW w:w="850" w:type="dxa"/>
            <w:shd w:val="clear" w:color="auto" w:fill="D9D9D9" w:themeFill="background1" w:themeFillShade="D9"/>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1 725</w:t>
            </w:r>
          </w:p>
        </w:tc>
        <w:tc>
          <w:tcPr>
            <w:tcW w:w="851" w:type="dxa"/>
            <w:shd w:val="clear" w:color="auto" w:fill="auto"/>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7 893</w:t>
            </w:r>
          </w:p>
        </w:tc>
        <w:tc>
          <w:tcPr>
            <w:tcW w:w="850" w:type="dxa"/>
            <w:shd w:val="clear" w:color="auto" w:fill="D9D9D9" w:themeFill="background1" w:themeFillShade="D9"/>
            <w:vAlign w:val="center"/>
          </w:tcPr>
          <w:p w:rsidR="00921911" w:rsidRPr="00FA559A" w:rsidRDefault="00921911" w:rsidP="003E2A3C">
            <w:pPr>
              <w:pStyle w:val="Intro"/>
              <w:keepNext/>
              <w:ind w:left="-242"/>
              <w:jc w:val="right"/>
              <w:outlineLvl w:val="3"/>
              <w:rPr>
                <w:b w:val="0"/>
                <w:sz w:val="12"/>
                <w:szCs w:val="12"/>
                <w:lang w:val="fr-FR"/>
              </w:rPr>
            </w:pPr>
            <w:r w:rsidRPr="00FA559A">
              <w:rPr>
                <w:b w:val="0"/>
                <w:sz w:val="12"/>
                <w:szCs w:val="12"/>
                <w:lang w:val="fr-FR"/>
              </w:rPr>
              <w:t>7 150</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Charges d’intérêts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2"/>
                <w:szCs w:val="12"/>
                <w:lang w:val="fr-FR"/>
              </w:rPr>
            </w:pPr>
            <w:r w:rsidRPr="00FA559A">
              <w:rPr>
                <w:b w:val="0"/>
                <w:sz w:val="12"/>
                <w:szCs w:val="12"/>
                <w:lang w:val="fr-FR"/>
              </w:rPr>
              <w:t>-860</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-759</w:t>
            </w:r>
          </w:p>
        </w:tc>
        <w:tc>
          <w:tcPr>
            <w:tcW w:w="850"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-712</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-708</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-659</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-3 586</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-2 839</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rPr>
                <w:rFonts w:ascii="Arial" w:hAnsi="Arial" w:cs="Arial"/>
                <w:sz w:val="14"/>
                <w:szCs w:val="14"/>
                <w:lang w:val="fr-FR"/>
              </w:rPr>
            </w:pPr>
            <w:r w:rsidRPr="00FA559A">
              <w:rPr>
                <w:rFonts w:ascii="Arial" w:hAnsi="Arial" w:cs="Arial"/>
                <w:sz w:val="14"/>
                <w:szCs w:val="14"/>
                <w:lang w:val="fr-FR"/>
              </w:rPr>
              <w:t>Assurance non-vie (avant réassurance)</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123</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167</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155</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142</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147</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512</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611</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ind w:firstLineChars="125" w:firstLine="150"/>
              <w:rPr>
                <w:rFonts w:ascii="Arial" w:hAnsi="Arial" w:cs="Arial"/>
                <w:i/>
                <w:iCs/>
                <w:color w:val="404040" w:themeColor="text1" w:themeTint="BF"/>
                <w:sz w:val="12"/>
                <w:szCs w:val="12"/>
                <w:lang w:val="fr-FR"/>
              </w:rPr>
            </w:pPr>
            <w:r w:rsidRPr="00FA559A">
              <w:rPr>
                <w:rFonts w:ascii="Arial" w:hAnsi="Arial" w:cs="Arial"/>
                <w:i/>
                <w:iCs/>
                <w:sz w:val="12"/>
                <w:szCs w:val="12"/>
                <w:lang w:val="fr-FR"/>
              </w:rPr>
              <w:t>Primes acquises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i/>
                <w:sz w:val="12"/>
                <w:szCs w:val="12"/>
                <w:lang w:val="fr-FR"/>
              </w:rPr>
            </w:pPr>
            <w:r w:rsidRPr="00FA559A">
              <w:rPr>
                <w:b w:val="0"/>
                <w:i/>
                <w:sz w:val="12"/>
                <w:szCs w:val="12"/>
                <w:lang w:val="fr-FR"/>
              </w:rPr>
              <w:t>322</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320</w:t>
            </w:r>
          </w:p>
        </w:tc>
        <w:tc>
          <w:tcPr>
            <w:tcW w:w="850"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326</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335</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338</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 xml:space="preserve"> 1 266</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1 319</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ind w:firstLineChars="125" w:firstLine="150"/>
              <w:rPr>
                <w:rFonts w:ascii="Arial" w:hAnsi="Arial" w:cs="Arial"/>
                <w:i/>
                <w:iCs/>
                <w:color w:val="404040" w:themeColor="text1" w:themeTint="BF"/>
                <w:sz w:val="12"/>
                <w:szCs w:val="12"/>
                <w:lang w:val="fr-FR"/>
              </w:rPr>
            </w:pPr>
            <w:r w:rsidRPr="00FA559A">
              <w:rPr>
                <w:rFonts w:ascii="Arial" w:hAnsi="Arial" w:cs="Arial"/>
                <w:i/>
                <w:iCs/>
                <w:sz w:val="12"/>
                <w:szCs w:val="12"/>
                <w:lang w:val="fr-FR"/>
              </w:rPr>
              <w:t>Charges techniques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i/>
                <w:sz w:val="12"/>
                <w:szCs w:val="12"/>
                <w:lang w:val="fr-FR"/>
              </w:rPr>
            </w:pPr>
            <w:r w:rsidRPr="00FA559A">
              <w:rPr>
                <w:b w:val="0"/>
                <w:i/>
                <w:sz w:val="12"/>
                <w:szCs w:val="12"/>
                <w:lang w:val="fr-FR"/>
              </w:rPr>
              <w:t>-200</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-153</w:t>
            </w:r>
          </w:p>
        </w:tc>
        <w:tc>
          <w:tcPr>
            <w:tcW w:w="850"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-172</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-193</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-191</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-754</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-708</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rPr>
                <w:rFonts w:ascii="Arial" w:hAnsi="Arial" w:cs="Arial"/>
                <w:sz w:val="14"/>
                <w:szCs w:val="14"/>
                <w:lang w:val="fr-FR"/>
              </w:rPr>
            </w:pPr>
            <w:r w:rsidRPr="00FA559A">
              <w:rPr>
                <w:rFonts w:ascii="Arial" w:hAnsi="Arial" w:cs="Arial"/>
                <w:sz w:val="14"/>
                <w:szCs w:val="14"/>
                <w:lang w:val="fr-FR"/>
              </w:rPr>
              <w:t>Assurance vie (avant réassurance)</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-45</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-48</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-51</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-51</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-51</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-216</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-201</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ind w:firstLineChars="125" w:firstLine="150"/>
              <w:rPr>
                <w:rFonts w:ascii="Arial" w:hAnsi="Arial" w:cs="Arial"/>
                <w:i/>
                <w:iCs/>
                <w:sz w:val="12"/>
                <w:szCs w:val="12"/>
                <w:lang w:val="fr-FR"/>
              </w:rPr>
            </w:pPr>
            <w:r w:rsidRPr="00FA559A">
              <w:rPr>
                <w:rFonts w:ascii="Arial" w:hAnsi="Arial" w:cs="Arial"/>
                <w:i/>
                <w:iCs/>
                <w:sz w:val="12"/>
                <w:szCs w:val="12"/>
                <w:lang w:val="fr-FR"/>
              </w:rPr>
              <w:t>Primes acquises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i/>
                <w:sz w:val="12"/>
                <w:szCs w:val="12"/>
                <w:lang w:val="fr-FR"/>
              </w:rPr>
            </w:pPr>
            <w:r w:rsidRPr="00FA559A">
              <w:rPr>
                <w:b w:val="0"/>
                <w:i/>
                <w:sz w:val="12"/>
                <w:szCs w:val="12"/>
                <w:lang w:val="fr-FR"/>
              </w:rPr>
              <w:t>343</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302</w:t>
            </w:r>
          </w:p>
        </w:tc>
        <w:tc>
          <w:tcPr>
            <w:tcW w:w="850"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265</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289</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445</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1 247</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1 301</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ind w:firstLineChars="125" w:firstLine="150"/>
              <w:rPr>
                <w:rFonts w:ascii="Arial" w:hAnsi="Arial" w:cs="Arial"/>
                <w:i/>
                <w:iCs/>
                <w:sz w:val="12"/>
                <w:szCs w:val="12"/>
                <w:lang w:val="fr-FR"/>
              </w:rPr>
            </w:pPr>
            <w:r w:rsidRPr="00FA559A">
              <w:rPr>
                <w:rFonts w:ascii="Arial" w:hAnsi="Arial" w:cs="Arial"/>
                <w:i/>
                <w:iCs/>
                <w:sz w:val="12"/>
                <w:szCs w:val="12"/>
                <w:lang w:val="fr-FR"/>
              </w:rPr>
              <w:t>Charges techniques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i/>
                <w:sz w:val="12"/>
                <w:szCs w:val="12"/>
                <w:lang w:val="fr-FR"/>
              </w:rPr>
            </w:pPr>
            <w:r w:rsidRPr="00FA559A">
              <w:rPr>
                <w:b w:val="0"/>
                <w:i/>
                <w:sz w:val="12"/>
                <w:szCs w:val="12"/>
                <w:lang w:val="fr-FR"/>
              </w:rPr>
              <w:t>-388</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-350</w:t>
            </w:r>
          </w:p>
        </w:tc>
        <w:tc>
          <w:tcPr>
            <w:tcW w:w="850"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-316</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-340</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-496</w:t>
            </w:r>
          </w:p>
        </w:tc>
        <w:tc>
          <w:tcPr>
            <w:tcW w:w="851" w:type="dxa"/>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-1 463</w:t>
            </w:r>
          </w:p>
        </w:tc>
        <w:tc>
          <w:tcPr>
            <w:tcW w:w="850" w:type="dxa"/>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-1 502</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Résultat de la réassurance cédée</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10</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-11</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-10</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16</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-29</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Revenus de dividendes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9</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39</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13</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56</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75</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Résultat net des instruments financiers à la juste valeur par le biais du compte de résultat</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109</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57</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179</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47</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-68</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227</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214</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Résultat net réalisé sur des actifs disponibles à la vente</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22</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80</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36</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44</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30</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150</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190</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Revenus nets de commissions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410</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459</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465</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383</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371</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1 573</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1 678</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Revenus de commissions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2"/>
                <w:szCs w:val="12"/>
                <w:lang w:val="fr-FR"/>
              </w:rPr>
            </w:pPr>
            <w:r w:rsidRPr="00FA559A">
              <w:rPr>
                <w:b w:val="0"/>
                <w:sz w:val="12"/>
                <w:szCs w:val="12"/>
                <w:lang w:val="fr-FR"/>
              </w:rPr>
              <w:t>577</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632</w:t>
            </w:r>
          </w:p>
        </w:tc>
        <w:tc>
          <w:tcPr>
            <w:tcW w:w="850"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634</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547</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533</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2 245</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2 348</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Charges de commissions</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2"/>
                <w:szCs w:val="12"/>
                <w:lang w:val="fr-FR"/>
              </w:rPr>
            </w:pPr>
            <w:r w:rsidRPr="00FA559A">
              <w:rPr>
                <w:b w:val="0"/>
                <w:sz w:val="12"/>
                <w:szCs w:val="12"/>
                <w:lang w:val="fr-FR"/>
              </w:rPr>
              <w:t>-167</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-174</w:t>
            </w:r>
          </w:p>
        </w:tc>
        <w:tc>
          <w:tcPr>
            <w:tcW w:w="850"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-169</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-164</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-162</w:t>
            </w:r>
          </w:p>
        </w:tc>
        <w:tc>
          <w:tcPr>
            <w:tcW w:w="851" w:type="dxa"/>
            <w:shd w:val="clear" w:color="auto" w:fill="auto"/>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-672</w:t>
            </w:r>
          </w:p>
        </w:tc>
        <w:tc>
          <w:tcPr>
            <w:tcW w:w="850" w:type="dxa"/>
            <w:shd w:val="clear" w:color="auto" w:fill="D9D9D9" w:themeFill="background1" w:themeFillShade="D9"/>
            <w:vAlign w:val="center"/>
          </w:tcPr>
          <w:p w:rsidR="00921911" w:rsidRPr="00FA559A" w:rsidRDefault="00921911" w:rsidP="003E2A3C">
            <w:pPr>
              <w:pStyle w:val="Intro"/>
              <w:keepNext/>
              <w:jc w:val="right"/>
              <w:outlineLvl w:val="3"/>
              <w:rPr>
                <w:b w:val="0"/>
                <w:sz w:val="12"/>
                <w:szCs w:val="12"/>
                <w:lang w:val="fr-FR"/>
              </w:rPr>
            </w:pPr>
            <w:r w:rsidRPr="00FA559A">
              <w:rPr>
                <w:b w:val="0"/>
                <w:sz w:val="12"/>
                <w:szCs w:val="12"/>
                <w:lang w:val="fr-FR"/>
              </w:rPr>
              <w:t>-670</w:t>
            </w:r>
          </w:p>
        </w:tc>
      </w:tr>
      <w:tr w:rsidR="00921911" w:rsidRPr="00FA559A" w:rsidTr="003E2A3C">
        <w:trPr>
          <w:trHeight w:val="284"/>
        </w:trPr>
        <w:tc>
          <w:tcPr>
            <w:tcW w:w="4287"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Autres revenus nets</w:t>
            </w:r>
          </w:p>
        </w:tc>
        <w:tc>
          <w:tcPr>
            <w:tcW w:w="850" w:type="dxa"/>
            <w:tcBorders>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68</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49</w:t>
            </w:r>
          </w:p>
        </w:tc>
        <w:tc>
          <w:tcPr>
            <w:tcW w:w="850"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105</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96</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47</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94</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297</w:t>
            </w:r>
          </w:p>
        </w:tc>
      </w:tr>
      <w:tr w:rsidR="00921911" w:rsidRPr="00FA559A" w:rsidTr="003E2A3C">
        <w:trPr>
          <w:trHeight w:val="284"/>
        </w:trPr>
        <w:tc>
          <w:tcPr>
            <w:tcW w:w="4287"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Total des revenus</w:t>
            </w:r>
          </w:p>
        </w:tc>
        <w:tc>
          <w:tcPr>
            <w:tcW w:w="850" w:type="dxa"/>
            <w:tcBorders>
              <w:top w:val="single" w:sz="8" w:space="0" w:color="808080" w:themeColor="background1" w:themeShade="80"/>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1 827</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1 855</w:t>
            </w:r>
          </w:p>
        </w:tc>
        <w:tc>
          <w:tcPr>
            <w:tcW w:w="850"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2 013</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1 736</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1 543</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6 720</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7 148</w:t>
            </w:r>
          </w:p>
        </w:tc>
      </w:tr>
      <w:tr w:rsidR="00921911" w:rsidRPr="00FA559A" w:rsidTr="003E2A3C">
        <w:trPr>
          <w:trHeight w:val="284"/>
        </w:trPr>
        <w:tc>
          <w:tcPr>
            <w:tcW w:w="4287"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Charges d’exploitation</w:t>
            </w:r>
          </w:p>
        </w:tc>
        <w:tc>
          <w:tcPr>
            <w:tcW w:w="850" w:type="dxa"/>
            <w:tcBorders>
              <w:top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-964</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-1 125</w:t>
            </w:r>
          </w:p>
        </w:tc>
        <w:tc>
          <w:tcPr>
            <w:tcW w:w="850"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-941</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-862</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-962</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-3 818</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-3 890</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Réductions de valeur</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-193</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-77</w:t>
            </w:r>
          </w:p>
        </w:tc>
        <w:tc>
          <w:tcPr>
            <w:tcW w:w="850"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-149</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-49</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-472</w:t>
            </w:r>
          </w:p>
        </w:tc>
        <w:tc>
          <w:tcPr>
            <w:tcW w:w="851"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-506</w:t>
            </w:r>
          </w:p>
        </w:tc>
        <w:tc>
          <w:tcPr>
            <w:tcW w:w="850"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-747</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sur prêts et créances</w:t>
            </w:r>
          </w:p>
        </w:tc>
        <w:tc>
          <w:tcPr>
            <w:tcW w:w="850" w:type="dxa"/>
            <w:shd w:val="clear" w:color="auto" w:fill="FFFFFF" w:themeFill="background1"/>
            <w:vAlign w:val="center"/>
          </w:tcPr>
          <w:p w:rsidR="00921911" w:rsidRPr="00FA559A" w:rsidRDefault="00921911" w:rsidP="003E2A3C">
            <w:pPr>
              <w:pStyle w:val="Intro"/>
              <w:jc w:val="right"/>
              <w:rPr>
                <w:b w:val="0"/>
                <w:sz w:val="12"/>
                <w:szCs w:val="12"/>
                <w:lang w:val="fr-FR"/>
              </w:rPr>
            </w:pPr>
            <w:r w:rsidRPr="00FA559A">
              <w:rPr>
                <w:b w:val="0"/>
                <w:sz w:val="12"/>
                <w:szCs w:val="12"/>
                <w:lang w:val="fr-FR"/>
              </w:rPr>
              <w:t>-158</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-73</w:t>
            </w:r>
          </w:p>
        </w:tc>
        <w:tc>
          <w:tcPr>
            <w:tcW w:w="850"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-138</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-34</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-78</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-587</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-323</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sur actifs financiers disponibles à la vente</w:t>
            </w:r>
          </w:p>
        </w:tc>
        <w:tc>
          <w:tcPr>
            <w:tcW w:w="850" w:type="dxa"/>
            <w:shd w:val="clear" w:color="auto" w:fill="FFFFFF" w:themeFill="background1"/>
            <w:vAlign w:val="center"/>
          </w:tcPr>
          <w:p w:rsidR="00921911" w:rsidRPr="00FA559A" w:rsidRDefault="00921911" w:rsidP="003E2A3C">
            <w:pPr>
              <w:pStyle w:val="Intro"/>
              <w:jc w:val="right"/>
              <w:rPr>
                <w:b w:val="0"/>
                <w:sz w:val="12"/>
                <w:szCs w:val="12"/>
                <w:lang w:val="fr-FR"/>
              </w:rPr>
            </w:pPr>
            <w:r w:rsidRPr="00FA559A">
              <w:rPr>
                <w:b w:val="0"/>
                <w:sz w:val="12"/>
                <w:szCs w:val="12"/>
                <w:lang w:val="fr-FR"/>
              </w:rPr>
              <w:t>-14</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-3</w:t>
            </w:r>
          </w:p>
        </w:tc>
        <w:tc>
          <w:tcPr>
            <w:tcW w:w="850"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-7</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-15</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-21</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-29</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-45</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sur goodwill</w:t>
            </w:r>
          </w:p>
        </w:tc>
        <w:tc>
          <w:tcPr>
            <w:tcW w:w="850" w:type="dxa"/>
            <w:shd w:val="clear" w:color="auto" w:fill="FFFFFF" w:themeFill="background1"/>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0"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-344</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-344</w:t>
            </w:r>
          </w:p>
        </w:tc>
      </w:tr>
      <w:tr w:rsidR="00921911" w:rsidRPr="00FA559A" w:rsidTr="003E2A3C">
        <w:trPr>
          <w:trHeight w:val="113"/>
        </w:trPr>
        <w:tc>
          <w:tcPr>
            <w:tcW w:w="4287" w:type="dxa"/>
            <w:tcBorders>
              <w:right w:val="single" w:sz="8" w:space="0" w:color="808080" w:themeColor="background1" w:themeShade="80"/>
            </w:tcBorders>
            <w:vAlign w:val="center"/>
          </w:tcPr>
          <w:p w:rsidR="00921911" w:rsidRPr="00FA559A" w:rsidRDefault="00921911" w:rsidP="003E2A3C">
            <w:pPr>
              <w:pStyle w:val="Intro"/>
              <w:jc w:val="left"/>
              <w:rPr>
                <w:b w:val="0"/>
                <w:sz w:val="12"/>
                <w:szCs w:val="12"/>
                <w:lang w:val="fr-FR"/>
              </w:rPr>
            </w:pPr>
            <w:r w:rsidRPr="00FA559A">
              <w:rPr>
                <w:b w:val="0"/>
                <w:sz w:val="12"/>
                <w:szCs w:val="12"/>
                <w:lang w:val="fr-FR"/>
              </w:rPr>
              <w:t xml:space="preserve">     autres</w:t>
            </w:r>
          </w:p>
        </w:tc>
        <w:tc>
          <w:tcPr>
            <w:tcW w:w="850" w:type="dxa"/>
            <w:shd w:val="clear" w:color="auto" w:fill="FFFFFF" w:themeFill="background1"/>
            <w:vAlign w:val="center"/>
          </w:tcPr>
          <w:p w:rsidR="00921911" w:rsidRPr="00FA559A" w:rsidRDefault="00921911" w:rsidP="003E2A3C">
            <w:pPr>
              <w:pStyle w:val="Intro"/>
              <w:jc w:val="right"/>
              <w:rPr>
                <w:b w:val="0"/>
                <w:sz w:val="12"/>
                <w:szCs w:val="12"/>
                <w:lang w:val="fr-FR"/>
              </w:rPr>
            </w:pPr>
            <w:r w:rsidRPr="00FA559A">
              <w:rPr>
                <w:b w:val="0"/>
                <w:sz w:val="12"/>
                <w:szCs w:val="12"/>
                <w:lang w:val="fr-FR"/>
              </w:rPr>
              <w:t>-21</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-1</w:t>
            </w:r>
          </w:p>
        </w:tc>
        <w:tc>
          <w:tcPr>
            <w:tcW w:w="850"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-5</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0</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-29</w:t>
            </w:r>
          </w:p>
        </w:tc>
        <w:tc>
          <w:tcPr>
            <w:tcW w:w="851" w:type="dxa"/>
            <w:shd w:val="clear" w:color="auto" w:fill="auto"/>
            <w:vAlign w:val="center"/>
          </w:tcPr>
          <w:p w:rsidR="00921911" w:rsidRPr="00FA559A" w:rsidRDefault="00921911" w:rsidP="003E2A3C">
            <w:pPr>
              <w:pStyle w:val="Intro"/>
              <w:jc w:val="right"/>
              <w:rPr>
                <w:b w:val="0"/>
                <w:sz w:val="12"/>
                <w:szCs w:val="12"/>
                <w:lang w:val="fr-FR"/>
              </w:rPr>
            </w:pPr>
            <w:r w:rsidRPr="00FA559A">
              <w:rPr>
                <w:b w:val="0"/>
                <w:sz w:val="12"/>
                <w:szCs w:val="12"/>
                <w:lang w:val="fr-FR"/>
              </w:rPr>
              <w:t>109</w:t>
            </w:r>
          </w:p>
        </w:tc>
        <w:tc>
          <w:tcPr>
            <w:tcW w:w="850" w:type="dxa"/>
            <w:shd w:val="clear" w:color="auto" w:fill="D9D9D9" w:themeFill="background1" w:themeFillShade="D9"/>
            <w:vAlign w:val="center"/>
          </w:tcPr>
          <w:p w:rsidR="00921911" w:rsidRPr="00FA559A" w:rsidRDefault="00921911" w:rsidP="003E2A3C">
            <w:pPr>
              <w:pStyle w:val="Intro"/>
              <w:jc w:val="right"/>
              <w:rPr>
                <w:b w:val="0"/>
                <w:sz w:val="12"/>
                <w:szCs w:val="12"/>
                <w:lang w:val="fr-FR"/>
              </w:rPr>
            </w:pPr>
            <w:r w:rsidRPr="00FA559A">
              <w:rPr>
                <w:b w:val="0"/>
                <w:sz w:val="12"/>
                <w:szCs w:val="12"/>
                <w:lang w:val="fr-FR"/>
              </w:rPr>
              <w:t>-34</w:t>
            </w:r>
          </w:p>
        </w:tc>
      </w:tr>
      <w:tr w:rsidR="00921911" w:rsidRPr="00FA559A" w:rsidTr="003E2A3C">
        <w:trPr>
          <w:trHeight w:val="284"/>
        </w:trPr>
        <w:tc>
          <w:tcPr>
            <w:tcW w:w="4287"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Quote-part dans le résultat des entreprises associées et joint-ventures</w:t>
            </w:r>
          </w:p>
        </w:tc>
        <w:tc>
          <w:tcPr>
            <w:tcW w:w="850" w:type="dxa"/>
            <w:tcBorders>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6</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w:t>
            </w:r>
          </w:p>
        </w:tc>
        <w:tc>
          <w:tcPr>
            <w:tcW w:w="850"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8</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5</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25</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24</w:t>
            </w:r>
          </w:p>
        </w:tc>
      </w:tr>
      <w:tr w:rsidR="00921911" w:rsidRPr="00FA559A" w:rsidTr="003E2A3C">
        <w:trPr>
          <w:trHeight w:val="284"/>
        </w:trPr>
        <w:tc>
          <w:tcPr>
            <w:tcW w:w="4287"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Résultat avant impôts</w:t>
            </w:r>
          </w:p>
        </w:tc>
        <w:tc>
          <w:tcPr>
            <w:tcW w:w="850" w:type="dxa"/>
            <w:tcBorders>
              <w:top w:val="single" w:sz="8" w:space="0" w:color="808080" w:themeColor="background1" w:themeShade="80"/>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675</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659</w:t>
            </w:r>
          </w:p>
        </w:tc>
        <w:tc>
          <w:tcPr>
            <w:tcW w:w="850"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930</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831</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114</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2 420</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2 535</w:t>
            </w:r>
          </w:p>
        </w:tc>
      </w:tr>
      <w:tr w:rsidR="00921911" w:rsidRPr="00FA559A" w:rsidTr="003E2A3C">
        <w:trPr>
          <w:trHeight w:val="284"/>
        </w:trPr>
        <w:tc>
          <w:tcPr>
            <w:tcW w:w="4287"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Impôts</w:t>
            </w:r>
          </w:p>
        </w:tc>
        <w:tc>
          <w:tcPr>
            <w:tcW w:w="850" w:type="dxa"/>
            <w:tcBorders>
              <w:top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-202</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-149</w:t>
            </w:r>
          </w:p>
        </w:tc>
        <w:tc>
          <w:tcPr>
            <w:tcW w:w="850"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-264</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-231</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749</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-657</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104</w:t>
            </w:r>
          </w:p>
        </w:tc>
      </w:tr>
      <w:tr w:rsidR="00921911" w:rsidRPr="00FA559A" w:rsidTr="003E2A3C">
        <w:trPr>
          <w:trHeight w:val="284"/>
        </w:trPr>
        <w:tc>
          <w:tcPr>
            <w:tcW w:w="4287"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Résultat net après impôts des activités abandonnées</w:t>
            </w:r>
          </w:p>
        </w:tc>
        <w:tc>
          <w:tcPr>
            <w:tcW w:w="850" w:type="dxa"/>
            <w:tcBorders>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0</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r>
      <w:tr w:rsidR="00921911" w:rsidRPr="00FA559A" w:rsidTr="003E2A3C">
        <w:trPr>
          <w:trHeight w:val="284"/>
        </w:trPr>
        <w:tc>
          <w:tcPr>
            <w:tcW w:w="4287"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Résultat après impôts</w:t>
            </w:r>
          </w:p>
        </w:tc>
        <w:tc>
          <w:tcPr>
            <w:tcW w:w="850" w:type="dxa"/>
            <w:tcBorders>
              <w:top w:val="single" w:sz="8" w:space="0" w:color="808080" w:themeColor="background1" w:themeShade="80"/>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473</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510</w:t>
            </w:r>
          </w:p>
        </w:tc>
        <w:tc>
          <w:tcPr>
            <w:tcW w:w="850"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666</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600</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863</w:t>
            </w:r>
          </w:p>
        </w:tc>
        <w:tc>
          <w:tcPr>
            <w:tcW w:w="851" w:type="dxa"/>
            <w:tcBorders>
              <w:top w:val="single" w:sz="8" w:space="0" w:color="808080" w:themeColor="background1" w:themeShade="80"/>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1 763</w:t>
            </w:r>
          </w:p>
        </w:tc>
        <w:tc>
          <w:tcPr>
            <w:tcW w:w="850"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2 639</w:t>
            </w:r>
          </w:p>
        </w:tc>
      </w:tr>
      <w:tr w:rsidR="00921911" w:rsidRPr="00FA559A" w:rsidTr="003E2A3C">
        <w:trPr>
          <w:trHeight w:val="284"/>
        </w:trPr>
        <w:tc>
          <w:tcPr>
            <w:tcW w:w="4287"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spacing w:before="120"/>
              <w:jc w:val="left"/>
              <w:rPr>
                <w:b w:val="0"/>
                <w:sz w:val="14"/>
                <w:szCs w:val="14"/>
                <w:lang w:val="fr-FR"/>
              </w:rPr>
            </w:pPr>
            <w:r w:rsidRPr="00FA559A">
              <w:rPr>
                <w:b w:val="0"/>
                <w:sz w:val="14"/>
                <w:szCs w:val="14"/>
                <w:lang w:val="fr-FR"/>
              </w:rPr>
              <w:t xml:space="preserve">      attribuable à des participations minoritaires</w:t>
            </w:r>
          </w:p>
        </w:tc>
        <w:tc>
          <w:tcPr>
            <w:tcW w:w="850" w:type="dxa"/>
            <w:tcBorders>
              <w:top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sz w:val="14"/>
                <w:szCs w:val="14"/>
                <w:lang w:val="fr-FR"/>
              </w:rPr>
            </w:pPr>
            <w:r w:rsidRPr="00FA559A">
              <w:rPr>
                <w:b w:val="0"/>
                <w:sz w:val="14"/>
                <w:szCs w:val="14"/>
                <w:lang w:val="fr-FR"/>
              </w:rPr>
              <w:t>0</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r>
      <w:tr w:rsidR="00921911" w:rsidRPr="00FA559A" w:rsidTr="003E2A3C">
        <w:trPr>
          <w:trHeight w:val="284"/>
        </w:trPr>
        <w:tc>
          <w:tcPr>
            <w:tcW w:w="4287" w:type="dxa"/>
            <w:tcBorders>
              <w:right w:val="single" w:sz="8" w:space="0" w:color="808080" w:themeColor="background1" w:themeShade="80"/>
            </w:tcBorders>
            <w:vAlign w:val="center"/>
          </w:tcPr>
          <w:p w:rsidR="00921911" w:rsidRPr="00FA559A" w:rsidRDefault="00921911" w:rsidP="003E2A3C">
            <w:pPr>
              <w:pStyle w:val="Intro"/>
              <w:spacing w:before="120"/>
              <w:ind w:left="176" w:hanging="176"/>
              <w:jc w:val="left"/>
              <w:rPr>
                <w:sz w:val="14"/>
                <w:szCs w:val="14"/>
                <w:lang w:val="fr-FR"/>
              </w:rPr>
            </w:pPr>
            <w:r w:rsidRPr="00FA559A">
              <w:rPr>
                <w:sz w:val="14"/>
                <w:szCs w:val="14"/>
                <w:lang w:val="fr-FR"/>
              </w:rPr>
              <w:t xml:space="preserve">     attribuable aux actionnaires de la société mère</w:t>
            </w:r>
          </w:p>
        </w:tc>
        <w:tc>
          <w:tcPr>
            <w:tcW w:w="850" w:type="dxa"/>
            <w:shd w:val="clear" w:color="auto" w:fill="FFFFFF" w:themeFill="background1"/>
            <w:vAlign w:val="center"/>
          </w:tcPr>
          <w:p w:rsidR="00921911" w:rsidRPr="00FA559A" w:rsidRDefault="00921911" w:rsidP="003E2A3C">
            <w:pPr>
              <w:pStyle w:val="Intro"/>
              <w:spacing w:before="100" w:beforeAutospacing="1"/>
              <w:jc w:val="right"/>
              <w:rPr>
                <w:sz w:val="14"/>
                <w:szCs w:val="14"/>
                <w:lang w:val="fr-FR"/>
              </w:rPr>
            </w:pPr>
            <w:r w:rsidRPr="00FA559A">
              <w:rPr>
                <w:sz w:val="14"/>
                <w:szCs w:val="14"/>
                <w:lang w:val="fr-FR"/>
              </w:rPr>
              <w:t>473</w:t>
            </w:r>
          </w:p>
        </w:tc>
        <w:tc>
          <w:tcPr>
            <w:tcW w:w="851" w:type="dxa"/>
            <w:shd w:val="clear" w:color="auto" w:fill="auto"/>
            <w:vAlign w:val="center"/>
          </w:tcPr>
          <w:p w:rsidR="00921911" w:rsidRPr="00FA559A" w:rsidRDefault="00921911" w:rsidP="003E2A3C">
            <w:pPr>
              <w:pStyle w:val="Intro"/>
              <w:jc w:val="right"/>
              <w:rPr>
                <w:sz w:val="14"/>
                <w:szCs w:val="14"/>
                <w:lang w:val="fr-FR"/>
              </w:rPr>
            </w:pPr>
            <w:r w:rsidRPr="00FA559A">
              <w:rPr>
                <w:sz w:val="14"/>
                <w:szCs w:val="14"/>
                <w:lang w:val="fr-FR"/>
              </w:rPr>
              <w:t>510</w:t>
            </w:r>
          </w:p>
        </w:tc>
        <w:tc>
          <w:tcPr>
            <w:tcW w:w="850" w:type="dxa"/>
            <w:shd w:val="clear" w:color="auto" w:fill="auto"/>
            <w:vAlign w:val="center"/>
          </w:tcPr>
          <w:p w:rsidR="00921911" w:rsidRPr="00FA559A" w:rsidRDefault="00921911" w:rsidP="003E2A3C">
            <w:pPr>
              <w:pStyle w:val="Intro"/>
              <w:jc w:val="right"/>
              <w:rPr>
                <w:sz w:val="14"/>
                <w:szCs w:val="14"/>
                <w:lang w:val="fr-FR"/>
              </w:rPr>
            </w:pPr>
            <w:r w:rsidRPr="00FA559A">
              <w:rPr>
                <w:sz w:val="14"/>
                <w:szCs w:val="14"/>
                <w:lang w:val="fr-FR"/>
              </w:rPr>
              <w:t>666</w:t>
            </w:r>
          </w:p>
        </w:tc>
        <w:tc>
          <w:tcPr>
            <w:tcW w:w="851" w:type="dxa"/>
            <w:shd w:val="clear" w:color="auto" w:fill="auto"/>
            <w:vAlign w:val="center"/>
          </w:tcPr>
          <w:p w:rsidR="00921911" w:rsidRPr="00FA559A" w:rsidRDefault="00921911" w:rsidP="003E2A3C">
            <w:pPr>
              <w:pStyle w:val="Intro"/>
              <w:jc w:val="right"/>
              <w:rPr>
                <w:sz w:val="14"/>
                <w:szCs w:val="14"/>
                <w:lang w:val="fr-FR"/>
              </w:rPr>
            </w:pPr>
            <w:r w:rsidRPr="00FA559A">
              <w:rPr>
                <w:sz w:val="14"/>
                <w:szCs w:val="14"/>
                <w:lang w:val="fr-FR"/>
              </w:rPr>
              <w:t>600</w:t>
            </w:r>
          </w:p>
        </w:tc>
        <w:tc>
          <w:tcPr>
            <w:tcW w:w="850" w:type="dxa"/>
            <w:shd w:val="clear" w:color="auto" w:fill="D9D9D9" w:themeFill="background1" w:themeFillShade="D9"/>
            <w:vAlign w:val="center"/>
          </w:tcPr>
          <w:p w:rsidR="00921911" w:rsidRPr="00FA559A" w:rsidRDefault="00921911" w:rsidP="003E2A3C">
            <w:pPr>
              <w:pStyle w:val="Intro"/>
              <w:jc w:val="right"/>
              <w:rPr>
                <w:sz w:val="14"/>
                <w:szCs w:val="14"/>
                <w:lang w:val="fr-FR"/>
              </w:rPr>
            </w:pPr>
            <w:r w:rsidRPr="00FA559A">
              <w:rPr>
                <w:sz w:val="14"/>
                <w:szCs w:val="14"/>
                <w:lang w:val="fr-FR"/>
              </w:rPr>
              <w:t>862</w:t>
            </w:r>
          </w:p>
        </w:tc>
        <w:tc>
          <w:tcPr>
            <w:tcW w:w="851" w:type="dxa"/>
            <w:shd w:val="clear" w:color="auto" w:fill="auto"/>
            <w:vAlign w:val="center"/>
          </w:tcPr>
          <w:p w:rsidR="00921911" w:rsidRPr="00FA559A" w:rsidRDefault="00921911" w:rsidP="003E2A3C">
            <w:pPr>
              <w:pStyle w:val="Intro"/>
              <w:jc w:val="right"/>
              <w:rPr>
                <w:sz w:val="14"/>
                <w:szCs w:val="14"/>
                <w:lang w:val="fr-FR"/>
              </w:rPr>
            </w:pPr>
            <w:r w:rsidRPr="00FA559A">
              <w:rPr>
                <w:sz w:val="14"/>
                <w:szCs w:val="14"/>
                <w:lang w:val="fr-FR"/>
              </w:rPr>
              <w:t>1 762</w:t>
            </w:r>
          </w:p>
        </w:tc>
        <w:tc>
          <w:tcPr>
            <w:tcW w:w="850" w:type="dxa"/>
            <w:shd w:val="clear" w:color="auto" w:fill="D9D9D9" w:themeFill="background1" w:themeFillShade="D9"/>
            <w:vAlign w:val="center"/>
          </w:tcPr>
          <w:p w:rsidR="00921911" w:rsidRPr="00FA559A" w:rsidRDefault="00921911" w:rsidP="003E2A3C">
            <w:pPr>
              <w:pStyle w:val="Intro"/>
              <w:jc w:val="right"/>
              <w:rPr>
                <w:sz w:val="14"/>
                <w:szCs w:val="14"/>
                <w:lang w:val="fr-FR"/>
              </w:rPr>
            </w:pPr>
            <w:r w:rsidRPr="00FA559A">
              <w:rPr>
                <w:sz w:val="14"/>
                <w:szCs w:val="14"/>
                <w:lang w:val="fr-FR"/>
              </w:rPr>
              <w:t>2 639</w:t>
            </w:r>
          </w:p>
        </w:tc>
      </w:tr>
      <w:tr w:rsidR="00921911" w:rsidRPr="00FA559A" w:rsidTr="003E2A3C">
        <w:trPr>
          <w:trHeight w:val="284"/>
        </w:trPr>
        <w:tc>
          <w:tcPr>
            <w:tcW w:w="4287"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ind w:left="176" w:hanging="176"/>
              <w:jc w:val="left"/>
              <w:rPr>
                <w:b w:val="0"/>
                <w:i/>
                <w:sz w:val="12"/>
                <w:szCs w:val="12"/>
                <w:lang w:val="fr-FR"/>
              </w:rPr>
            </w:pPr>
            <w:r w:rsidRPr="00FA559A">
              <w:rPr>
                <w:b w:val="0"/>
                <w:i/>
                <w:sz w:val="12"/>
                <w:szCs w:val="12"/>
                <w:lang w:val="fr-FR"/>
              </w:rPr>
              <w:t xml:space="preserve">                dont activités </w:t>
            </w:r>
            <w:proofErr w:type="spellStart"/>
            <w:r w:rsidRPr="00FA559A">
              <w:rPr>
                <w:b w:val="0"/>
                <w:i/>
                <w:sz w:val="12"/>
                <w:szCs w:val="12"/>
                <w:lang w:val="fr-FR"/>
              </w:rPr>
              <w:t>legacy</w:t>
            </w:r>
            <w:proofErr w:type="spellEnd"/>
            <w:r w:rsidRPr="00FA559A">
              <w:rPr>
                <w:b w:val="0"/>
                <w:i/>
                <w:sz w:val="12"/>
                <w:szCs w:val="12"/>
                <w:lang w:val="fr-FR"/>
              </w:rPr>
              <w:t xml:space="preserve"> et risques de crédit propres</w:t>
            </w:r>
          </w:p>
        </w:tc>
        <w:tc>
          <w:tcPr>
            <w:tcW w:w="850" w:type="dxa"/>
            <w:tcBorders>
              <w:bottom w:val="single" w:sz="8" w:space="0" w:color="808080" w:themeColor="background1" w:themeShade="80"/>
            </w:tcBorders>
            <w:shd w:val="clear" w:color="auto" w:fill="FFFFFF" w:themeFill="background1"/>
            <w:vAlign w:val="center"/>
          </w:tcPr>
          <w:p w:rsidR="00921911" w:rsidRPr="00FA559A" w:rsidRDefault="00921911" w:rsidP="003E2A3C">
            <w:pPr>
              <w:pStyle w:val="Intro"/>
              <w:spacing w:before="100" w:beforeAutospacing="1"/>
              <w:jc w:val="right"/>
              <w:rPr>
                <w:b w:val="0"/>
                <w:i/>
                <w:sz w:val="12"/>
                <w:szCs w:val="12"/>
                <w:lang w:val="fr-FR"/>
              </w:rPr>
            </w:pPr>
            <w:r w:rsidRPr="00FA559A">
              <w:rPr>
                <w:b w:val="0"/>
                <w:i/>
                <w:sz w:val="12"/>
                <w:szCs w:val="12"/>
                <w:lang w:val="fr-FR"/>
              </w:rPr>
              <w:t>-20</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w:t>
            </w:r>
          </w:p>
        </w:tc>
        <w:tc>
          <w:tcPr>
            <w:tcW w:w="850"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i/>
                <w:sz w:val="12"/>
                <w:szCs w:val="12"/>
                <w:highlight w:val="darkGray"/>
                <w:lang w:val="fr-FR"/>
              </w:rPr>
            </w:pPr>
            <w:r w:rsidRPr="00FA559A">
              <w:rPr>
                <w:b w:val="0"/>
                <w:i/>
                <w:sz w:val="12"/>
                <w:szCs w:val="12"/>
                <w:lang w:val="fr-FR"/>
              </w:rPr>
              <w:t>-</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134</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i/>
                <w:sz w:val="12"/>
                <w:szCs w:val="12"/>
                <w:lang w:val="fr-FR"/>
              </w:rPr>
            </w:pPr>
            <w:r w:rsidRPr="00FA559A">
              <w:rPr>
                <w:b w:val="0"/>
                <w:i/>
                <w:sz w:val="12"/>
                <w:szCs w:val="12"/>
                <w:lang w:val="fr-FR"/>
              </w:rPr>
              <w:t>-</w:t>
            </w:r>
          </w:p>
        </w:tc>
      </w:tr>
      <w:tr w:rsidR="00921911" w:rsidRPr="00FA559A" w:rsidTr="003E2A3C">
        <w:trPr>
          <w:trHeight w:val="170"/>
        </w:trPr>
        <w:tc>
          <w:tcPr>
            <w:tcW w:w="4287"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vertAlign w:val="superscript"/>
                <w:lang w:val="fr-FR"/>
              </w:rPr>
            </w:pPr>
            <w:r w:rsidRPr="00FA559A">
              <w:rPr>
                <w:b w:val="0"/>
                <w:sz w:val="14"/>
                <w:szCs w:val="14"/>
                <w:lang w:val="fr-FR"/>
              </w:rPr>
              <w:t>Bénéfice par action (EUR), base</w:t>
            </w:r>
          </w:p>
        </w:tc>
        <w:tc>
          <w:tcPr>
            <w:tcW w:w="850" w:type="dxa"/>
            <w:tcBorders>
              <w:top w:val="single" w:sz="8" w:space="0" w:color="808080" w:themeColor="background1" w:themeShade="80"/>
            </w:tcBorders>
            <w:shd w:val="clear" w:color="auto" w:fill="FFFFFF" w:themeFill="background1"/>
            <w:vAlign w:val="center"/>
          </w:tcPr>
          <w:p w:rsidR="00921911" w:rsidRPr="00FA559A" w:rsidRDefault="00921911" w:rsidP="003E2A3C">
            <w:pPr>
              <w:pStyle w:val="Intro"/>
              <w:jc w:val="right"/>
              <w:rPr>
                <w:b w:val="0"/>
                <w:sz w:val="14"/>
                <w:szCs w:val="14"/>
                <w:lang w:val="fr-FR"/>
              </w:rPr>
            </w:pPr>
            <w:r w:rsidRPr="00FA559A">
              <w:rPr>
                <w:b w:val="0"/>
                <w:sz w:val="14"/>
                <w:szCs w:val="14"/>
                <w:lang w:val="fr-FR"/>
              </w:rPr>
              <w:t>1.00</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1.19</w:t>
            </w:r>
          </w:p>
        </w:tc>
        <w:tc>
          <w:tcPr>
            <w:tcW w:w="850"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1.56</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1.41</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-0.36</w:t>
            </w:r>
          </w:p>
        </w:tc>
        <w:tc>
          <w:tcPr>
            <w:tcW w:w="851"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3.32</w:t>
            </w:r>
          </w:p>
        </w:tc>
        <w:tc>
          <w:tcPr>
            <w:tcW w:w="850"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3.80</w:t>
            </w:r>
          </w:p>
        </w:tc>
      </w:tr>
      <w:tr w:rsidR="00921911" w:rsidRPr="00FA559A" w:rsidTr="003E2A3C">
        <w:trPr>
          <w:trHeight w:val="170"/>
        </w:trPr>
        <w:tc>
          <w:tcPr>
            <w:tcW w:w="4287"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vertAlign w:val="superscript"/>
                <w:lang w:val="fr-FR"/>
              </w:rPr>
            </w:pPr>
            <w:r w:rsidRPr="00FA559A">
              <w:rPr>
                <w:b w:val="0"/>
                <w:sz w:val="14"/>
                <w:szCs w:val="14"/>
                <w:lang w:val="fr-FR"/>
              </w:rPr>
              <w:t>Bénéfice par action (EUR), dilué</w:t>
            </w:r>
          </w:p>
        </w:tc>
        <w:tc>
          <w:tcPr>
            <w:tcW w:w="850" w:type="dxa"/>
            <w:tcBorders>
              <w:bottom w:val="single" w:sz="8" w:space="0" w:color="808080" w:themeColor="background1" w:themeShade="80"/>
            </w:tcBorders>
            <w:shd w:val="clear" w:color="auto" w:fill="FFFFFF" w:themeFill="background1"/>
            <w:vAlign w:val="center"/>
          </w:tcPr>
          <w:p w:rsidR="00921911" w:rsidRPr="00FA559A" w:rsidRDefault="00921911" w:rsidP="003E2A3C">
            <w:pPr>
              <w:pStyle w:val="Intro"/>
              <w:jc w:val="right"/>
              <w:rPr>
                <w:b w:val="0"/>
                <w:sz w:val="14"/>
                <w:szCs w:val="14"/>
                <w:lang w:val="fr-FR"/>
              </w:rPr>
            </w:pPr>
            <w:r w:rsidRPr="00FA559A">
              <w:rPr>
                <w:b w:val="0"/>
                <w:sz w:val="14"/>
                <w:szCs w:val="14"/>
                <w:lang w:val="fr-FR"/>
              </w:rPr>
              <w:t>1.00</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1.19</w:t>
            </w:r>
          </w:p>
        </w:tc>
        <w:tc>
          <w:tcPr>
            <w:tcW w:w="850"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1.56</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1.41</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-0.36</w:t>
            </w:r>
          </w:p>
        </w:tc>
        <w:tc>
          <w:tcPr>
            <w:tcW w:w="851"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3.32</w:t>
            </w:r>
          </w:p>
        </w:tc>
        <w:tc>
          <w:tcPr>
            <w:tcW w:w="850"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3.80</w:t>
            </w:r>
          </w:p>
        </w:tc>
      </w:tr>
    </w:tbl>
    <w:p w:rsidR="00921911" w:rsidRPr="00FA559A" w:rsidRDefault="00921911" w:rsidP="00921911">
      <w:pPr>
        <w:jc w:val="both"/>
        <w:rPr>
          <w:b/>
          <w:i/>
          <w:noProof/>
          <w:color w:val="808080" w:themeColor="background1" w:themeShade="80"/>
          <w:sz w:val="18"/>
          <w:szCs w:val="18"/>
          <w:lang w:val="fr-FR" w:eastAsia="nl-BE"/>
        </w:rPr>
      </w:pPr>
      <w:r w:rsidRPr="00FA559A">
        <w:rPr>
          <w:rFonts w:ascii="Arial" w:hAnsi="Arial" w:cs="Arial"/>
          <w:color w:val="808080" w:themeColor="background1" w:themeShade="80"/>
          <w:sz w:val="12"/>
          <w:szCs w:val="12"/>
          <w:lang w:val="fr-FR"/>
        </w:rPr>
        <w:t>IFRIC 21 (Taxes) a été approuvé par l’Union européenne en juin 2014 et est entré en vigueur le 1er janvier 2015. La principale conséquence d’IFRIC 21 en 2015 porte sur le fait que certaines taxes doivent être comptabilisées à l’avance, ce qui a eu une incidence négative sur les résultats du premier trimestre 2015. Dans la mesure où IFRIC 21 doit être appliqué de manière rétroactive, KBC a retraité les chiffres trimestriels comparables pour 2014. Cet impact s’observe uniquement au niveau des variations trimestrielles et n’affecte pas les chiffres pour l’exercice entier.</w:t>
      </w:r>
    </w:p>
    <w:p w:rsidR="00921911" w:rsidRPr="00FA559A" w:rsidRDefault="00921911" w:rsidP="00B91016">
      <w:pPr>
        <w:spacing w:after="120"/>
        <w:rPr>
          <w:rFonts w:asciiTheme="minorHAnsi" w:hAnsiTheme="minorHAnsi"/>
          <w:noProof/>
          <w:sz w:val="22"/>
          <w:szCs w:val="22"/>
          <w:lang w:val="fr-FR" w:eastAsia="nl-BE"/>
        </w:rPr>
      </w:pPr>
    </w:p>
    <w:p w:rsidR="0064057B" w:rsidRPr="00FA559A" w:rsidRDefault="0064057B" w:rsidP="00B91016">
      <w:pPr>
        <w:spacing w:after="120"/>
        <w:rPr>
          <w:rFonts w:asciiTheme="minorHAnsi" w:hAnsiTheme="minorHAnsi"/>
          <w:noProof/>
          <w:sz w:val="22"/>
          <w:szCs w:val="22"/>
          <w:lang w:val="fr-FR" w:eastAsia="nl-BE"/>
        </w:rPr>
      </w:pPr>
    </w:p>
    <w:p w:rsidR="0064057B" w:rsidRPr="00FA559A" w:rsidRDefault="0064057B" w:rsidP="00B91016">
      <w:pPr>
        <w:spacing w:after="120"/>
        <w:rPr>
          <w:rFonts w:asciiTheme="minorHAnsi" w:hAnsiTheme="minorHAnsi"/>
          <w:noProof/>
          <w:sz w:val="22"/>
          <w:szCs w:val="22"/>
          <w:lang w:val="fr-FR" w:eastAsia="nl-BE"/>
        </w:rPr>
      </w:pPr>
    </w:p>
    <w:tbl>
      <w:tblPr>
        <w:tblW w:w="10240" w:type="dxa"/>
        <w:tblLook w:val="01E0" w:firstRow="1" w:lastRow="1" w:firstColumn="1" w:lastColumn="1" w:noHBand="0" w:noVBand="0"/>
      </w:tblPr>
      <w:tblGrid>
        <w:gridCol w:w="4395"/>
        <w:gridCol w:w="283"/>
        <w:gridCol w:w="236"/>
        <w:gridCol w:w="993"/>
        <w:gridCol w:w="1073"/>
        <w:gridCol w:w="1134"/>
        <w:gridCol w:w="1134"/>
        <w:gridCol w:w="992"/>
      </w:tblGrid>
      <w:tr w:rsidR="00921911" w:rsidRPr="00FA559A" w:rsidTr="003E2A3C">
        <w:tc>
          <w:tcPr>
            <w:tcW w:w="4678" w:type="dxa"/>
            <w:gridSpan w:val="2"/>
            <w:tcBorders>
              <w:bottom w:val="single" w:sz="8" w:space="0" w:color="808080" w:themeColor="background1" w:themeShade="80"/>
            </w:tcBorders>
            <w:shd w:val="clear" w:color="auto" w:fill="auto"/>
            <w:vAlign w:val="center"/>
          </w:tcPr>
          <w:p w:rsidR="00921911" w:rsidRPr="00FA559A" w:rsidRDefault="00921911" w:rsidP="003E2A3C">
            <w:pPr>
              <w:pStyle w:val="Intro"/>
              <w:jc w:val="left"/>
              <w:rPr>
                <w:color w:val="00B0F0"/>
                <w:sz w:val="14"/>
                <w:szCs w:val="14"/>
                <w:lang w:val="fr-FR"/>
              </w:rPr>
            </w:pPr>
            <w:r w:rsidRPr="00FA559A">
              <w:rPr>
                <w:color w:val="00B0F0"/>
                <w:sz w:val="14"/>
                <w:szCs w:val="14"/>
                <w:lang w:val="fr-FR"/>
              </w:rPr>
              <w:lastRenderedPageBreak/>
              <w:t>Chiffres clés du bilan consolidé</w:t>
            </w:r>
            <w:r w:rsidRPr="00FA559A">
              <w:rPr>
                <w:color w:val="00B0F0"/>
                <w:sz w:val="14"/>
                <w:szCs w:val="14"/>
                <w:lang w:val="fr-FR"/>
              </w:rPr>
              <w:br/>
              <w:t>Groupe KBC (en millions EUR)</w:t>
            </w:r>
          </w:p>
        </w:tc>
        <w:tc>
          <w:tcPr>
            <w:tcW w:w="236" w:type="dxa"/>
            <w:tcBorders>
              <w:bottom w:val="single" w:sz="8" w:space="0" w:color="808080" w:themeColor="background1" w:themeShade="80"/>
            </w:tcBorders>
            <w:shd w:val="clear" w:color="auto" w:fill="auto"/>
            <w:vAlign w:val="center"/>
          </w:tcPr>
          <w:p w:rsidR="00921911" w:rsidRPr="00FA559A" w:rsidRDefault="00921911" w:rsidP="003E2A3C">
            <w:pPr>
              <w:pStyle w:val="Intro"/>
              <w:ind w:left="-216" w:right="-108"/>
              <w:jc w:val="right"/>
              <w:rPr>
                <w:color w:val="00B0F0"/>
                <w:sz w:val="14"/>
                <w:szCs w:val="14"/>
                <w:lang w:val="fr-FR"/>
              </w:rPr>
            </w:pPr>
          </w:p>
        </w:tc>
        <w:tc>
          <w:tcPr>
            <w:tcW w:w="993"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color w:val="00B0F0"/>
                <w:sz w:val="14"/>
                <w:szCs w:val="14"/>
                <w:lang w:val="fr-FR"/>
              </w:rPr>
            </w:pPr>
            <w:r w:rsidRPr="00FA559A">
              <w:rPr>
                <w:color w:val="00B0F0"/>
                <w:sz w:val="14"/>
                <w:szCs w:val="14"/>
                <w:lang w:val="fr-FR"/>
              </w:rPr>
              <w:t>31-12-2014</w:t>
            </w:r>
          </w:p>
        </w:tc>
        <w:tc>
          <w:tcPr>
            <w:tcW w:w="1073"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color w:val="00B0F0"/>
                <w:sz w:val="14"/>
                <w:szCs w:val="14"/>
                <w:lang w:val="fr-FR"/>
              </w:rPr>
            </w:pPr>
            <w:r w:rsidRPr="00FA559A">
              <w:rPr>
                <w:color w:val="00B0F0"/>
                <w:sz w:val="14"/>
                <w:szCs w:val="14"/>
                <w:lang w:val="fr-FR"/>
              </w:rPr>
              <w:t>31-03-2015</w:t>
            </w:r>
          </w:p>
        </w:tc>
        <w:tc>
          <w:tcPr>
            <w:tcW w:w="1134"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color w:val="00B0F0"/>
                <w:sz w:val="14"/>
                <w:szCs w:val="14"/>
                <w:lang w:val="fr-FR"/>
              </w:rPr>
            </w:pPr>
            <w:r w:rsidRPr="00FA559A">
              <w:rPr>
                <w:color w:val="00B0F0"/>
                <w:sz w:val="14"/>
                <w:szCs w:val="14"/>
                <w:lang w:val="fr-FR"/>
              </w:rPr>
              <w:t>30-06-2015</w:t>
            </w:r>
          </w:p>
        </w:tc>
        <w:tc>
          <w:tcPr>
            <w:tcW w:w="1134"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color w:val="00B0F0"/>
                <w:sz w:val="14"/>
                <w:szCs w:val="14"/>
                <w:lang w:val="fr-FR"/>
              </w:rPr>
            </w:pPr>
            <w:r w:rsidRPr="00FA559A">
              <w:rPr>
                <w:color w:val="00B0F0"/>
                <w:sz w:val="14"/>
                <w:szCs w:val="14"/>
                <w:lang w:val="fr-FR"/>
              </w:rPr>
              <w:t>30-09-2015</w:t>
            </w:r>
          </w:p>
        </w:tc>
        <w:tc>
          <w:tcPr>
            <w:tcW w:w="992"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color w:val="00B0F0"/>
                <w:sz w:val="14"/>
                <w:szCs w:val="14"/>
                <w:lang w:val="fr-FR"/>
              </w:rPr>
            </w:pPr>
            <w:r w:rsidRPr="00FA559A">
              <w:rPr>
                <w:color w:val="00B0F0"/>
                <w:sz w:val="14"/>
                <w:szCs w:val="14"/>
                <w:lang w:val="fr-FR"/>
              </w:rPr>
              <w:t>31-12-2015</w:t>
            </w:r>
          </w:p>
        </w:tc>
      </w:tr>
      <w:tr w:rsidR="00921911" w:rsidRPr="00FA559A" w:rsidTr="003E2A3C">
        <w:trPr>
          <w:trHeight w:val="227"/>
        </w:trPr>
        <w:tc>
          <w:tcPr>
            <w:tcW w:w="4395" w:type="dxa"/>
            <w:tcBorders>
              <w:top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Total de l’actif</w:t>
            </w:r>
          </w:p>
        </w:tc>
        <w:tc>
          <w:tcPr>
            <w:tcW w:w="519" w:type="dxa"/>
            <w:gridSpan w:val="2"/>
            <w:tcBorders>
              <w:top w:val="single" w:sz="8" w:space="0" w:color="808080" w:themeColor="background1" w:themeShade="80"/>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245 174</w:t>
            </w:r>
          </w:p>
        </w:tc>
        <w:tc>
          <w:tcPr>
            <w:tcW w:w="1073"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258 396</w:t>
            </w:r>
          </w:p>
        </w:tc>
        <w:tc>
          <w:tcPr>
            <w:tcW w:w="1134"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256 654</w:t>
            </w:r>
          </w:p>
        </w:tc>
        <w:tc>
          <w:tcPr>
            <w:tcW w:w="1134" w:type="dxa"/>
            <w:tcBorders>
              <w:top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257 632</w:t>
            </w:r>
          </w:p>
        </w:tc>
        <w:tc>
          <w:tcPr>
            <w:tcW w:w="992" w:type="dxa"/>
            <w:tcBorders>
              <w:top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252 356</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Prêts et avances à la clientèle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124 551</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124 632</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126 093</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126 971</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128 223</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Titres (actions et titres de créance)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70 359</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71 948</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70 755</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71 115</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72 623</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Dépôts de la clientèle et titres de créance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161 783</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167 922</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170 159</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171 412</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170 109</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Provisions techniques avant réassurance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18 934</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19 181</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19 198</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19 365</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19 532</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Dettes de contrats d’investissement, assurance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12 553</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13 263</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12 937</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12 422</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12 387</w:t>
            </w:r>
          </w:p>
        </w:tc>
      </w:tr>
      <w:tr w:rsidR="00921911" w:rsidRPr="00FA559A" w:rsidTr="003E2A3C">
        <w:trPr>
          <w:trHeight w:val="227"/>
        </w:trPr>
        <w:tc>
          <w:tcPr>
            <w:tcW w:w="4395" w:type="dxa"/>
            <w:tcBorders>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Capitaux propres de la société mère</w:t>
            </w:r>
          </w:p>
        </w:tc>
        <w:tc>
          <w:tcPr>
            <w:tcW w:w="519" w:type="dxa"/>
            <w:gridSpan w:val="2"/>
            <w:tcBorders>
              <w:left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13 125</w:t>
            </w:r>
          </w:p>
        </w:tc>
        <w:tc>
          <w:tcPr>
            <w:tcW w:w="1073"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13 928</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13 576</w:t>
            </w:r>
          </w:p>
        </w:tc>
        <w:tc>
          <w:tcPr>
            <w:tcW w:w="1134" w:type="dxa"/>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14 022</w:t>
            </w:r>
          </w:p>
        </w:tc>
        <w:tc>
          <w:tcPr>
            <w:tcW w:w="992" w:type="dxa"/>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14 411</w:t>
            </w:r>
          </w:p>
        </w:tc>
      </w:tr>
      <w:tr w:rsidR="00921911" w:rsidRPr="00FA559A" w:rsidTr="003E2A3C">
        <w:trPr>
          <w:trHeight w:val="227"/>
        </w:trPr>
        <w:tc>
          <w:tcPr>
            <w:tcW w:w="4395" w:type="dxa"/>
            <w:tcBorders>
              <w:bottom w:val="single" w:sz="8" w:space="0" w:color="808080" w:themeColor="background1" w:themeShade="80"/>
              <w:right w:val="single" w:sz="8" w:space="0" w:color="808080" w:themeColor="background1" w:themeShade="80"/>
            </w:tcBorders>
            <w:vAlign w:val="center"/>
          </w:tcPr>
          <w:p w:rsidR="00921911" w:rsidRPr="00FA559A" w:rsidRDefault="00921911" w:rsidP="003E2A3C">
            <w:pPr>
              <w:pStyle w:val="Intro"/>
              <w:jc w:val="left"/>
              <w:rPr>
                <w:b w:val="0"/>
                <w:sz w:val="14"/>
                <w:szCs w:val="14"/>
                <w:lang w:val="fr-FR"/>
              </w:rPr>
            </w:pPr>
            <w:r w:rsidRPr="00FA559A">
              <w:rPr>
                <w:b w:val="0"/>
                <w:sz w:val="14"/>
                <w:szCs w:val="14"/>
                <w:lang w:val="fr-FR"/>
              </w:rPr>
              <w:t>Titres de capital de base sans droit de vote</w:t>
            </w:r>
          </w:p>
        </w:tc>
        <w:tc>
          <w:tcPr>
            <w:tcW w:w="519" w:type="dxa"/>
            <w:gridSpan w:val="2"/>
            <w:tcBorders>
              <w:left w:val="single" w:sz="8" w:space="0" w:color="808080" w:themeColor="background1" w:themeShade="80"/>
              <w:bottom w:val="single" w:sz="8" w:space="0" w:color="808080" w:themeColor="background1" w:themeShade="80"/>
            </w:tcBorders>
            <w:vAlign w:val="center"/>
          </w:tcPr>
          <w:p w:rsidR="00921911" w:rsidRPr="00FA559A" w:rsidRDefault="00921911" w:rsidP="003E2A3C">
            <w:pPr>
              <w:pStyle w:val="Intro"/>
              <w:jc w:val="right"/>
              <w:rPr>
                <w:b w:val="0"/>
                <w:sz w:val="14"/>
                <w:szCs w:val="14"/>
                <w:lang w:val="fr-FR"/>
              </w:rPr>
            </w:pPr>
          </w:p>
        </w:tc>
        <w:tc>
          <w:tcPr>
            <w:tcW w:w="993"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2 000</w:t>
            </w:r>
          </w:p>
        </w:tc>
        <w:tc>
          <w:tcPr>
            <w:tcW w:w="1073"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2 000</w:t>
            </w:r>
          </w:p>
        </w:tc>
        <w:tc>
          <w:tcPr>
            <w:tcW w:w="1134"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2 000</w:t>
            </w:r>
          </w:p>
        </w:tc>
        <w:tc>
          <w:tcPr>
            <w:tcW w:w="1134" w:type="dxa"/>
            <w:tcBorders>
              <w:bottom w:val="single" w:sz="8" w:space="0" w:color="808080" w:themeColor="background1" w:themeShade="80"/>
            </w:tcBorders>
            <w:shd w:val="clear" w:color="auto" w:fill="auto"/>
            <w:vAlign w:val="center"/>
          </w:tcPr>
          <w:p w:rsidR="00921911" w:rsidRPr="00FA559A" w:rsidRDefault="00921911" w:rsidP="003E2A3C">
            <w:pPr>
              <w:pStyle w:val="Intro"/>
              <w:jc w:val="right"/>
              <w:rPr>
                <w:b w:val="0"/>
                <w:sz w:val="14"/>
                <w:szCs w:val="14"/>
                <w:lang w:val="fr-FR"/>
              </w:rPr>
            </w:pPr>
            <w:r w:rsidRPr="00FA559A">
              <w:rPr>
                <w:b w:val="0"/>
                <w:sz w:val="14"/>
                <w:szCs w:val="14"/>
                <w:lang w:val="fr-FR"/>
              </w:rPr>
              <w:t>2 000</w:t>
            </w:r>
          </w:p>
        </w:tc>
        <w:tc>
          <w:tcPr>
            <w:tcW w:w="992" w:type="dxa"/>
            <w:tcBorders>
              <w:bottom w:val="single" w:sz="8" w:space="0" w:color="808080" w:themeColor="background1" w:themeShade="80"/>
            </w:tcBorders>
            <w:shd w:val="clear" w:color="auto" w:fill="D9D9D9" w:themeFill="background1" w:themeFillShade="D9"/>
            <w:vAlign w:val="center"/>
          </w:tcPr>
          <w:p w:rsidR="00921911" w:rsidRPr="00FA559A" w:rsidRDefault="00921911" w:rsidP="003E2A3C">
            <w:pPr>
              <w:pStyle w:val="Intro"/>
              <w:jc w:val="right"/>
              <w:rPr>
                <w:b w:val="0"/>
                <w:sz w:val="14"/>
                <w:szCs w:val="14"/>
                <w:lang w:val="fr-FR"/>
              </w:rPr>
            </w:pPr>
            <w:r w:rsidRPr="00FA559A">
              <w:rPr>
                <w:b w:val="0"/>
                <w:sz w:val="14"/>
                <w:szCs w:val="14"/>
                <w:lang w:val="fr-FR"/>
              </w:rPr>
              <w:t>0</w:t>
            </w:r>
          </w:p>
        </w:tc>
      </w:tr>
    </w:tbl>
    <w:p w:rsidR="00921911" w:rsidRPr="00FA559A" w:rsidRDefault="00921911" w:rsidP="00B91016">
      <w:pPr>
        <w:spacing w:after="120"/>
        <w:rPr>
          <w:rFonts w:asciiTheme="minorHAnsi" w:hAnsiTheme="minorHAnsi"/>
          <w:noProof/>
          <w:sz w:val="22"/>
          <w:szCs w:val="22"/>
          <w:lang w:val="fr-FR" w:eastAsia="nl-BE"/>
        </w:rPr>
      </w:pPr>
    </w:p>
    <w:p w:rsidR="00921911" w:rsidRPr="00FA559A" w:rsidRDefault="00921911" w:rsidP="00B91016">
      <w:pPr>
        <w:spacing w:after="120"/>
        <w:rPr>
          <w:rFonts w:asciiTheme="minorHAnsi" w:hAnsiTheme="minorHAnsi"/>
          <w:noProof/>
          <w:sz w:val="22"/>
          <w:szCs w:val="22"/>
          <w:lang w:val="fr-FR" w:eastAsia="nl-BE"/>
        </w:rPr>
      </w:pPr>
      <w:bookmarkStart w:id="0" w:name="_GoBack"/>
    </w:p>
    <w:bookmarkEnd w:id="0"/>
    <w:p w:rsidR="00921911" w:rsidRPr="00FA559A" w:rsidRDefault="00921911" w:rsidP="00B91016">
      <w:pPr>
        <w:spacing w:after="120"/>
        <w:rPr>
          <w:rFonts w:asciiTheme="minorHAnsi" w:hAnsiTheme="minorHAnsi"/>
          <w:noProof/>
          <w:sz w:val="22"/>
          <w:szCs w:val="22"/>
          <w:lang w:val="fr-FR" w:eastAsia="nl-BE"/>
        </w:rPr>
      </w:pPr>
      <w:r w:rsidRPr="00FA559A">
        <w:rPr>
          <w:rFonts w:asciiTheme="minorHAnsi" w:hAnsiTheme="minorHAnsi"/>
          <w:sz w:val="22"/>
          <w:szCs w:val="22"/>
          <w:lang w:val="fr-FR"/>
        </w:rPr>
        <w:t>Résultat net (en millions EUR)</w:t>
      </w:r>
      <w:r w:rsidRPr="00FA559A">
        <w:rPr>
          <w:rFonts w:ascii="Arial" w:hAnsi="Arial"/>
          <w:sz w:val="16"/>
          <w:szCs w:val="16"/>
          <w:lang w:val="fr-FR"/>
        </w:rPr>
        <w:t xml:space="preserve">                                                     </w:t>
      </w:r>
      <w:r w:rsidRPr="00FA559A">
        <w:rPr>
          <w:rFonts w:asciiTheme="minorHAnsi" w:hAnsiTheme="minorHAnsi"/>
          <w:sz w:val="22"/>
          <w:szCs w:val="22"/>
          <w:lang w:val="fr-FR"/>
        </w:rPr>
        <w:t xml:space="preserve">Ventilation du résultat net pour le 4TR2015 </w:t>
      </w:r>
    </w:p>
    <w:p w:rsidR="00921911" w:rsidRPr="00FA559A" w:rsidRDefault="00CF0F9F" w:rsidP="00E912AA">
      <w:pPr>
        <w:spacing w:after="120"/>
        <w:rPr>
          <w:rFonts w:asciiTheme="minorHAnsi" w:hAnsiTheme="minorHAnsi"/>
          <w:noProof/>
          <w:sz w:val="22"/>
          <w:szCs w:val="22"/>
          <w:lang w:val="fr-FR" w:eastAsia="nl-BE"/>
        </w:rPr>
      </w:pPr>
      <w:r w:rsidRPr="00FA559A">
        <w:rPr>
          <w:noProof/>
          <w:lang w:val="fr-FR" w:eastAsia="nl-BE"/>
        </w:rPr>
        <w:drawing>
          <wp:inline distT="0" distB="0" distL="0" distR="0" wp14:anchorId="79F2A382" wp14:editId="6C77B81F">
            <wp:extent cx="2335866" cy="1836501"/>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5716" cy="1844246"/>
                    </a:xfrm>
                    <a:prstGeom prst="rect">
                      <a:avLst/>
                    </a:prstGeom>
                  </pic:spPr>
                </pic:pic>
              </a:graphicData>
            </a:graphic>
          </wp:inline>
        </w:drawing>
      </w:r>
      <w:r w:rsidR="00E912AA" w:rsidRPr="00FA559A">
        <w:rPr>
          <w:noProof/>
          <w:lang w:val="fr-FR" w:eastAsia="nl-BE"/>
        </w:rPr>
        <w:tab/>
      </w:r>
      <w:r w:rsidR="00E912AA" w:rsidRPr="00FA559A">
        <w:rPr>
          <w:noProof/>
          <w:lang w:val="fr-FR" w:eastAsia="nl-BE"/>
        </w:rPr>
        <w:tab/>
        <w:t xml:space="preserve"> </w:t>
      </w:r>
      <w:r w:rsidR="00E912AA" w:rsidRPr="00FA559A">
        <w:rPr>
          <w:noProof/>
          <w:lang w:val="fr-FR" w:eastAsia="nl-BE"/>
        </w:rPr>
        <w:drawing>
          <wp:inline distT="0" distB="0" distL="0" distR="0" wp14:anchorId="45778C4B" wp14:editId="47E65F7E">
            <wp:extent cx="2781561" cy="19478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5555" cy="1964666"/>
                    </a:xfrm>
                    <a:prstGeom prst="rect">
                      <a:avLst/>
                    </a:prstGeom>
                  </pic:spPr>
                </pic:pic>
              </a:graphicData>
            </a:graphic>
          </wp:inline>
        </w:drawing>
      </w:r>
    </w:p>
    <w:p w:rsidR="00921911" w:rsidRPr="00FA559A" w:rsidRDefault="00921911" w:rsidP="00921911">
      <w:pPr>
        <w:spacing w:before="120" w:after="120"/>
        <w:jc w:val="both"/>
        <w:rPr>
          <w:rFonts w:asciiTheme="minorHAnsi" w:hAnsiTheme="minorHAnsi"/>
          <w:noProof/>
          <w:sz w:val="22"/>
          <w:szCs w:val="22"/>
          <w:lang w:val="fr-FR" w:eastAsia="nl-BE"/>
        </w:rPr>
      </w:pPr>
      <w:r w:rsidRPr="00FA559A">
        <w:rPr>
          <w:rFonts w:asciiTheme="minorHAnsi" w:hAnsiTheme="minorHAnsi"/>
          <w:noProof/>
          <w:sz w:val="22"/>
          <w:szCs w:val="22"/>
          <w:lang w:val="fr-FR" w:eastAsia="nl-BE"/>
        </w:rPr>
        <w:t xml:space="preserve">Jusqu’en 2014, nous fournissions non seulement les chiffres établis selon les normes IFRS, mais aussi les « chiffres ajustés ». Dans ces chiffres, nous isolions l’incidence des activités legacy (désinvestissements restants et CDO) ainsi que l’impact de la valorisation de notre propre risque de crédit et nous réajustions les revenus issus des opérations de négociation sous « Résultat net des instruments financiers à la juste valeur ». Les activités legacy étant devenues non significatives (les désinvestissements ont été finalisés et l’exposition aux CDO est nulle) et à des fins de simplification du reporting - nous ne présentons plus les résultats ajustés. </w:t>
      </w:r>
    </w:p>
    <w:p w:rsidR="00921911" w:rsidRPr="00FA559A" w:rsidRDefault="00921911" w:rsidP="00921911">
      <w:pPr>
        <w:spacing w:before="120" w:after="120"/>
        <w:jc w:val="both"/>
        <w:rPr>
          <w:rFonts w:asciiTheme="minorHAnsi" w:hAnsiTheme="minorHAnsi"/>
          <w:noProof/>
          <w:sz w:val="22"/>
          <w:szCs w:val="22"/>
          <w:lang w:val="fr-FR" w:eastAsia="nl-BE"/>
        </w:rPr>
      </w:pPr>
      <w:r w:rsidRPr="00FA559A">
        <w:rPr>
          <w:rFonts w:asciiTheme="minorHAnsi" w:hAnsiTheme="minorHAnsi"/>
          <w:noProof/>
          <w:sz w:val="22"/>
          <w:szCs w:val="22"/>
          <w:lang w:val="fr-FR" w:eastAsia="nl-BE"/>
        </w:rPr>
        <w:t>L’inclusion pour la première fois de l’acquisition de Volksbank Leasing dans les résultats se retrouve dans la division Marchés internationaux.</w:t>
      </w: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E912AA" w:rsidRPr="00FA559A" w:rsidRDefault="00E912AA" w:rsidP="00921911">
      <w:pPr>
        <w:spacing w:before="120" w:after="120"/>
        <w:jc w:val="both"/>
        <w:rPr>
          <w:rFonts w:asciiTheme="minorHAnsi" w:hAnsiTheme="minorHAnsi"/>
          <w:noProof/>
          <w:sz w:val="22"/>
          <w:szCs w:val="22"/>
          <w:lang w:val="fr-FR" w:eastAsia="nl-BE"/>
        </w:rPr>
      </w:pPr>
    </w:p>
    <w:p w:rsidR="00E912AA" w:rsidRPr="00FA559A" w:rsidRDefault="00E912AA"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3E2A3C" w:rsidRPr="00FA559A" w:rsidRDefault="003E2A3C" w:rsidP="00921911">
      <w:pPr>
        <w:spacing w:before="120" w:after="120"/>
        <w:jc w:val="both"/>
        <w:rPr>
          <w:rFonts w:asciiTheme="minorHAnsi" w:hAnsiTheme="minorHAnsi"/>
          <w:noProof/>
          <w:sz w:val="22"/>
          <w:szCs w:val="22"/>
          <w:lang w:val="fr-FR" w:eastAsia="nl-BE"/>
        </w:rPr>
      </w:pPr>
    </w:p>
    <w:p w:rsidR="00921911" w:rsidRPr="00FA559A" w:rsidRDefault="00921911" w:rsidP="00B91016">
      <w:pPr>
        <w:spacing w:after="120"/>
        <w:rPr>
          <w:rFonts w:ascii="Rockwell" w:hAnsi="Rockwell"/>
          <w:b/>
          <w:color w:val="00B0F0"/>
          <w:sz w:val="28"/>
          <w:szCs w:val="28"/>
          <w:lang w:val="fr-FR"/>
        </w:rPr>
      </w:pPr>
      <w:r w:rsidRPr="00FA559A">
        <w:rPr>
          <w:rFonts w:ascii="Rockwell" w:hAnsi="Rockwell"/>
          <w:b/>
          <w:color w:val="00B0F0"/>
          <w:sz w:val="28"/>
          <w:szCs w:val="28"/>
          <w:lang w:val="fr-FR"/>
        </w:rPr>
        <w:lastRenderedPageBreak/>
        <w:t>Analyse du trimestre (4TR2015)</w:t>
      </w:r>
    </w:p>
    <w:p w:rsidR="00B91016" w:rsidRPr="00FA559A" w:rsidRDefault="00921911" w:rsidP="00B91016">
      <w:pPr>
        <w:spacing w:after="120"/>
        <w:rPr>
          <w:rFonts w:asciiTheme="minorHAnsi" w:hAnsiTheme="minorHAnsi" w:cs="Arial"/>
          <w:b/>
          <w:sz w:val="22"/>
          <w:szCs w:val="22"/>
          <w:lang w:val="fr-FR"/>
        </w:rPr>
      </w:pPr>
      <w:r w:rsidRPr="00FA559A">
        <w:rPr>
          <w:rFonts w:asciiTheme="minorHAnsi" w:hAnsiTheme="minorHAnsi" w:cs="Arial"/>
          <w:b/>
          <w:sz w:val="22"/>
          <w:szCs w:val="22"/>
          <w:lang w:val="fr-FR"/>
        </w:rPr>
        <w:t>Le résultat net pour le trimestre considéré s’est établi à 862 millions d’euros, contre 600 millions d’euros au précédent trimestre et 473 millions d’euros au quatrième trimestre 2014.</w:t>
      </w:r>
    </w:p>
    <w:p w:rsidR="0064057B" w:rsidRPr="00FA559A" w:rsidRDefault="0064057B" w:rsidP="00B91016">
      <w:pPr>
        <w:spacing w:after="120"/>
        <w:rPr>
          <w:rFonts w:asciiTheme="minorHAnsi" w:hAnsiTheme="minorHAnsi" w:cs="Arial"/>
          <w:b/>
          <w:sz w:val="22"/>
          <w:szCs w:val="22"/>
          <w:lang w:val="fr-FR"/>
        </w:rPr>
      </w:pPr>
    </w:p>
    <w:p w:rsidR="00921911" w:rsidRPr="00FA559A" w:rsidRDefault="00921911" w:rsidP="00921911">
      <w:pPr>
        <w:spacing w:before="60" w:after="120"/>
        <w:jc w:val="both"/>
        <w:rPr>
          <w:rFonts w:ascii="Rockwell" w:hAnsi="Rockwell"/>
          <w:color w:val="00B0F0"/>
          <w:sz w:val="22"/>
          <w:szCs w:val="22"/>
          <w:lang w:val="fr-FR"/>
        </w:rPr>
      </w:pPr>
      <w:r w:rsidRPr="00FA559A">
        <w:rPr>
          <w:rFonts w:ascii="Rockwell" w:hAnsi="Rockwell"/>
          <w:color w:val="00B0F0"/>
          <w:sz w:val="22"/>
          <w:szCs w:val="22"/>
          <w:lang w:val="fr-FR"/>
        </w:rPr>
        <w:t>Le total des revenus se contracte de 11% en rythme trimestriel suite à la liquidation de KBC Financial Holding Inc., mais abstraction faite de cet effet, le recul n’est que de 2%. Les revenus nets d’intérêts ont légèrement augmenté, tandis que les revenus nets de commissions se sont repliés.</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 xml:space="preserve">Les revenus nets d’intérêts se sont inscrits à 1 066 millions d’euros au quatrième trimestre 2015. Dans le contexte actuel de faibles rendements, nos revenus nets d’intérêts se sont légèrement accrus en comparaison trimestrielle, mais se sont contractés de 5% en rythme annuel. La progression observée en glissement trimestriel s’explique par la réduction des coûts de financement en Irlande et sur les dépôts à terme en Belgique ainsi que par l’amélioration des revenus de prêts liée à la croissance des volumes et aux baisses de taux d’intérêt sur les comptes d’épargne. Cette progression a toutefois été en partie neutralisée par le recul des revenus de réinvestissement, l’impact continu des remboursements anticipés de prêts hypothécaires opérés au cours des précédents trimestres en Belgique, une certaine pression sur les marges des crédits commerciaux et les faibles revenus générés par les salles des marchés. Par rapport à l’exercice précédent, la baisse de 5% des revenus nets d’intérêts est largement imputable aux résultats négatifs des opérations de </w:t>
      </w:r>
      <w:proofErr w:type="spellStart"/>
      <w:r w:rsidRPr="00FA559A">
        <w:rPr>
          <w:rFonts w:asciiTheme="minorHAnsi" w:hAnsiTheme="minorHAnsi" w:cs="Arial"/>
          <w:sz w:val="22"/>
          <w:szCs w:val="22"/>
          <w:lang w:val="fr-FR"/>
        </w:rPr>
        <w:t>hedging</w:t>
      </w:r>
      <w:proofErr w:type="spellEnd"/>
      <w:r w:rsidRPr="00FA559A">
        <w:rPr>
          <w:rFonts w:asciiTheme="minorHAnsi" w:hAnsiTheme="minorHAnsi" w:cs="Arial"/>
          <w:sz w:val="22"/>
          <w:szCs w:val="22"/>
          <w:lang w:val="fr-FR"/>
        </w:rPr>
        <w:t xml:space="preserve"> relatives aux prêts hypothécaires en Belgique – et ce, en dépit de marges commerciales saines, de l’accroissement des volumes et de la réduction des coûts de financement. En conséquence, la marge nette d’intérêts s’est établie à 1,95% pour le trimestre sous revue, en baisse de 4 points de base par rapport au trimestre précédent et de 20 points de base par rapport au même trimestre de l’année passée. La croissance des volumes a continué de soutenir les revenus d’intérêts : les prêts ont augmenté tant en glissement trimestriel (+1%) qu’en rythme annuel (+3%), tandis que les volumes de dépôts sont demeurés stables en comparaison trimestrielle mais ont progressé de 5% en rythme annuel.</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 xml:space="preserve">Les revenus techniques issus de nos activités d’assurance vie et non-vie se sont inscrits en repli en rythme trimestriel et annuel. Les primes brutes acquises moins les charges techniques brutes et le résultat de la réassurance cédée ont contribué au total des revenus à hauteur de 86 millions d’euros, soit une baisse de 5% par rapport au trimestre précédent et de 1% par rapport au même trimestre de l’année passée. </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ab/>
        <w:t xml:space="preserve">Les primes acquises dans nos activités d’assurance non-vie se sont accrues de 1% en comparaison trimestrielle et de 5% en rythme annuel. Au quatrième trimestre, les sinistres ont diminué de 1% en glissement trimestriel et de 4% par rapport à leur niveau du quatrième trimestre 2014. Le ratio combiné atteint un niveau excellent de 91% pour l’exercice complet. </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ab/>
        <w:t>Les ventes de produits d’assurance vie (y compris les produits de la branche 23 non inclus dans les recettes de primes) ont progressé de 40% en comparaison trimestrielle et de 6% en rythme annuel. Ce résultat est en partie imputable à des effets saisonniers liés aux contrats avec prime régulière fiscalement déductibles, mais a aussi été alimenté par la campagne sur l’épargne.</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ab/>
        <w:t xml:space="preserve">Il est à noter qu’au quatrième trimestre 2015, les revenus mobiliers issus d’activités d’assurance ont diminué de 4% par rapport au trimestre précédent et de 5% par rapport au même trimestre de l’année dernière. Ces deux évolutions s’expliquent par le recul des revenus nets d’intérêts consécutif à la diminution des rendements sur la position obligataire et les instruments de </w:t>
      </w:r>
      <w:proofErr w:type="spellStart"/>
      <w:r w:rsidRPr="00FA559A">
        <w:rPr>
          <w:rFonts w:asciiTheme="minorHAnsi" w:hAnsiTheme="minorHAnsi" w:cs="Arial"/>
          <w:sz w:val="22"/>
          <w:szCs w:val="22"/>
          <w:lang w:val="fr-FR"/>
        </w:rPr>
        <w:t>hedging</w:t>
      </w:r>
      <w:proofErr w:type="spellEnd"/>
      <w:r w:rsidRPr="00FA559A">
        <w:rPr>
          <w:rFonts w:asciiTheme="minorHAnsi" w:hAnsiTheme="minorHAnsi" w:cs="Arial"/>
          <w:sz w:val="22"/>
          <w:szCs w:val="22"/>
          <w:lang w:val="fr-FR"/>
        </w:rPr>
        <w:t xml:space="preserve"> sur le portefeuille d’actions ; l’effet a été quelque peu compensé par la hausse du résultat réalisé sur les actifs disponibles à la vente. </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 xml:space="preserve">Malgré le climat d’investissement volatil depuis l’automne, de nouvelles entrées couplées à l’évolution positive des prix ont entraîné une progression de 4% (à 209 milliards d’euros) du total des avoirs en gestion sur le trimestre considéré. Par rapport à l’année précédente, les avoirs en gestion ont enregistré une </w:t>
      </w:r>
      <w:r w:rsidRPr="00FA559A">
        <w:rPr>
          <w:rFonts w:asciiTheme="minorHAnsi" w:hAnsiTheme="minorHAnsi" w:cs="Arial"/>
          <w:sz w:val="22"/>
          <w:szCs w:val="22"/>
          <w:lang w:val="fr-FR"/>
        </w:rPr>
        <w:lastRenderedPageBreak/>
        <w:t>hausse de pas moins de 12%, attribuable pour deux tiers aux entrées nettes. En ce qui concerne les revenus nets de commissions, il est à noter que l’augmentation des frais d’entrée sur les produits d’investissement a été compensée par la baisse des commissions de gestion sur les fonds de placement liée à la modification de la répartition de l'actif. Il s’agit là du principal motif à l’origine du repli de nos revenus nets de commissions qui, à 371 millions d’euros, s’inscrivent en baisse de 9% en rythme annuel et de 3% en comparaison trimestrielle.</w:t>
      </w:r>
    </w:p>
    <w:p w:rsidR="00921911" w:rsidRPr="00FA559A" w:rsidRDefault="00921911" w:rsidP="00921911">
      <w:pPr>
        <w:pStyle w:val="ListParagraph"/>
        <w:numPr>
          <w:ilvl w:val="0"/>
          <w:numId w:val="3"/>
        </w:numPr>
        <w:spacing w:before="120" w:after="120"/>
        <w:jc w:val="both"/>
        <w:rPr>
          <w:rFonts w:asciiTheme="minorHAnsi" w:hAnsiTheme="minorHAnsi" w:cs="Arial"/>
          <w:sz w:val="22"/>
          <w:szCs w:val="22"/>
          <w:lang w:val="fr-FR"/>
        </w:rPr>
      </w:pPr>
      <w:r w:rsidRPr="00FA559A">
        <w:rPr>
          <w:rFonts w:asciiTheme="minorHAnsi" w:hAnsiTheme="minorHAnsi" w:cs="Arial"/>
          <w:sz w:val="22"/>
          <w:szCs w:val="22"/>
          <w:lang w:val="fr-FR"/>
        </w:rPr>
        <w:t>Le résultat net des instruments financiers à la juste valeur s'établit à -68 millions d’euros au quatrième trimestre 2015, après avoir atteint +47 millions d’euros sur le précédent trimestre et +109 millions d’euros au quatrième trimestre 2014. Ce repli s’explique par l’écart de conversion unique sur la liquidation de KBC Financial Holding Inc. (-156 millions d’euros). Sans cet effet, le résultat net des instruments financiers à la juste valeur a augmenté de 87% en rythme trimestriel. Dans une moindre mesure, la tendance a été influencée par la valorisation légèrement plus élevée des instruments dérivés utilisés aux fins d'</w:t>
      </w:r>
      <w:proofErr w:type="spellStart"/>
      <w:r w:rsidRPr="00FA559A">
        <w:rPr>
          <w:rFonts w:asciiTheme="minorHAnsi" w:hAnsiTheme="minorHAnsi" w:cs="Arial"/>
          <w:sz w:val="22"/>
          <w:szCs w:val="22"/>
          <w:lang w:val="fr-FR"/>
        </w:rPr>
        <w:t>Asset-Liability</w:t>
      </w:r>
      <w:proofErr w:type="spellEnd"/>
      <w:r w:rsidRPr="00FA559A">
        <w:rPr>
          <w:rFonts w:asciiTheme="minorHAnsi" w:hAnsiTheme="minorHAnsi" w:cs="Arial"/>
          <w:sz w:val="22"/>
          <w:szCs w:val="22"/>
          <w:lang w:val="fr-FR"/>
        </w:rPr>
        <w:t xml:space="preserve"> Management, la hausse des revenus générés par les salles des marchés et l’impact très positif des ajustements de valorisation (MVA/CVA/FVA) consécutifs à la réduction de l’exposition et/ou au resserrement des </w:t>
      </w:r>
      <w:proofErr w:type="spellStart"/>
      <w:r w:rsidRPr="00FA559A">
        <w:rPr>
          <w:rFonts w:asciiTheme="minorHAnsi" w:hAnsiTheme="minorHAnsi" w:cs="Arial"/>
          <w:sz w:val="22"/>
          <w:szCs w:val="22"/>
          <w:lang w:val="fr-FR"/>
        </w:rPr>
        <w:t>spreads</w:t>
      </w:r>
      <w:proofErr w:type="spellEnd"/>
      <w:r w:rsidRPr="00FA559A">
        <w:rPr>
          <w:rFonts w:asciiTheme="minorHAnsi" w:hAnsiTheme="minorHAnsi" w:cs="Arial"/>
          <w:sz w:val="22"/>
          <w:szCs w:val="22"/>
          <w:lang w:val="fr-FR"/>
        </w:rPr>
        <w:t xml:space="preserve"> de crédit.</w:t>
      </w:r>
    </w:p>
    <w:p w:rsidR="00D92069" w:rsidRPr="00FA559A" w:rsidRDefault="00921911" w:rsidP="00921911">
      <w:pPr>
        <w:pStyle w:val="ListParagraph"/>
        <w:numPr>
          <w:ilvl w:val="0"/>
          <w:numId w:val="3"/>
        </w:numPr>
        <w:tabs>
          <w:tab w:val="num" w:pos="426"/>
        </w:tabs>
        <w:spacing w:before="120" w:after="120"/>
        <w:jc w:val="both"/>
        <w:rPr>
          <w:rFonts w:asciiTheme="minorHAnsi" w:hAnsiTheme="minorHAnsi"/>
          <w:sz w:val="22"/>
          <w:szCs w:val="22"/>
          <w:lang w:val="fr-FR"/>
        </w:rPr>
      </w:pPr>
      <w:r w:rsidRPr="00FA559A">
        <w:rPr>
          <w:rFonts w:asciiTheme="minorHAnsi" w:hAnsiTheme="minorHAnsi" w:cs="Arial"/>
          <w:sz w:val="22"/>
          <w:szCs w:val="22"/>
          <w:lang w:val="fr-FR"/>
        </w:rPr>
        <w:t>Tous les autres éléments de revenus combinés se sont montés à 89 millions d’euros. Ils comprenaient : les plus-values réalisées sur la vente d’actifs disponibles à la vente (30 millions d’euros sur le trimestre considéré), les revenus de dividendes (12 millions d’euros) et les autres revenus nets (47 millions d’euros).</w:t>
      </w:r>
    </w:p>
    <w:p w:rsidR="00E8207C" w:rsidRPr="00FA559A" w:rsidRDefault="00921911" w:rsidP="003F4B63">
      <w:pPr>
        <w:spacing w:after="120"/>
        <w:jc w:val="both"/>
        <w:rPr>
          <w:rFonts w:ascii="Rockwell" w:hAnsi="Rockwell"/>
          <w:color w:val="00B0F0"/>
          <w:sz w:val="22"/>
          <w:szCs w:val="22"/>
          <w:lang w:val="fr-FR"/>
        </w:rPr>
      </w:pPr>
      <w:r w:rsidRPr="00FA559A">
        <w:rPr>
          <w:rFonts w:ascii="Rockwell" w:hAnsi="Rockwell"/>
          <w:color w:val="00B0F0"/>
          <w:sz w:val="22"/>
          <w:szCs w:val="22"/>
          <w:lang w:val="fr-FR"/>
        </w:rPr>
        <w:t xml:space="preserve">Gestion des coûts toujours en ligne de mire : </w:t>
      </w:r>
      <w:r w:rsidR="00204F76" w:rsidRPr="00FA559A">
        <w:rPr>
          <w:rFonts w:ascii="Rockwell" w:hAnsi="Rockwell"/>
          <w:color w:val="00B0F0"/>
          <w:sz w:val="22"/>
          <w:szCs w:val="22"/>
          <w:lang w:val="fr-FR"/>
        </w:rPr>
        <w:t xml:space="preserve">hors taxes bancaires spécifiques, les </w:t>
      </w:r>
      <w:r w:rsidRPr="00FA559A">
        <w:rPr>
          <w:rFonts w:ascii="Rockwell" w:hAnsi="Rockwell"/>
          <w:color w:val="00B0F0"/>
          <w:sz w:val="22"/>
          <w:szCs w:val="22"/>
          <w:lang w:val="fr-FR"/>
        </w:rPr>
        <w:t xml:space="preserve">charges d’exploitation en hausse en fin d’année en glissement trimestriel </w:t>
      </w:r>
      <w:r w:rsidR="00204F76" w:rsidRPr="00FA559A">
        <w:rPr>
          <w:rFonts w:ascii="Rockwell" w:hAnsi="Rockwell"/>
          <w:color w:val="00B0F0"/>
          <w:sz w:val="22"/>
          <w:szCs w:val="22"/>
          <w:lang w:val="fr-FR"/>
        </w:rPr>
        <w:t>mais en baisse en rythme annuel</w:t>
      </w:r>
      <w:r w:rsidRPr="00FA559A">
        <w:rPr>
          <w:rFonts w:ascii="Rockwell" w:hAnsi="Rockwell"/>
          <w:color w:val="00B0F0"/>
          <w:sz w:val="22"/>
          <w:szCs w:val="22"/>
          <w:lang w:val="fr-FR"/>
        </w:rPr>
        <w:t>.</w:t>
      </w:r>
    </w:p>
    <w:p w:rsidR="0064057B" w:rsidRPr="00FA559A" w:rsidRDefault="00E8207C" w:rsidP="0064057B">
      <w:pPr>
        <w:spacing w:after="120"/>
        <w:ind w:left="425" w:hanging="425"/>
        <w:rPr>
          <w:rFonts w:asciiTheme="minorHAnsi" w:hAnsiTheme="minorHAnsi"/>
          <w:sz w:val="22"/>
          <w:szCs w:val="22"/>
          <w:lang w:val="fr-FR"/>
        </w:rPr>
      </w:pPr>
      <w:r w:rsidRPr="00FA559A">
        <w:rPr>
          <w:rFonts w:asciiTheme="minorHAnsi" w:hAnsiTheme="minorHAnsi"/>
          <w:sz w:val="22"/>
          <w:szCs w:val="22"/>
          <w:lang w:val="fr-FR"/>
        </w:rPr>
        <w:t>•</w:t>
      </w:r>
      <w:r w:rsidRPr="00FA559A">
        <w:rPr>
          <w:rFonts w:asciiTheme="minorHAnsi" w:hAnsiTheme="minorHAnsi"/>
          <w:sz w:val="22"/>
          <w:szCs w:val="22"/>
          <w:lang w:val="fr-FR"/>
        </w:rPr>
        <w:tab/>
        <w:t>À 963 millions d’euros pour le quatrième trimestre 2015, nos charges d’exploitation ont considérablement augmenté (+12%) par rapport au précédent trimestre, mais sont demeurées stables en rythme annuel. Abstraction faite des taxes bancaires (49 millions d’euros pour le quatrième trimestre 2015, contre 264 millions d’euros au premier trimestre, 83 millions d’euros au deuxième trimestre, 21 millions d’euros au troisième trimestre et 44 millions d’euros au quatrième trimestre 2014), nos charges d’exploitation ont progressé de 9% en comparaison trimestrielle, mais ont diminué de 1% en rythme annuel. La hausse observée en glissement trimestriel résulte des dépenses de marketing, frais professionnels et coûts informatiques traditionnellement plus élevés en fin d’année, ainsi que de l’augmentation des charges de retraite (due au recul des taux d’intérêt) et des investissements dans la technologie financière. Le recul en rythme annuel repose quant à lui principalement sur la réduction des dépenses de marketing et des charges de personnel, quelque peu atténuée par la hausse des coûts informatiques.</w:t>
      </w:r>
      <w:r w:rsidR="0064057B" w:rsidRPr="00FA559A">
        <w:rPr>
          <w:rFonts w:asciiTheme="minorHAnsi" w:hAnsiTheme="minorHAnsi"/>
          <w:sz w:val="22"/>
          <w:szCs w:val="22"/>
          <w:lang w:val="fr-FR"/>
        </w:rPr>
        <w:t xml:space="preserve"> </w:t>
      </w:r>
    </w:p>
    <w:p w:rsidR="00E8207C" w:rsidRPr="00FA559A" w:rsidRDefault="00E8207C" w:rsidP="0064057B">
      <w:pPr>
        <w:spacing w:after="120"/>
        <w:ind w:left="426"/>
        <w:rPr>
          <w:rFonts w:asciiTheme="minorHAnsi" w:hAnsiTheme="minorHAnsi"/>
          <w:sz w:val="22"/>
          <w:szCs w:val="22"/>
          <w:lang w:val="fr-FR"/>
        </w:rPr>
      </w:pPr>
      <w:r w:rsidRPr="00FA559A">
        <w:rPr>
          <w:rFonts w:asciiTheme="minorHAnsi" w:hAnsiTheme="minorHAnsi"/>
          <w:sz w:val="22"/>
          <w:szCs w:val="22"/>
          <w:lang w:val="fr-FR"/>
        </w:rPr>
        <w:t>Le ratio charges/produits de nos activités bancaires s’établit à 55% pour</w:t>
      </w:r>
      <w:r w:rsidR="0064057B" w:rsidRPr="00FA559A">
        <w:rPr>
          <w:rFonts w:asciiTheme="minorHAnsi" w:hAnsiTheme="minorHAnsi"/>
          <w:sz w:val="22"/>
          <w:szCs w:val="22"/>
          <w:lang w:val="fr-FR"/>
        </w:rPr>
        <w:t xml:space="preserve"> l’exercice complet (contre 58% e</w:t>
      </w:r>
      <w:r w:rsidRPr="00FA559A">
        <w:rPr>
          <w:rFonts w:asciiTheme="minorHAnsi" w:hAnsiTheme="minorHAnsi"/>
          <w:sz w:val="22"/>
          <w:szCs w:val="22"/>
          <w:lang w:val="fr-FR"/>
        </w:rPr>
        <w:t xml:space="preserve">n 2014). </w:t>
      </w:r>
    </w:p>
    <w:p w:rsidR="00E8207C" w:rsidRPr="00FA559A" w:rsidRDefault="00E8207C" w:rsidP="00E8207C">
      <w:pPr>
        <w:tabs>
          <w:tab w:val="left" w:pos="5587"/>
        </w:tabs>
        <w:spacing w:after="120"/>
        <w:jc w:val="both"/>
        <w:rPr>
          <w:rFonts w:ascii="Rockwell" w:hAnsi="Rockwell"/>
          <w:color w:val="00B0F0"/>
          <w:sz w:val="22"/>
          <w:szCs w:val="22"/>
          <w:lang w:val="fr-FR"/>
        </w:rPr>
      </w:pPr>
      <w:r w:rsidRPr="00FA559A">
        <w:rPr>
          <w:rFonts w:ascii="Rockwell" w:hAnsi="Rockwell"/>
          <w:color w:val="00B0F0"/>
          <w:sz w:val="22"/>
          <w:szCs w:val="22"/>
          <w:lang w:val="fr-FR"/>
        </w:rPr>
        <w:t>Réductions de valeur pour pertes de crédit : faible ratio de coût du crédit de 0,23%</w:t>
      </w:r>
    </w:p>
    <w:p w:rsidR="00E8207C" w:rsidRPr="00FA559A" w:rsidRDefault="00E8207C" w:rsidP="0064057B">
      <w:pPr>
        <w:numPr>
          <w:ilvl w:val="0"/>
          <w:numId w:val="5"/>
        </w:numPr>
        <w:tabs>
          <w:tab w:val="left" w:pos="5587"/>
        </w:tabs>
        <w:spacing w:after="120"/>
        <w:ind w:left="426" w:hanging="426"/>
        <w:jc w:val="both"/>
        <w:rPr>
          <w:rFonts w:asciiTheme="minorHAnsi" w:hAnsiTheme="minorHAnsi"/>
          <w:sz w:val="22"/>
          <w:szCs w:val="22"/>
          <w:lang w:val="fr-FR"/>
        </w:rPr>
      </w:pPr>
      <w:r w:rsidRPr="00FA559A">
        <w:rPr>
          <w:rFonts w:asciiTheme="minorHAnsi" w:hAnsiTheme="minorHAnsi"/>
          <w:sz w:val="22"/>
          <w:szCs w:val="22"/>
          <w:lang w:val="fr-FR"/>
        </w:rPr>
        <w:t xml:space="preserve">Les pertes sur crédits se sont inscrites à 78 millions d’euros, en hausse par rapport aux 34 millions d’euros atteints au précédent trimestre, mais en baisse par rapport aux 158 millions d’euros enregistrés pour le quatrième trimestre 2014. Cette progression en glissement trimestriel est pour l’essentiel imputable à la Belgique (augmentation de 21 millions d’euros à 34 millions d’euros, dossiers spécifiques). Les chiffres s’établissent à 14 millions d’euros pour la République tchèque, 1 million d’euros pour la Hongrie (résultat positif), 9 millions d’euros pour la Slovaquie, 16 millions d’euros pour l’Irlande, 2 millions d’euros pour la Bulgarie et 4 millions d’euros pour le Centre de groupe. Les réductions de valeurs sur crédits ont atteint 0,23% du portefeuille total des crédits en 2015.  </w:t>
      </w:r>
    </w:p>
    <w:p w:rsidR="00E8207C" w:rsidRPr="00FA559A" w:rsidRDefault="00E8207C" w:rsidP="00E8207C">
      <w:pPr>
        <w:spacing w:after="120"/>
        <w:rPr>
          <w:rFonts w:ascii="Rockwell" w:hAnsi="Rockwell"/>
          <w:strike/>
          <w:color w:val="00B0F0"/>
          <w:sz w:val="22"/>
          <w:szCs w:val="22"/>
          <w:lang w:val="fr-FR"/>
        </w:rPr>
      </w:pPr>
      <w:r w:rsidRPr="00FA559A">
        <w:rPr>
          <w:rFonts w:ascii="Rockwell" w:hAnsi="Rockwell"/>
          <w:color w:val="00B0F0"/>
          <w:sz w:val="22"/>
          <w:szCs w:val="22"/>
          <w:lang w:val="fr-FR"/>
        </w:rPr>
        <w:t>Réductions de valeur sur goodwill : élément exceptionnel</w:t>
      </w:r>
    </w:p>
    <w:p w:rsidR="00E8207C" w:rsidRPr="00FA559A" w:rsidRDefault="00E8207C" w:rsidP="00B91016">
      <w:pPr>
        <w:spacing w:after="120"/>
        <w:ind w:left="425" w:hanging="425"/>
        <w:rPr>
          <w:rFonts w:asciiTheme="minorHAnsi" w:hAnsiTheme="minorHAnsi"/>
          <w:sz w:val="22"/>
          <w:szCs w:val="22"/>
          <w:lang w:val="fr-FR"/>
        </w:rPr>
      </w:pPr>
      <w:r w:rsidRPr="00FA559A">
        <w:rPr>
          <w:rFonts w:asciiTheme="minorHAnsi" w:hAnsiTheme="minorHAnsi"/>
          <w:sz w:val="22"/>
          <w:szCs w:val="22"/>
          <w:lang w:val="fr-FR"/>
        </w:rPr>
        <w:t>•</w:t>
      </w:r>
      <w:r w:rsidRPr="00FA559A">
        <w:rPr>
          <w:rFonts w:asciiTheme="minorHAnsi" w:hAnsiTheme="minorHAnsi"/>
          <w:sz w:val="22"/>
          <w:szCs w:val="22"/>
          <w:lang w:val="fr-FR"/>
        </w:rPr>
        <w:tab/>
        <w:t xml:space="preserve">Les réductions de valeur sur goodwill ont atteint un montant exceptionnellement élevé de 344 millions d’euros au quatrième trimestre 2015. Sous l’effet du relèvement des objectifs de capital à l’échelle locale et de l’augmentation du taux d’escompte, une réduction de valeur sur goodwill a été </w:t>
      </w:r>
      <w:r w:rsidRPr="00FA559A">
        <w:rPr>
          <w:rFonts w:asciiTheme="minorHAnsi" w:hAnsiTheme="minorHAnsi"/>
          <w:sz w:val="22"/>
          <w:szCs w:val="22"/>
          <w:lang w:val="fr-FR"/>
        </w:rPr>
        <w:lastRenderedPageBreak/>
        <w:t>comptabilisée pour CIBANK (117 millions d’euros) et DZI en Bulgarie (34 millions d’euros), pour l’acquisition d’</w:t>
      </w:r>
      <w:proofErr w:type="spellStart"/>
      <w:r w:rsidRPr="00FA559A">
        <w:rPr>
          <w:rFonts w:asciiTheme="minorHAnsi" w:hAnsiTheme="minorHAnsi"/>
          <w:sz w:val="22"/>
          <w:szCs w:val="22"/>
          <w:lang w:val="fr-FR"/>
        </w:rPr>
        <w:t>Istrobanka</w:t>
      </w:r>
      <w:proofErr w:type="spellEnd"/>
      <w:r w:rsidRPr="00FA559A">
        <w:rPr>
          <w:rFonts w:asciiTheme="minorHAnsi" w:hAnsiTheme="minorHAnsi"/>
          <w:sz w:val="22"/>
          <w:szCs w:val="22"/>
          <w:lang w:val="fr-FR"/>
        </w:rPr>
        <w:t xml:space="preserve"> par ČSOB Bank en Slovaqui</w:t>
      </w:r>
      <w:r w:rsidR="00EF35C0" w:rsidRPr="00FA559A">
        <w:rPr>
          <w:rFonts w:asciiTheme="minorHAnsi" w:hAnsiTheme="minorHAnsi"/>
          <w:sz w:val="22"/>
          <w:szCs w:val="22"/>
          <w:lang w:val="fr-FR"/>
        </w:rPr>
        <w:t>e (191 millions d’euros) en 2008</w:t>
      </w:r>
      <w:r w:rsidRPr="00FA559A">
        <w:rPr>
          <w:rFonts w:asciiTheme="minorHAnsi" w:hAnsiTheme="minorHAnsi"/>
          <w:sz w:val="22"/>
          <w:szCs w:val="22"/>
          <w:lang w:val="fr-FR"/>
        </w:rPr>
        <w:t xml:space="preserve"> ainsi que pour </w:t>
      </w:r>
      <w:proofErr w:type="spellStart"/>
      <w:r w:rsidRPr="00FA559A">
        <w:rPr>
          <w:rFonts w:asciiTheme="minorHAnsi" w:hAnsiTheme="minorHAnsi"/>
          <w:sz w:val="22"/>
          <w:szCs w:val="22"/>
          <w:lang w:val="fr-FR"/>
        </w:rPr>
        <w:t>Hypotečni</w:t>
      </w:r>
      <w:proofErr w:type="spellEnd"/>
      <w:r w:rsidRPr="00FA559A">
        <w:rPr>
          <w:rFonts w:asciiTheme="minorHAnsi" w:hAnsiTheme="minorHAnsi"/>
          <w:sz w:val="22"/>
          <w:szCs w:val="22"/>
          <w:lang w:val="fr-FR"/>
        </w:rPr>
        <w:t xml:space="preserve"> Banka en République tchèque (2 millions d’euros). Cette réduction de valeur est sans impact sur nos ratios de capital.</w:t>
      </w:r>
    </w:p>
    <w:p w:rsidR="00E8207C" w:rsidRPr="00FA559A" w:rsidRDefault="00E8207C" w:rsidP="00E8207C">
      <w:pPr>
        <w:tabs>
          <w:tab w:val="left" w:pos="5587"/>
        </w:tabs>
        <w:spacing w:after="120"/>
        <w:jc w:val="both"/>
        <w:rPr>
          <w:rFonts w:ascii="Rockwell" w:hAnsi="Rockwell"/>
          <w:color w:val="00B0F0"/>
          <w:sz w:val="22"/>
          <w:szCs w:val="22"/>
          <w:lang w:val="fr-FR"/>
        </w:rPr>
      </w:pPr>
      <w:r w:rsidRPr="00FA559A">
        <w:rPr>
          <w:rFonts w:ascii="Rockwell" w:hAnsi="Rockwell"/>
          <w:color w:val="00B0F0"/>
          <w:sz w:val="22"/>
          <w:szCs w:val="22"/>
          <w:lang w:val="fr-FR"/>
        </w:rPr>
        <w:t>Impôt : élément exceptionnel</w:t>
      </w:r>
    </w:p>
    <w:p w:rsidR="00E8207C" w:rsidRPr="00FA559A" w:rsidRDefault="00E8207C" w:rsidP="00EC1345">
      <w:pPr>
        <w:pStyle w:val="ListParagraph"/>
        <w:numPr>
          <w:ilvl w:val="0"/>
          <w:numId w:val="20"/>
        </w:numPr>
        <w:spacing w:after="120"/>
        <w:rPr>
          <w:rFonts w:asciiTheme="minorHAnsi" w:hAnsiTheme="minorHAnsi"/>
          <w:sz w:val="22"/>
          <w:szCs w:val="22"/>
          <w:lang w:val="fr-FR"/>
        </w:rPr>
      </w:pPr>
      <w:r w:rsidRPr="00FA559A">
        <w:rPr>
          <w:rFonts w:asciiTheme="minorHAnsi" w:hAnsiTheme="minorHAnsi"/>
          <w:sz w:val="22"/>
          <w:szCs w:val="22"/>
          <w:lang w:val="fr-FR"/>
        </w:rPr>
        <w:t>Suite à la liquidation de KBC Financial Holding Inc., la perte en capital libéré subie par KBC Bank était déductible de l’impôt pour la société mère au moment de la liquidation, contribuant largement au chiffre positif de 749 millions d’euros sur le front de l’impôt au quatrième trimestre 2015.</w:t>
      </w:r>
    </w:p>
    <w:p w:rsidR="00E8207C" w:rsidRPr="00FA559A" w:rsidRDefault="00E8207C" w:rsidP="00E8207C">
      <w:pPr>
        <w:spacing w:after="120"/>
        <w:rPr>
          <w:rFonts w:ascii="Rockwell" w:hAnsi="Rockwell"/>
          <w:color w:val="00B0F0"/>
          <w:sz w:val="22"/>
          <w:szCs w:val="22"/>
          <w:lang w:val="fr-FR"/>
        </w:rPr>
      </w:pPr>
      <w:r w:rsidRPr="00FA559A">
        <w:rPr>
          <w:rFonts w:ascii="Rockwell" w:hAnsi="Rockwell"/>
          <w:color w:val="00B0F0"/>
          <w:sz w:val="22"/>
          <w:szCs w:val="22"/>
          <w:lang w:val="fr-FR"/>
        </w:rPr>
        <w:t>Résultats par division</w:t>
      </w:r>
    </w:p>
    <w:p w:rsidR="0082170C" w:rsidRPr="00FA559A" w:rsidRDefault="0082170C" w:rsidP="00EC1345">
      <w:pPr>
        <w:pStyle w:val="ListParagraph"/>
        <w:numPr>
          <w:ilvl w:val="0"/>
          <w:numId w:val="21"/>
        </w:numPr>
        <w:rPr>
          <w:rFonts w:asciiTheme="minorHAnsi" w:hAnsiTheme="minorHAnsi"/>
          <w:sz w:val="22"/>
          <w:szCs w:val="22"/>
          <w:lang w:val="fr-FR"/>
        </w:rPr>
      </w:pPr>
      <w:r w:rsidRPr="00FA559A">
        <w:rPr>
          <w:rFonts w:asciiTheme="minorHAnsi" w:hAnsiTheme="minorHAnsi"/>
          <w:sz w:val="22"/>
          <w:szCs w:val="22"/>
          <w:lang w:val="fr-FR"/>
        </w:rPr>
        <w:t xml:space="preserve">Notre bénéfice trimestriel de 862 millions d’euros se répartit comme suit : 348 millions d’euros pour la division Belgique, 119 millions d’euros pour la division République tchèque, 61 millions d’euros pour la division Marchés internationaux et 334 millions d’euros pour le Centre de groupe. Un tableau reprenant les résultats complets et une analyse succincte par division sont disponibles à la section « </w:t>
      </w:r>
      <w:proofErr w:type="spellStart"/>
      <w:r w:rsidRPr="00FA559A">
        <w:rPr>
          <w:rFonts w:asciiTheme="minorHAnsi" w:hAnsiTheme="minorHAnsi"/>
          <w:sz w:val="22"/>
          <w:szCs w:val="22"/>
          <w:lang w:val="fr-FR"/>
        </w:rPr>
        <w:t>Results</w:t>
      </w:r>
      <w:proofErr w:type="spellEnd"/>
      <w:r w:rsidRPr="00FA559A">
        <w:rPr>
          <w:rFonts w:asciiTheme="minorHAnsi" w:hAnsiTheme="minorHAnsi"/>
          <w:sz w:val="22"/>
          <w:szCs w:val="22"/>
          <w:lang w:val="fr-FR"/>
        </w:rPr>
        <w:t xml:space="preserve"> per business unit » du rapport trimestriel ; des informations plus détaillées pour chaque division figurent également dans la présentation destinée aux analystes (sur www.kbc.com).</w:t>
      </w:r>
    </w:p>
    <w:p w:rsidR="0082170C" w:rsidRPr="00FA559A" w:rsidRDefault="0082170C" w:rsidP="0082170C">
      <w:pPr>
        <w:spacing w:after="120"/>
        <w:rPr>
          <w:rFonts w:ascii="Rockwell" w:hAnsi="Rockwell"/>
          <w:color w:val="00B0F0"/>
          <w:sz w:val="22"/>
          <w:szCs w:val="22"/>
          <w:lang w:val="fr-FR"/>
        </w:rPr>
      </w:pPr>
      <w:r w:rsidRPr="00FA559A">
        <w:rPr>
          <w:rFonts w:ascii="Rockwell" w:hAnsi="Rockwell"/>
          <w:color w:val="00B0F0"/>
          <w:sz w:val="22"/>
          <w:szCs w:val="22"/>
          <w:lang w:val="fr-FR"/>
        </w:rPr>
        <w:t>Robustes fondamentaux après le remboursement de l’aide publique résiduelle : capitaux propres, solvabilité et liquidité</w:t>
      </w:r>
    </w:p>
    <w:p w:rsidR="0082170C" w:rsidRPr="00FA559A" w:rsidRDefault="0082170C" w:rsidP="0082170C">
      <w:pPr>
        <w:pStyle w:val="ListParagraph"/>
        <w:numPr>
          <w:ilvl w:val="0"/>
          <w:numId w:val="17"/>
        </w:numPr>
        <w:spacing w:after="120"/>
        <w:jc w:val="both"/>
        <w:rPr>
          <w:rFonts w:asciiTheme="minorHAnsi" w:eastAsia="Calibri" w:hAnsiTheme="minorHAnsi" w:cs="Arial"/>
          <w:sz w:val="22"/>
          <w:szCs w:val="22"/>
          <w:lang w:val="fr-FR"/>
        </w:rPr>
      </w:pPr>
      <w:r w:rsidRPr="00FA559A">
        <w:rPr>
          <w:rFonts w:asciiTheme="minorHAnsi" w:eastAsia="Calibri" w:hAnsiTheme="minorHAnsi" w:cs="Arial"/>
          <w:sz w:val="22"/>
          <w:szCs w:val="22"/>
          <w:lang w:val="fr-FR"/>
        </w:rPr>
        <w:t xml:space="preserve">À la fin de l’exercice 2015, le total de nos capitaux propres s’élevait à 15,8 milliards d’euros, en baisse de 0,7 milliard d’euros par rapport à son niveau de début d’année. L’évolution du total des capitaux propres sur l’exercice résultait de l’inclusion du bénéfice 2015 (+2,6 milliards d’euros), du versement de dividendes pour 2014 et du coupon connexe sur l’aide publique résiduelle (montant cumulé de -1,0 milliard d’euros), du remboursement de l’aide publique résiduelle et du paiement de la pénalité (-3,0 milliards d’euros) ainsi que de divers éléments de moindre importance (montant cumulé de +0,7 milliard d’euros ; écarts de conversion et réévaluations de régimes à prestations définies pour l’essentiel).  </w:t>
      </w:r>
    </w:p>
    <w:p w:rsidR="0082170C" w:rsidRPr="00FA559A" w:rsidRDefault="0082170C" w:rsidP="0082170C">
      <w:pPr>
        <w:pStyle w:val="ListParagraph"/>
        <w:numPr>
          <w:ilvl w:val="0"/>
          <w:numId w:val="17"/>
        </w:numPr>
        <w:spacing w:after="120"/>
        <w:jc w:val="both"/>
        <w:rPr>
          <w:rFonts w:asciiTheme="minorHAnsi" w:eastAsia="Calibri" w:hAnsiTheme="minorHAnsi" w:cs="Arial"/>
          <w:sz w:val="22"/>
          <w:szCs w:val="22"/>
          <w:lang w:val="fr-FR"/>
        </w:rPr>
      </w:pPr>
      <w:r w:rsidRPr="00FA559A">
        <w:rPr>
          <w:rFonts w:asciiTheme="minorHAnsi" w:eastAsia="Calibri" w:hAnsiTheme="minorHAnsi" w:cs="Arial"/>
          <w:sz w:val="22"/>
          <w:szCs w:val="22"/>
          <w:lang w:val="fr-FR"/>
        </w:rPr>
        <w:t xml:space="preserve">Nos ratios de solvabilité ont confortablement dépassé les niveaux requis par le nouveau test de solvabilité imposé par les autorités réglementaires pour 2016 (minimum de 10,25%, Bâle III, </w:t>
      </w:r>
      <w:proofErr w:type="spellStart"/>
      <w:r w:rsidRPr="00FA559A">
        <w:rPr>
          <w:rFonts w:asciiTheme="minorHAnsi" w:eastAsia="Calibri" w:hAnsiTheme="minorHAnsi" w:cs="Arial"/>
          <w:sz w:val="22"/>
          <w:szCs w:val="22"/>
          <w:lang w:val="fr-FR"/>
        </w:rPr>
        <w:t>phased</w:t>
      </w:r>
      <w:proofErr w:type="spellEnd"/>
      <w:r w:rsidRPr="00FA559A">
        <w:rPr>
          <w:rFonts w:asciiTheme="minorHAnsi" w:eastAsia="Calibri" w:hAnsiTheme="minorHAnsi" w:cs="Arial"/>
          <w:sz w:val="22"/>
          <w:szCs w:val="22"/>
          <w:lang w:val="fr-FR"/>
        </w:rPr>
        <w:t xml:space="preserve">-in selon le compromis danois). Au 31 décembre 2015, le ratio </w:t>
      </w:r>
      <w:proofErr w:type="spellStart"/>
      <w:r w:rsidRPr="00FA559A">
        <w:rPr>
          <w:rFonts w:asciiTheme="minorHAnsi" w:eastAsia="Calibri" w:hAnsiTheme="minorHAnsi" w:cs="Arial"/>
          <w:sz w:val="22"/>
          <w:szCs w:val="22"/>
          <w:lang w:val="fr-FR"/>
        </w:rPr>
        <w:t>common</w:t>
      </w:r>
      <w:proofErr w:type="spellEnd"/>
      <w:r w:rsidRPr="00FA559A">
        <w:rPr>
          <w:rFonts w:asciiTheme="minorHAnsi" w:eastAsia="Calibri" w:hAnsiTheme="minorHAnsi" w:cs="Arial"/>
          <w:sz w:val="22"/>
          <w:szCs w:val="22"/>
          <w:lang w:val="fr-FR"/>
        </w:rPr>
        <w:t xml:space="preserve"> </w:t>
      </w:r>
      <w:proofErr w:type="spellStart"/>
      <w:r w:rsidRPr="00FA559A">
        <w:rPr>
          <w:rFonts w:asciiTheme="minorHAnsi" w:eastAsia="Calibri" w:hAnsiTheme="minorHAnsi" w:cs="Arial"/>
          <w:sz w:val="22"/>
          <w:szCs w:val="22"/>
          <w:lang w:val="fr-FR"/>
        </w:rPr>
        <w:t>equity</w:t>
      </w:r>
      <w:proofErr w:type="spellEnd"/>
      <w:r w:rsidRPr="00FA559A">
        <w:rPr>
          <w:rFonts w:asciiTheme="minorHAnsi" w:eastAsia="Calibri" w:hAnsiTheme="minorHAnsi" w:cs="Arial"/>
          <w:sz w:val="22"/>
          <w:szCs w:val="22"/>
          <w:lang w:val="fr-FR"/>
        </w:rPr>
        <w:t xml:space="preserve"> du groupe (Bâle III, </w:t>
      </w:r>
      <w:proofErr w:type="spellStart"/>
      <w:r w:rsidRPr="00FA559A">
        <w:rPr>
          <w:rFonts w:asciiTheme="minorHAnsi" w:eastAsia="Calibri" w:hAnsiTheme="minorHAnsi" w:cs="Arial"/>
          <w:sz w:val="22"/>
          <w:szCs w:val="22"/>
          <w:lang w:val="fr-FR"/>
        </w:rPr>
        <w:t>phased</w:t>
      </w:r>
      <w:proofErr w:type="spellEnd"/>
      <w:r w:rsidRPr="00FA559A">
        <w:rPr>
          <w:rFonts w:asciiTheme="minorHAnsi" w:eastAsia="Calibri" w:hAnsiTheme="minorHAnsi" w:cs="Arial"/>
          <w:sz w:val="22"/>
          <w:szCs w:val="22"/>
          <w:lang w:val="fr-FR"/>
        </w:rPr>
        <w:t xml:space="preserve">-in, selon le compromis danois) s’établissait à un robuste niveau de 15,2%. À pleine charge, ce ratio atteint 14,9%. Le ratio de levier financier (« </w:t>
      </w:r>
      <w:proofErr w:type="spellStart"/>
      <w:r w:rsidRPr="00FA559A">
        <w:rPr>
          <w:rFonts w:asciiTheme="minorHAnsi" w:eastAsia="Calibri" w:hAnsiTheme="minorHAnsi" w:cs="Arial"/>
          <w:sz w:val="22"/>
          <w:szCs w:val="22"/>
          <w:lang w:val="fr-FR"/>
        </w:rPr>
        <w:t>leverage</w:t>
      </w:r>
      <w:proofErr w:type="spellEnd"/>
      <w:r w:rsidRPr="00FA559A">
        <w:rPr>
          <w:rFonts w:asciiTheme="minorHAnsi" w:eastAsia="Calibri" w:hAnsiTheme="minorHAnsi" w:cs="Arial"/>
          <w:sz w:val="22"/>
          <w:szCs w:val="22"/>
          <w:lang w:val="fr-FR"/>
        </w:rPr>
        <w:t xml:space="preserve"> ratio ») du groupe (Bâle III, à pleine charge) s’est inscrit à 6,3%. Au 31 décembre 2015, KBC Assurances affichait un excellent ratio de solvabilité de 289% selon le cadre Solvabilité I et un ratio de 231% tout aussi remarquable selon le cadre Solvabilité II (entré en vigueur au 1er janvier 2016).</w:t>
      </w:r>
    </w:p>
    <w:p w:rsidR="0082170C" w:rsidRPr="00FA559A" w:rsidRDefault="0082170C" w:rsidP="0082170C">
      <w:pPr>
        <w:pStyle w:val="ListParagraph"/>
        <w:numPr>
          <w:ilvl w:val="0"/>
          <w:numId w:val="17"/>
        </w:numPr>
        <w:spacing w:after="120"/>
        <w:jc w:val="both"/>
        <w:rPr>
          <w:rFonts w:asciiTheme="minorHAnsi" w:eastAsia="Calibri" w:hAnsiTheme="minorHAnsi" w:cs="Arial"/>
          <w:sz w:val="22"/>
          <w:szCs w:val="22"/>
          <w:lang w:val="fr-FR"/>
        </w:rPr>
      </w:pPr>
      <w:r w:rsidRPr="00FA559A">
        <w:rPr>
          <w:rFonts w:asciiTheme="minorHAnsi" w:eastAsia="Calibri" w:hAnsiTheme="minorHAnsi" w:cs="Arial"/>
          <w:sz w:val="22"/>
          <w:szCs w:val="22"/>
          <w:lang w:val="fr-FR"/>
        </w:rPr>
        <w:t>La liquidité du groupe s’est maintenue à un excellent niveau, avec un ratio LCR de 127% et un ratio NSFR de 121% à l’issue du quatrième trimestre 2015.</w:t>
      </w: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3E2A3C" w:rsidRPr="00FA559A" w:rsidRDefault="003E2A3C" w:rsidP="00B91016">
      <w:pPr>
        <w:spacing w:after="120"/>
        <w:jc w:val="both"/>
        <w:rPr>
          <w:rFonts w:ascii="Rockwell" w:hAnsi="Rockwell"/>
          <w:b/>
          <w:color w:val="00B0F0"/>
          <w:sz w:val="28"/>
          <w:szCs w:val="28"/>
          <w:lang w:val="fr-FR"/>
        </w:rPr>
      </w:pPr>
    </w:p>
    <w:p w:rsidR="0082170C" w:rsidRPr="00FA559A" w:rsidRDefault="0082170C" w:rsidP="00B91016">
      <w:pPr>
        <w:spacing w:after="120"/>
        <w:jc w:val="both"/>
        <w:rPr>
          <w:rFonts w:ascii="Rockwell" w:hAnsi="Rockwell"/>
          <w:b/>
          <w:color w:val="00B0F0"/>
          <w:sz w:val="28"/>
          <w:szCs w:val="28"/>
          <w:lang w:val="fr-FR"/>
        </w:rPr>
      </w:pPr>
      <w:r w:rsidRPr="00FA559A">
        <w:rPr>
          <w:rFonts w:ascii="Rockwell" w:hAnsi="Rockwell"/>
          <w:b/>
          <w:color w:val="00B0F0"/>
          <w:sz w:val="28"/>
          <w:szCs w:val="28"/>
          <w:lang w:val="fr-FR"/>
        </w:rPr>
        <w:t>Analyse de l’ensemble de l’exercice 2015</w:t>
      </w:r>
    </w:p>
    <w:p w:rsidR="0082170C" w:rsidRPr="00FA559A" w:rsidRDefault="0082170C" w:rsidP="0082170C">
      <w:pPr>
        <w:spacing w:after="120"/>
        <w:jc w:val="both"/>
        <w:rPr>
          <w:rFonts w:asciiTheme="minorHAnsi" w:hAnsiTheme="minorHAnsi"/>
          <w:sz w:val="22"/>
          <w:szCs w:val="22"/>
          <w:lang w:val="fr-FR"/>
        </w:rPr>
      </w:pPr>
      <w:r w:rsidRPr="00FA559A">
        <w:rPr>
          <w:rFonts w:asciiTheme="minorHAnsi" w:hAnsiTheme="minorHAnsi"/>
          <w:sz w:val="22"/>
          <w:szCs w:val="22"/>
          <w:lang w:val="fr-FR"/>
        </w:rPr>
        <w:t xml:space="preserve">Remarque : en rythme annuel, nos performances se ressentent partiellement de la déconsolidation de KBC Bank </w:t>
      </w:r>
      <w:proofErr w:type="spellStart"/>
      <w:r w:rsidRPr="00FA559A">
        <w:rPr>
          <w:rFonts w:asciiTheme="minorHAnsi" w:hAnsiTheme="minorHAnsi"/>
          <w:sz w:val="22"/>
          <w:szCs w:val="22"/>
          <w:lang w:val="fr-FR"/>
        </w:rPr>
        <w:t>Deutschland</w:t>
      </w:r>
      <w:proofErr w:type="spellEnd"/>
      <w:r w:rsidRPr="00FA559A">
        <w:rPr>
          <w:rFonts w:asciiTheme="minorHAnsi" w:hAnsiTheme="minorHAnsi"/>
          <w:sz w:val="22"/>
          <w:szCs w:val="22"/>
          <w:lang w:val="fr-FR"/>
        </w:rPr>
        <w:t xml:space="preserve"> et de certains autres changements mineurs. Afin de permettre la comparaison, ces éléments ne seront pas pris en considération (« sur une base comparable »).</w:t>
      </w:r>
    </w:p>
    <w:p w:rsidR="00B91016" w:rsidRPr="00FA559A" w:rsidRDefault="0082170C" w:rsidP="0082170C">
      <w:pPr>
        <w:spacing w:after="120"/>
        <w:jc w:val="both"/>
        <w:rPr>
          <w:rFonts w:asciiTheme="minorHAnsi" w:hAnsiTheme="minorHAnsi"/>
          <w:color w:val="00B0F0"/>
          <w:sz w:val="22"/>
          <w:szCs w:val="22"/>
          <w:lang w:val="fr-FR"/>
        </w:rPr>
      </w:pPr>
      <w:r w:rsidRPr="00FA559A">
        <w:rPr>
          <w:rFonts w:asciiTheme="minorHAnsi" w:hAnsiTheme="minorHAnsi"/>
          <w:sz w:val="22"/>
          <w:szCs w:val="22"/>
          <w:lang w:val="fr-FR"/>
        </w:rPr>
        <w:t xml:space="preserve">Remarque : l’inclusion pour la première fois de l’acquisition de </w:t>
      </w:r>
      <w:proofErr w:type="spellStart"/>
      <w:r w:rsidRPr="00FA559A">
        <w:rPr>
          <w:rFonts w:asciiTheme="minorHAnsi" w:hAnsiTheme="minorHAnsi"/>
          <w:sz w:val="22"/>
          <w:szCs w:val="22"/>
          <w:lang w:val="fr-FR"/>
        </w:rPr>
        <w:t>Volksbank</w:t>
      </w:r>
      <w:proofErr w:type="spellEnd"/>
      <w:r w:rsidRPr="00FA559A">
        <w:rPr>
          <w:rFonts w:asciiTheme="minorHAnsi" w:hAnsiTheme="minorHAnsi"/>
          <w:sz w:val="22"/>
          <w:szCs w:val="22"/>
          <w:lang w:val="fr-FR"/>
        </w:rPr>
        <w:t xml:space="preserve"> Leasing dans les résultats se retrouve dans la division Marchés internationaux.</w:t>
      </w:r>
    </w:p>
    <w:p w:rsidR="0082170C" w:rsidRPr="00FA559A" w:rsidRDefault="0082170C" w:rsidP="00B91016">
      <w:pPr>
        <w:spacing w:after="120"/>
        <w:jc w:val="both"/>
        <w:rPr>
          <w:rFonts w:asciiTheme="minorHAnsi" w:hAnsiTheme="minorHAnsi" w:cs="Arial"/>
          <w:b/>
          <w:sz w:val="22"/>
          <w:szCs w:val="22"/>
          <w:lang w:val="fr-FR"/>
        </w:rPr>
      </w:pPr>
      <w:r w:rsidRPr="00FA559A">
        <w:rPr>
          <w:rFonts w:asciiTheme="minorHAnsi" w:hAnsiTheme="minorHAnsi" w:cs="Arial"/>
          <w:b/>
          <w:sz w:val="22"/>
          <w:szCs w:val="22"/>
          <w:lang w:val="fr-FR"/>
        </w:rPr>
        <w:t xml:space="preserve">Notre résultat global pour l’exercice s’établit à 2 639 millions d’euros, contre 1 762 millions d’euros un an auparavant. </w:t>
      </w:r>
    </w:p>
    <w:p w:rsidR="0082170C" w:rsidRPr="00FA559A" w:rsidRDefault="0082170C" w:rsidP="0082170C">
      <w:pPr>
        <w:spacing w:after="120"/>
        <w:jc w:val="both"/>
        <w:rPr>
          <w:rFonts w:asciiTheme="minorHAnsi" w:hAnsiTheme="minorHAnsi"/>
          <w:sz w:val="22"/>
          <w:szCs w:val="22"/>
          <w:lang w:val="fr-FR"/>
        </w:rPr>
      </w:pPr>
      <w:r w:rsidRPr="00FA559A">
        <w:rPr>
          <w:rFonts w:ascii="Rockwell" w:hAnsi="Rockwell" w:cs="Arial"/>
          <w:color w:val="00B0F0"/>
          <w:sz w:val="22"/>
          <w:szCs w:val="22"/>
          <w:lang w:val="fr-FR"/>
        </w:rPr>
        <w:t>Par rapport à 2014, le résultat de l’année 2015 s’est caractérisé par :</w:t>
      </w:r>
    </w:p>
    <w:p w:rsidR="0082170C" w:rsidRPr="00FA559A" w:rsidRDefault="0082170C" w:rsidP="00EC1345">
      <w:pPr>
        <w:pStyle w:val="ListParagraph"/>
        <w:numPr>
          <w:ilvl w:val="0"/>
          <w:numId w:val="22"/>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Une hausse des revenus nets d’intérêts à 4 311 millions d’euros (+1% sur une base comparable) grâce à la diminution substantielle des coûts de financement (subordonnés), ainsi que des marges sur prêts supérieures et une baisse des taux sur les dépôts – l’impact positif ayant ici été quelque peu atténué par les pertes subies sur les remboursements anticipés de prêts hypothécaires en Belgique. Les volumes de dépôts et de prêts ont augmenté (+5% et +3% respectivement).</w:t>
      </w:r>
    </w:p>
    <w:p w:rsidR="0082170C" w:rsidRPr="00FA559A" w:rsidRDefault="0082170C" w:rsidP="00EC1345">
      <w:pPr>
        <w:pStyle w:val="ListParagraph"/>
        <w:numPr>
          <w:ilvl w:val="0"/>
          <w:numId w:val="22"/>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Une contribution au revenu accrue des résultats techniques des activités d’assurance (primes brutes acquises moins charges techniques brutes et résultat de la réassurance cédée : hausse de 22% à 381 millions d’euros). Dans l’assurance non-vie, les primes acquises ont augmenté de 4% et le ratio combiné s’inscrit à un excellent niveau de 91% </w:t>
      </w:r>
      <w:proofErr w:type="spellStart"/>
      <w:r w:rsidRPr="00FA559A">
        <w:rPr>
          <w:rFonts w:asciiTheme="minorHAnsi" w:hAnsiTheme="minorHAnsi"/>
          <w:sz w:val="22"/>
          <w:szCs w:val="22"/>
          <w:lang w:val="fr-FR"/>
        </w:rPr>
        <w:t>year</w:t>
      </w:r>
      <w:proofErr w:type="spellEnd"/>
      <w:r w:rsidRPr="00FA559A">
        <w:rPr>
          <w:rFonts w:asciiTheme="minorHAnsi" w:hAnsiTheme="minorHAnsi"/>
          <w:sz w:val="22"/>
          <w:szCs w:val="22"/>
          <w:lang w:val="fr-FR"/>
        </w:rPr>
        <w:t>-to-date. Dans l’assurance vie, les primes acquises ont baissé de 7%.</w:t>
      </w:r>
    </w:p>
    <w:p w:rsidR="0082170C" w:rsidRPr="00FA559A" w:rsidRDefault="0082170C" w:rsidP="00EC1345">
      <w:pPr>
        <w:pStyle w:val="ListParagraph"/>
        <w:numPr>
          <w:ilvl w:val="0"/>
          <w:numId w:val="23"/>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Une forte accélération des activités de gestion d’actifs, qui s’est traduite par une augmentation des revenus nets de commissions (à 1 678 millions d’euros, soit +7% sur une base comparable), tout particulièrement sur le premier semestre. À la fin décembre 2015, les avoirs en gestion s’élevaient à 209 milliards d’euros, ce qui correspond à une hausse de 12% en rythme annuel, dont 8% attribuables aux entrées nettes et 4% à l’évolution des prix.</w:t>
      </w:r>
    </w:p>
    <w:p w:rsidR="0082170C" w:rsidRPr="00FA559A" w:rsidRDefault="0082170C" w:rsidP="00EC1345">
      <w:pPr>
        <w:pStyle w:val="ListParagraph"/>
        <w:numPr>
          <w:ilvl w:val="0"/>
          <w:numId w:val="24"/>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Le résultat net des instruments financiers à la juste valeur s’est élevé à 214 millions d’euros en 2015, en baisse de 5% par rapport à 2014 sur une base comparable. Cet élément a subi l’impact très défavorable de l’écart de conversion unique sur la liquidation de KBC Financial Holding Inc. (-156 millions d’euros) ainsi que des corrections de valeur négatives sur les éléments MVA/CVA/FVA – impact cependant atténué par les écarts de valorisation positifs sur les dérivés ALM (101 millions d’euros, soit plus de 300 millions d’euros de plus qu’en 2014). </w:t>
      </w:r>
    </w:p>
    <w:p w:rsidR="0082170C" w:rsidRPr="00FA559A" w:rsidRDefault="0082170C" w:rsidP="00EC1345">
      <w:pPr>
        <w:pStyle w:val="ListParagraph"/>
        <w:numPr>
          <w:ilvl w:val="0"/>
          <w:numId w:val="25"/>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Une progression des autres éléments de revenus suivants : les plus-values nettes réalisées sur les actifs disponibles à la vente ont atteint 190 millions d’euros (+26%) sur une base comparable, les revenus de dividendes se sont élevés à 75 millions d’euros (+35%) et les autres revenus nets se sont établis à 297 millions d’euros (contre 180 millions d’euros en 2014, résultat altéré par la constitution de provisions à hauteur de 231 millions d’euros en vertu de la nouvelle loi hongroise sur les prêts aux particuliers). </w:t>
      </w:r>
    </w:p>
    <w:p w:rsidR="0082170C" w:rsidRPr="00FA559A" w:rsidRDefault="0082170C" w:rsidP="00EC1345">
      <w:pPr>
        <w:pStyle w:val="ListParagraph"/>
        <w:numPr>
          <w:ilvl w:val="0"/>
          <w:numId w:val="26"/>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Un accroissement des charges d’exploitation (+3% sur une base comparable à 3 890 millions d’euros), imputable pour l’essentiel à l’augmentation des taxes bancaires spécifiques (+23%). Abstraction faite de ces taxes, les charges d’exploitation n’ont que légèrement progressé (+2% sur une base comparable), principalement sous l’effet de la hausse des charges de retraite et des investissements dans la numérisation. En conséquence, le ratio charges/produits s’établit à 55% </w:t>
      </w:r>
      <w:proofErr w:type="spellStart"/>
      <w:r w:rsidRPr="00FA559A">
        <w:rPr>
          <w:rFonts w:asciiTheme="minorHAnsi" w:hAnsiTheme="minorHAnsi"/>
          <w:sz w:val="22"/>
          <w:szCs w:val="22"/>
          <w:lang w:val="fr-FR"/>
        </w:rPr>
        <w:t>year</w:t>
      </w:r>
      <w:proofErr w:type="spellEnd"/>
      <w:r w:rsidRPr="00FA559A">
        <w:rPr>
          <w:rFonts w:asciiTheme="minorHAnsi" w:hAnsiTheme="minorHAnsi"/>
          <w:sz w:val="22"/>
          <w:szCs w:val="22"/>
          <w:lang w:val="fr-FR"/>
        </w:rPr>
        <w:t>-to-date.</w:t>
      </w:r>
    </w:p>
    <w:p w:rsidR="0082170C" w:rsidRPr="00FA559A" w:rsidRDefault="0082170C" w:rsidP="00EC1345">
      <w:pPr>
        <w:pStyle w:val="ListParagraph"/>
        <w:numPr>
          <w:ilvl w:val="0"/>
          <w:numId w:val="26"/>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Une diminution des pertes de crédit (-44% sur une base comparable, à 323 millions d’euros). Cette amélioration a été la plus marquée en Irlande (baisse de 150 millions d’euros). Par conséquent, le ratio annualisé de coût du crédit s’est inscrit à un niveau satisfaisant de 0,23% pour l’ensemble du groupe. </w:t>
      </w:r>
    </w:p>
    <w:p w:rsidR="0082170C" w:rsidRPr="00FA559A" w:rsidRDefault="0082170C" w:rsidP="00EC1345">
      <w:pPr>
        <w:pStyle w:val="ListParagraph"/>
        <w:numPr>
          <w:ilvl w:val="0"/>
          <w:numId w:val="26"/>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 xml:space="preserve">La liquidation de KBC Financial Holding Inc., qui implique une perte en capital libéré pour KBC Bank était fiscalement déductible pour la société mère au moment de la liquidation, a débouché sur un montant </w:t>
      </w:r>
      <w:r w:rsidRPr="00FA559A">
        <w:rPr>
          <w:rFonts w:asciiTheme="minorHAnsi" w:hAnsiTheme="minorHAnsi"/>
          <w:sz w:val="22"/>
          <w:szCs w:val="22"/>
          <w:lang w:val="fr-FR"/>
        </w:rPr>
        <w:lastRenderedPageBreak/>
        <w:t>d’impôts global selon IFRS de +104 millions d’euros pour l’exercice 2015, par opposition à -654 millions d’euros en 2014, sur une base comparable.</w:t>
      </w:r>
    </w:p>
    <w:p w:rsidR="0082170C" w:rsidRPr="00FA559A" w:rsidRDefault="0082170C" w:rsidP="00EC1345">
      <w:pPr>
        <w:pStyle w:val="ListParagraph"/>
        <w:numPr>
          <w:ilvl w:val="0"/>
          <w:numId w:val="26"/>
        </w:numPr>
        <w:tabs>
          <w:tab w:val="left" w:pos="5587"/>
        </w:tabs>
        <w:spacing w:after="40"/>
        <w:jc w:val="both"/>
        <w:rPr>
          <w:rFonts w:asciiTheme="minorHAnsi" w:hAnsiTheme="minorHAnsi"/>
          <w:sz w:val="22"/>
          <w:szCs w:val="22"/>
          <w:lang w:val="fr-FR"/>
        </w:rPr>
      </w:pPr>
      <w:r w:rsidRPr="00FA559A">
        <w:rPr>
          <w:rFonts w:asciiTheme="minorHAnsi" w:hAnsiTheme="minorHAnsi"/>
          <w:sz w:val="22"/>
          <w:szCs w:val="22"/>
          <w:lang w:val="fr-FR"/>
        </w:rPr>
        <w:t>S’agissant des réductions de valeur des autres éléments, il convient de mentionner que, sous l’effet du relèvement des objectifs de capital à l’échelle locale et de l’augmentation du taux d’escompte, une réduction de valeur sur goodwill a été comptabilisée pour différentes entités, dont CIBANK en Bulgarie (117 millions d’euros), et pour l’acquisition d’</w:t>
      </w:r>
      <w:proofErr w:type="spellStart"/>
      <w:r w:rsidRPr="00FA559A">
        <w:rPr>
          <w:rFonts w:asciiTheme="minorHAnsi" w:hAnsiTheme="minorHAnsi"/>
          <w:sz w:val="22"/>
          <w:szCs w:val="22"/>
          <w:lang w:val="fr-FR"/>
        </w:rPr>
        <w:t>Istrobanka</w:t>
      </w:r>
      <w:proofErr w:type="spellEnd"/>
      <w:r w:rsidRPr="00FA559A">
        <w:rPr>
          <w:rFonts w:asciiTheme="minorHAnsi" w:hAnsiTheme="minorHAnsi"/>
          <w:sz w:val="22"/>
          <w:szCs w:val="22"/>
          <w:lang w:val="fr-FR"/>
        </w:rPr>
        <w:t xml:space="preserve"> pa</w:t>
      </w:r>
      <w:r w:rsidR="00EF35C0" w:rsidRPr="00FA559A">
        <w:rPr>
          <w:rFonts w:asciiTheme="minorHAnsi" w:hAnsiTheme="minorHAnsi"/>
          <w:sz w:val="22"/>
          <w:szCs w:val="22"/>
          <w:lang w:val="fr-FR"/>
        </w:rPr>
        <w:t>r ČSOB Bank en Slovaquie en 2008</w:t>
      </w:r>
      <w:r w:rsidRPr="00FA559A">
        <w:rPr>
          <w:rFonts w:asciiTheme="minorHAnsi" w:hAnsiTheme="minorHAnsi"/>
          <w:sz w:val="22"/>
          <w:szCs w:val="22"/>
          <w:lang w:val="fr-FR"/>
        </w:rPr>
        <w:t xml:space="preserve"> (191 millions d’euros). Cette réduction de valeur est sans incidence sur nos ratios de capital. À titre de comparaison, la reprise des réductions de valeur actées sur notre participation dans la Banque Diamantaire Anversoise en 2012 et en 2013 a eu une incidence positive unique de 132 millions d’euros après impôts en 2014. </w:t>
      </w:r>
    </w:p>
    <w:p w:rsidR="0082170C" w:rsidRPr="00FA559A" w:rsidRDefault="0082170C" w:rsidP="0082170C">
      <w:pPr>
        <w:rPr>
          <w:rFonts w:ascii="Rockwell" w:hAnsi="Rockwell"/>
          <w:color w:val="00B0F0"/>
          <w:sz w:val="22"/>
          <w:szCs w:val="22"/>
          <w:lang w:val="fr-FR"/>
        </w:rPr>
      </w:pPr>
    </w:p>
    <w:tbl>
      <w:tblPr>
        <w:tblW w:w="10240" w:type="dxa"/>
        <w:tblInd w:w="108" w:type="dxa"/>
        <w:tblLook w:val="01E0" w:firstRow="1" w:lastRow="1" w:firstColumn="1" w:lastColumn="1" w:noHBand="0" w:noVBand="0"/>
      </w:tblPr>
      <w:tblGrid>
        <w:gridCol w:w="5435"/>
        <w:gridCol w:w="1667"/>
        <w:gridCol w:w="1035"/>
        <w:gridCol w:w="1088"/>
        <w:gridCol w:w="1015"/>
      </w:tblGrid>
      <w:tr w:rsidR="0082170C" w:rsidRPr="00FA559A" w:rsidTr="003E2A3C">
        <w:tc>
          <w:tcPr>
            <w:tcW w:w="5435" w:type="dxa"/>
            <w:tcBorders>
              <w:bottom w:val="single" w:sz="8" w:space="0" w:color="808080" w:themeColor="background1" w:themeShade="80"/>
            </w:tcBorders>
            <w:shd w:val="clear" w:color="auto" w:fill="auto"/>
            <w:vAlign w:val="center"/>
          </w:tcPr>
          <w:p w:rsidR="0082170C" w:rsidRPr="00FA559A" w:rsidRDefault="0082170C" w:rsidP="003E2A3C">
            <w:pPr>
              <w:pStyle w:val="Intro"/>
              <w:jc w:val="left"/>
              <w:rPr>
                <w:color w:val="00B0F0"/>
                <w:sz w:val="14"/>
                <w:szCs w:val="14"/>
                <w:lang w:val="fr-FR"/>
              </w:rPr>
            </w:pPr>
            <w:r w:rsidRPr="00FA559A">
              <w:rPr>
                <w:color w:val="00B0F0"/>
                <w:sz w:val="14"/>
                <w:szCs w:val="14"/>
                <w:lang w:val="fr-FR"/>
              </w:rPr>
              <w:t>Ratios sélectionnés pour le Groupe KBC (consolidé)</w:t>
            </w:r>
          </w:p>
        </w:tc>
        <w:tc>
          <w:tcPr>
            <w:tcW w:w="1667" w:type="dxa"/>
            <w:tcBorders>
              <w:bottom w:val="single" w:sz="8" w:space="0" w:color="808080" w:themeColor="background1" w:themeShade="80"/>
            </w:tcBorders>
            <w:shd w:val="clear" w:color="auto" w:fill="auto"/>
            <w:vAlign w:val="center"/>
          </w:tcPr>
          <w:p w:rsidR="0082170C" w:rsidRPr="00FA559A" w:rsidRDefault="0082170C" w:rsidP="003E2A3C">
            <w:pPr>
              <w:pStyle w:val="Intro"/>
              <w:jc w:val="right"/>
              <w:rPr>
                <w:color w:val="00B0F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color w:val="00B0F0"/>
                <w:sz w:val="14"/>
                <w:szCs w:val="14"/>
                <w:lang w:val="fr-FR"/>
              </w:rPr>
            </w:pPr>
          </w:p>
        </w:tc>
        <w:tc>
          <w:tcPr>
            <w:tcW w:w="1088" w:type="dxa"/>
            <w:tcBorders>
              <w:bottom w:val="single" w:sz="8" w:space="0" w:color="808080" w:themeColor="background1" w:themeShade="80"/>
            </w:tcBorders>
            <w:shd w:val="clear" w:color="auto" w:fill="auto"/>
            <w:vAlign w:val="center"/>
          </w:tcPr>
          <w:p w:rsidR="0082170C" w:rsidRPr="00FA559A" w:rsidRDefault="0082170C" w:rsidP="003E2A3C">
            <w:pPr>
              <w:pStyle w:val="Intro"/>
              <w:jc w:val="right"/>
              <w:rPr>
                <w:color w:val="00B0F0"/>
                <w:sz w:val="14"/>
                <w:szCs w:val="14"/>
                <w:lang w:val="fr-FR"/>
              </w:rPr>
            </w:pPr>
            <w:r w:rsidRPr="00FA559A">
              <w:rPr>
                <w:color w:val="00B0F0"/>
                <w:sz w:val="14"/>
                <w:szCs w:val="14"/>
                <w:lang w:val="fr-FR"/>
              </w:rPr>
              <w:t>Exercice complet 2014</w:t>
            </w:r>
          </w:p>
        </w:tc>
        <w:tc>
          <w:tcPr>
            <w:tcW w:w="1015" w:type="dxa"/>
            <w:tcBorders>
              <w:bottom w:val="single" w:sz="8" w:space="0" w:color="808080" w:themeColor="background1" w:themeShade="80"/>
            </w:tcBorders>
            <w:shd w:val="clear" w:color="auto" w:fill="auto"/>
            <w:vAlign w:val="center"/>
          </w:tcPr>
          <w:p w:rsidR="0082170C" w:rsidRPr="00FA559A" w:rsidRDefault="0082170C" w:rsidP="003E2A3C">
            <w:pPr>
              <w:pStyle w:val="Intro"/>
              <w:jc w:val="right"/>
              <w:rPr>
                <w:color w:val="00B0F0"/>
                <w:sz w:val="14"/>
                <w:szCs w:val="14"/>
                <w:lang w:val="fr-FR"/>
              </w:rPr>
            </w:pPr>
            <w:r w:rsidRPr="00FA559A">
              <w:rPr>
                <w:color w:val="00B0F0"/>
                <w:sz w:val="14"/>
                <w:szCs w:val="14"/>
                <w:lang w:val="fr-FR"/>
              </w:rPr>
              <w:t>Exercice complet 2015</w:t>
            </w:r>
          </w:p>
        </w:tc>
      </w:tr>
      <w:tr w:rsidR="0082170C" w:rsidRPr="00FA559A" w:rsidTr="003E2A3C">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Rentabilité et efficacité </w:t>
            </w:r>
          </w:p>
        </w:tc>
        <w:tc>
          <w:tcPr>
            <w:tcW w:w="1667"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p>
        </w:tc>
      </w:tr>
      <w:tr w:rsidR="0082170C" w:rsidRPr="00FA559A" w:rsidTr="003E2A3C">
        <w:trPr>
          <w:trHeight w:val="227"/>
        </w:trPr>
        <w:tc>
          <w:tcPr>
            <w:tcW w:w="5435" w:type="dxa"/>
            <w:tcBorders>
              <w:top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Rendement sur capitaux propres*  </w:t>
            </w:r>
          </w:p>
        </w:tc>
        <w:tc>
          <w:tcPr>
            <w:tcW w:w="1667"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14%</w:t>
            </w:r>
          </w:p>
        </w:tc>
        <w:tc>
          <w:tcPr>
            <w:tcW w:w="1015" w:type="dxa"/>
            <w:tcBorders>
              <w:top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highlight w:val="darkGray"/>
                <w:lang w:val="fr-FR"/>
              </w:rPr>
            </w:pPr>
            <w:r w:rsidRPr="00FA559A">
              <w:rPr>
                <w:b w:val="0"/>
                <w:sz w:val="14"/>
                <w:szCs w:val="14"/>
                <w:lang w:val="fr-FR"/>
              </w:rPr>
              <w:t>22%</w:t>
            </w:r>
          </w:p>
        </w:tc>
      </w:tr>
      <w:tr w:rsidR="0082170C" w:rsidRPr="00FA559A" w:rsidTr="003E2A3C">
        <w:trPr>
          <w:trHeight w:val="227"/>
        </w:trPr>
        <w:tc>
          <w:tcPr>
            <w:tcW w:w="5435" w:type="dxa"/>
            <w:vAlign w:val="center"/>
          </w:tcPr>
          <w:p w:rsidR="0082170C" w:rsidRPr="00FA559A" w:rsidRDefault="0082170C" w:rsidP="003E2A3C">
            <w:pPr>
              <w:pStyle w:val="Intro"/>
              <w:jc w:val="left"/>
              <w:rPr>
                <w:b w:val="0"/>
                <w:sz w:val="14"/>
                <w:szCs w:val="14"/>
                <w:lang w:val="fr-FR"/>
              </w:rPr>
            </w:pPr>
            <w:r w:rsidRPr="00FA559A">
              <w:rPr>
                <w:b w:val="0"/>
                <w:sz w:val="14"/>
                <w:szCs w:val="14"/>
                <w:lang w:val="fr-FR"/>
              </w:rPr>
              <w:t>Ratio charges/produits, activités bancaires</w:t>
            </w:r>
          </w:p>
        </w:tc>
        <w:tc>
          <w:tcPr>
            <w:tcW w:w="1667" w:type="dxa"/>
            <w:vAlign w:val="center"/>
          </w:tcPr>
          <w:p w:rsidR="0082170C" w:rsidRPr="00FA559A" w:rsidRDefault="0082170C" w:rsidP="003E2A3C">
            <w:pPr>
              <w:pStyle w:val="Intro"/>
              <w:jc w:val="right"/>
              <w:rPr>
                <w:b w:val="0"/>
                <w:sz w:val="14"/>
                <w:szCs w:val="14"/>
                <w:lang w:val="fr-FR"/>
              </w:rPr>
            </w:pPr>
          </w:p>
        </w:tc>
        <w:tc>
          <w:tcPr>
            <w:tcW w:w="1035" w:type="dxa"/>
          </w:tcPr>
          <w:p w:rsidR="0082170C" w:rsidRPr="00FA559A" w:rsidRDefault="0082170C" w:rsidP="003E2A3C">
            <w:pPr>
              <w:pStyle w:val="Intro"/>
              <w:jc w:val="right"/>
              <w:rPr>
                <w:b w:val="0"/>
                <w:sz w:val="14"/>
                <w:szCs w:val="14"/>
                <w:lang w:val="fr-FR"/>
              </w:rPr>
            </w:pPr>
          </w:p>
        </w:tc>
        <w:tc>
          <w:tcPr>
            <w:tcW w:w="1088" w:type="dxa"/>
            <w:vAlign w:val="center"/>
          </w:tcPr>
          <w:p w:rsidR="0082170C" w:rsidRPr="00FA559A" w:rsidRDefault="0082170C" w:rsidP="003E2A3C">
            <w:pPr>
              <w:pStyle w:val="Intro"/>
              <w:jc w:val="right"/>
              <w:rPr>
                <w:b w:val="0"/>
                <w:sz w:val="14"/>
                <w:szCs w:val="14"/>
                <w:lang w:val="fr-FR"/>
              </w:rPr>
            </w:pPr>
            <w:r w:rsidRPr="00FA559A">
              <w:rPr>
                <w:b w:val="0"/>
                <w:sz w:val="14"/>
                <w:szCs w:val="14"/>
                <w:lang w:val="fr-FR"/>
              </w:rPr>
              <w:t>58%</w:t>
            </w:r>
          </w:p>
        </w:tc>
        <w:tc>
          <w:tcPr>
            <w:tcW w:w="1015" w:type="dxa"/>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55%</w:t>
            </w:r>
          </w:p>
        </w:tc>
      </w:tr>
      <w:tr w:rsidR="0082170C" w:rsidRPr="00FA559A" w:rsidTr="003E2A3C">
        <w:trPr>
          <w:trHeight w:val="227"/>
        </w:trPr>
        <w:tc>
          <w:tcPr>
            <w:tcW w:w="5435" w:type="dxa"/>
            <w:tcBorders>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Ratio combiné, assurance non-vie</w:t>
            </w:r>
          </w:p>
        </w:tc>
        <w:tc>
          <w:tcPr>
            <w:tcW w:w="1667"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94%</w:t>
            </w:r>
          </w:p>
        </w:tc>
        <w:tc>
          <w:tcPr>
            <w:tcW w:w="1015" w:type="dxa"/>
            <w:tcBorders>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91%</w:t>
            </w:r>
          </w:p>
        </w:tc>
      </w:tr>
      <w:tr w:rsidR="0082170C" w:rsidRPr="00FA559A" w:rsidTr="003E2A3C">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Solvabilité</w:t>
            </w:r>
          </w:p>
        </w:tc>
        <w:tc>
          <w:tcPr>
            <w:tcW w:w="1667"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rPr>
                <w:b w:val="0"/>
                <w:sz w:val="14"/>
                <w:szCs w:val="14"/>
                <w:lang w:val="fr-FR"/>
              </w:rPr>
            </w:pPr>
          </w:p>
        </w:tc>
      </w:tr>
      <w:tr w:rsidR="0082170C" w:rsidRPr="00FA559A" w:rsidTr="003E2A3C">
        <w:trPr>
          <w:trHeight w:val="227"/>
        </w:trPr>
        <w:tc>
          <w:tcPr>
            <w:tcW w:w="5435" w:type="dxa"/>
            <w:tcBorders>
              <w:top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Ratio </w:t>
            </w:r>
            <w:proofErr w:type="spellStart"/>
            <w:r w:rsidRPr="00FA559A">
              <w:rPr>
                <w:b w:val="0"/>
                <w:sz w:val="14"/>
                <w:szCs w:val="14"/>
                <w:lang w:val="fr-FR"/>
              </w:rPr>
              <w:t>common</w:t>
            </w:r>
            <w:proofErr w:type="spellEnd"/>
            <w:r w:rsidRPr="00FA559A">
              <w:rPr>
                <w:b w:val="0"/>
                <w:sz w:val="14"/>
                <w:szCs w:val="14"/>
                <w:lang w:val="fr-FR"/>
              </w:rPr>
              <w:t xml:space="preserve"> </w:t>
            </w:r>
            <w:proofErr w:type="spellStart"/>
            <w:r w:rsidRPr="00FA559A">
              <w:rPr>
                <w:b w:val="0"/>
                <w:sz w:val="14"/>
                <w:szCs w:val="14"/>
                <w:lang w:val="fr-FR"/>
              </w:rPr>
              <w:t>equity</w:t>
            </w:r>
            <w:proofErr w:type="spellEnd"/>
            <w:r w:rsidRPr="00FA559A">
              <w:rPr>
                <w:b w:val="0"/>
                <w:sz w:val="14"/>
                <w:szCs w:val="14"/>
                <w:lang w:val="fr-FR"/>
              </w:rPr>
              <w:t xml:space="preserve"> selon Bâle III (à pleine charge)</w:t>
            </w:r>
          </w:p>
        </w:tc>
        <w:tc>
          <w:tcPr>
            <w:tcW w:w="1667"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14.3%</w:t>
            </w:r>
          </w:p>
        </w:tc>
        <w:tc>
          <w:tcPr>
            <w:tcW w:w="1015" w:type="dxa"/>
            <w:tcBorders>
              <w:top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14.9%</w:t>
            </w:r>
          </w:p>
        </w:tc>
      </w:tr>
      <w:tr w:rsidR="0082170C" w:rsidRPr="00FA559A" w:rsidTr="003E2A3C">
        <w:trPr>
          <w:trHeight w:val="227"/>
        </w:trPr>
        <w:tc>
          <w:tcPr>
            <w:tcW w:w="5435" w:type="dxa"/>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Ratio </w:t>
            </w:r>
            <w:proofErr w:type="spellStart"/>
            <w:r w:rsidRPr="00FA559A">
              <w:rPr>
                <w:b w:val="0"/>
                <w:sz w:val="14"/>
                <w:szCs w:val="14"/>
                <w:lang w:val="fr-FR"/>
              </w:rPr>
              <w:t>common</w:t>
            </w:r>
            <w:proofErr w:type="spellEnd"/>
            <w:r w:rsidRPr="00FA559A">
              <w:rPr>
                <w:b w:val="0"/>
                <w:sz w:val="14"/>
                <w:szCs w:val="14"/>
                <w:lang w:val="fr-FR"/>
              </w:rPr>
              <w:t xml:space="preserve"> </w:t>
            </w:r>
            <w:proofErr w:type="spellStart"/>
            <w:r w:rsidRPr="00FA559A">
              <w:rPr>
                <w:b w:val="0"/>
                <w:sz w:val="14"/>
                <w:szCs w:val="14"/>
                <w:lang w:val="fr-FR"/>
              </w:rPr>
              <w:t>equity</w:t>
            </w:r>
            <w:proofErr w:type="spellEnd"/>
            <w:r w:rsidRPr="00FA559A">
              <w:rPr>
                <w:b w:val="0"/>
                <w:sz w:val="14"/>
                <w:szCs w:val="14"/>
                <w:lang w:val="fr-FR"/>
              </w:rPr>
              <w:t xml:space="preserve"> selon Bâle III (</w:t>
            </w:r>
            <w:proofErr w:type="spellStart"/>
            <w:r w:rsidRPr="00FA559A">
              <w:rPr>
                <w:b w:val="0"/>
                <w:sz w:val="14"/>
                <w:szCs w:val="14"/>
                <w:lang w:val="fr-FR"/>
              </w:rPr>
              <w:t>phased</w:t>
            </w:r>
            <w:proofErr w:type="spellEnd"/>
            <w:r w:rsidRPr="00FA559A">
              <w:rPr>
                <w:b w:val="0"/>
                <w:sz w:val="14"/>
                <w:szCs w:val="14"/>
                <w:lang w:val="fr-FR"/>
              </w:rPr>
              <w:t>-in)</w:t>
            </w:r>
          </w:p>
        </w:tc>
        <w:tc>
          <w:tcPr>
            <w:tcW w:w="1667" w:type="dxa"/>
            <w:vAlign w:val="center"/>
          </w:tcPr>
          <w:p w:rsidR="0082170C" w:rsidRPr="00FA559A" w:rsidRDefault="0082170C" w:rsidP="003E2A3C">
            <w:pPr>
              <w:pStyle w:val="Intro"/>
              <w:jc w:val="right"/>
              <w:rPr>
                <w:b w:val="0"/>
                <w:sz w:val="14"/>
                <w:szCs w:val="14"/>
                <w:lang w:val="fr-FR"/>
              </w:rPr>
            </w:pPr>
          </w:p>
        </w:tc>
        <w:tc>
          <w:tcPr>
            <w:tcW w:w="1035" w:type="dxa"/>
          </w:tcPr>
          <w:p w:rsidR="0082170C" w:rsidRPr="00FA559A" w:rsidRDefault="0082170C" w:rsidP="003E2A3C">
            <w:pPr>
              <w:pStyle w:val="Intro"/>
              <w:jc w:val="right"/>
              <w:rPr>
                <w:b w:val="0"/>
                <w:sz w:val="14"/>
                <w:szCs w:val="14"/>
                <w:lang w:val="fr-FR"/>
              </w:rPr>
            </w:pPr>
          </w:p>
        </w:tc>
        <w:tc>
          <w:tcPr>
            <w:tcW w:w="1088" w:type="dxa"/>
            <w:vAlign w:val="center"/>
          </w:tcPr>
          <w:p w:rsidR="0082170C" w:rsidRPr="00FA559A" w:rsidRDefault="0082170C" w:rsidP="003E2A3C">
            <w:pPr>
              <w:pStyle w:val="Intro"/>
              <w:jc w:val="right"/>
              <w:rPr>
                <w:b w:val="0"/>
                <w:sz w:val="14"/>
                <w:szCs w:val="14"/>
                <w:lang w:val="fr-FR"/>
              </w:rPr>
            </w:pPr>
            <w:r w:rsidRPr="00FA559A">
              <w:rPr>
                <w:b w:val="0"/>
                <w:sz w:val="14"/>
                <w:szCs w:val="14"/>
                <w:lang w:val="fr-FR"/>
              </w:rPr>
              <w:t>14.4%</w:t>
            </w:r>
          </w:p>
        </w:tc>
        <w:tc>
          <w:tcPr>
            <w:tcW w:w="1015" w:type="dxa"/>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15.2%</w:t>
            </w:r>
          </w:p>
        </w:tc>
      </w:tr>
      <w:tr w:rsidR="002E6465" w:rsidRPr="00FA559A" w:rsidTr="00074706">
        <w:trPr>
          <w:trHeight w:val="227"/>
        </w:trPr>
        <w:tc>
          <w:tcPr>
            <w:tcW w:w="5435" w:type="dxa"/>
            <w:vAlign w:val="center"/>
          </w:tcPr>
          <w:p w:rsidR="002E6465" w:rsidRPr="00FA559A" w:rsidRDefault="002E6465" w:rsidP="002E6465">
            <w:pPr>
              <w:pStyle w:val="Intro"/>
              <w:jc w:val="left"/>
              <w:rPr>
                <w:b w:val="0"/>
                <w:sz w:val="14"/>
                <w:szCs w:val="14"/>
                <w:lang w:val="fr-FR"/>
              </w:rPr>
            </w:pPr>
            <w:r w:rsidRPr="00FA559A">
              <w:rPr>
                <w:b w:val="0"/>
                <w:sz w:val="14"/>
                <w:szCs w:val="14"/>
                <w:lang w:val="fr-FR"/>
              </w:rPr>
              <w:t xml:space="preserve">Ratio </w:t>
            </w:r>
            <w:proofErr w:type="spellStart"/>
            <w:r w:rsidRPr="00FA559A">
              <w:rPr>
                <w:b w:val="0"/>
                <w:sz w:val="14"/>
                <w:szCs w:val="14"/>
                <w:lang w:val="fr-FR"/>
              </w:rPr>
              <w:t>common</w:t>
            </w:r>
            <w:proofErr w:type="spellEnd"/>
            <w:r w:rsidRPr="00FA559A">
              <w:rPr>
                <w:b w:val="0"/>
                <w:sz w:val="14"/>
                <w:szCs w:val="14"/>
                <w:lang w:val="fr-FR"/>
              </w:rPr>
              <w:t xml:space="preserve"> </w:t>
            </w:r>
            <w:proofErr w:type="spellStart"/>
            <w:r w:rsidRPr="00FA559A">
              <w:rPr>
                <w:b w:val="0"/>
                <w:sz w:val="14"/>
                <w:szCs w:val="14"/>
                <w:lang w:val="fr-FR"/>
              </w:rPr>
              <w:t>equity</w:t>
            </w:r>
            <w:proofErr w:type="spellEnd"/>
            <w:r w:rsidRPr="00FA559A">
              <w:rPr>
                <w:b w:val="0"/>
                <w:sz w:val="14"/>
                <w:szCs w:val="14"/>
                <w:lang w:val="fr-FR"/>
              </w:rPr>
              <w:t xml:space="preserve"> selon la méthode FICOD (à pleine charge)</w:t>
            </w:r>
          </w:p>
        </w:tc>
        <w:tc>
          <w:tcPr>
            <w:tcW w:w="1667" w:type="dxa"/>
            <w:vAlign w:val="center"/>
          </w:tcPr>
          <w:p w:rsidR="002E6465" w:rsidRPr="00FA559A" w:rsidRDefault="002E6465" w:rsidP="00074706">
            <w:pPr>
              <w:pStyle w:val="Intro"/>
              <w:jc w:val="right"/>
              <w:rPr>
                <w:b w:val="0"/>
                <w:sz w:val="14"/>
                <w:szCs w:val="14"/>
                <w:lang w:val="fr-FR"/>
              </w:rPr>
            </w:pPr>
          </w:p>
        </w:tc>
        <w:tc>
          <w:tcPr>
            <w:tcW w:w="1035" w:type="dxa"/>
          </w:tcPr>
          <w:p w:rsidR="002E6465" w:rsidRPr="00FA559A" w:rsidRDefault="002E6465" w:rsidP="00074706">
            <w:pPr>
              <w:pStyle w:val="Intro"/>
              <w:jc w:val="right"/>
              <w:rPr>
                <w:b w:val="0"/>
                <w:sz w:val="14"/>
                <w:szCs w:val="14"/>
                <w:lang w:val="fr-FR"/>
              </w:rPr>
            </w:pPr>
          </w:p>
        </w:tc>
        <w:tc>
          <w:tcPr>
            <w:tcW w:w="1088" w:type="dxa"/>
            <w:vAlign w:val="center"/>
          </w:tcPr>
          <w:p w:rsidR="002E6465" w:rsidRPr="00FA559A" w:rsidRDefault="002E6465" w:rsidP="002E6465">
            <w:pPr>
              <w:pStyle w:val="Intro"/>
              <w:jc w:val="right"/>
              <w:rPr>
                <w:b w:val="0"/>
                <w:sz w:val="14"/>
                <w:szCs w:val="14"/>
                <w:lang w:val="fr-FR"/>
              </w:rPr>
            </w:pPr>
            <w:r w:rsidRPr="00FA559A">
              <w:rPr>
                <w:b w:val="0"/>
                <w:sz w:val="14"/>
                <w:szCs w:val="14"/>
                <w:lang w:val="fr-FR"/>
              </w:rPr>
              <w:t>14.6%</w:t>
            </w:r>
          </w:p>
        </w:tc>
        <w:tc>
          <w:tcPr>
            <w:tcW w:w="1015" w:type="dxa"/>
            <w:shd w:val="clear" w:color="auto" w:fill="D9D9D9" w:themeFill="background1" w:themeFillShade="D9"/>
            <w:vAlign w:val="center"/>
          </w:tcPr>
          <w:p w:rsidR="002E6465" w:rsidRPr="00FA559A" w:rsidRDefault="002E6465" w:rsidP="00074706">
            <w:pPr>
              <w:pStyle w:val="Intro"/>
              <w:jc w:val="right"/>
              <w:rPr>
                <w:b w:val="0"/>
                <w:sz w:val="14"/>
                <w:szCs w:val="14"/>
                <w:lang w:val="fr-FR"/>
              </w:rPr>
            </w:pPr>
            <w:r w:rsidRPr="00FA559A">
              <w:rPr>
                <w:b w:val="0"/>
                <w:sz w:val="14"/>
                <w:szCs w:val="14"/>
                <w:lang w:val="fr-FR"/>
              </w:rPr>
              <w:t>14.6%</w:t>
            </w:r>
          </w:p>
        </w:tc>
      </w:tr>
      <w:tr w:rsidR="0082170C" w:rsidRPr="00FA559A" w:rsidTr="003E2A3C">
        <w:trPr>
          <w:trHeight w:val="227"/>
        </w:trPr>
        <w:tc>
          <w:tcPr>
            <w:tcW w:w="5435" w:type="dxa"/>
            <w:tcBorders>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Ratio de levier financier selon Bâle III (à pleine charge)</w:t>
            </w:r>
          </w:p>
        </w:tc>
        <w:tc>
          <w:tcPr>
            <w:tcW w:w="1667"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6.4%</w:t>
            </w:r>
          </w:p>
        </w:tc>
        <w:tc>
          <w:tcPr>
            <w:tcW w:w="1015" w:type="dxa"/>
            <w:tcBorders>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6.3%</w:t>
            </w:r>
          </w:p>
        </w:tc>
      </w:tr>
      <w:tr w:rsidR="0082170C" w:rsidRPr="00FA559A" w:rsidTr="003E2A3C">
        <w:trPr>
          <w:trHeight w:val="227"/>
        </w:trPr>
        <w:tc>
          <w:tcPr>
            <w:tcW w:w="5435"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Risque de crédit</w:t>
            </w:r>
          </w:p>
        </w:tc>
        <w:tc>
          <w:tcPr>
            <w:tcW w:w="1667"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15" w:type="dxa"/>
            <w:tcBorders>
              <w:top w:val="single" w:sz="8" w:space="0" w:color="808080" w:themeColor="background1" w:themeShade="80"/>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p>
        </w:tc>
      </w:tr>
      <w:tr w:rsidR="0082170C" w:rsidRPr="00FA559A" w:rsidTr="003E2A3C">
        <w:trPr>
          <w:trHeight w:val="227"/>
        </w:trPr>
        <w:tc>
          <w:tcPr>
            <w:tcW w:w="5435" w:type="dxa"/>
            <w:tcBorders>
              <w:top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Ratio de coût du crédit</w:t>
            </w:r>
          </w:p>
        </w:tc>
        <w:tc>
          <w:tcPr>
            <w:tcW w:w="1667"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0.42%</w:t>
            </w:r>
          </w:p>
        </w:tc>
        <w:tc>
          <w:tcPr>
            <w:tcW w:w="1015" w:type="dxa"/>
            <w:tcBorders>
              <w:top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0.23%</w:t>
            </w:r>
          </w:p>
        </w:tc>
      </w:tr>
      <w:tr w:rsidR="0082170C" w:rsidRPr="00FA559A" w:rsidTr="003E2A3C">
        <w:trPr>
          <w:trHeight w:val="227"/>
        </w:trPr>
        <w:tc>
          <w:tcPr>
            <w:tcW w:w="5435" w:type="dxa"/>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Ratio de crédits </w:t>
            </w:r>
            <w:proofErr w:type="spellStart"/>
            <w:r w:rsidRPr="00FA559A">
              <w:rPr>
                <w:b w:val="0"/>
                <w:sz w:val="14"/>
                <w:szCs w:val="14"/>
                <w:lang w:val="fr-FR"/>
              </w:rPr>
              <w:t>impaired</w:t>
            </w:r>
            <w:proofErr w:type="spellEnd"/>
            <w:r w:rsidRPr="00FA559A">
              <w:rPr>
                <w:b w:val="0"/>
                <w:sz w:val="14"/>
                <w:szCs w:val="14"/>
                <w:lang w:val="fr-FR"/>
              </w:rPr>
              <w:t xml:space="preserve">     </w:t>
            </w:r>
          </w:p>
        </w:tc>
        <w:tc>
          <w:tcPr>
            <w:tcW w:w="1667" w:type="dxa"/>
            <w:vAlign w:val="center"/>
          </w:tcPr>
          <w:p w:rsidR="0082170C" w:rsidRPr="00FA559A" w:rsidRDefault="0082170C" w:rsidP="003E2A3C">
            <w:pPr>
              <w:pStyle w:val="Intro"/>
              <w:jc w:val="right"/>
              <w:rPr>
                <w:b w:val="0"/>
                <w:sz w:val="14"/>
                <w:szCs w:val="14"/>
                <w:lang w:val="fr-FR"/>
              </w:rPr>
            </w:pPr>
          </w:p>
        </w:tc>
        <w:tc>
          <w:tcPr>
            <w:tcW w:w="1035" w:type="dxa"/>
          </w:tcPr>
          <w:p w:rsidR="0082170C" w:rsidRPr="00FA559A" w:rsidRDefault="0082170C" w:rsidP="003E2A3C">
            <w:pPr>
              <w:pStyle w:val="Intro"/>
              <w:jc w:val="right"/>
              <w:rPr>
                <w:b w:val="0"/>
                <w:sz w:val="14"/>
                <w:szCs w:val="14"/>
                <w:lang w:val="fr-FR"/>
              </w:rPr>
            </w:pPr>
          </w:p>
        </w:tc>
        <w:tc>
          <w:tcPr>
            <w:tcW w:w="1088" w:type="dxa"/>
            <w:vAlign w:val="center"/>
          </w:tcPr>
          <w:p w:rsidR="0082170C" w:rsidRPr="00FA559A" w:rsidRDefault="0082170C" w:rsidP="003E2A3C">
            <w:pPr>
              <w:pStyle w:val="Intro"/>
              <w:jc w:val="right"/>
              <w:rPr>
                <w:b w:val="0"/>
                <w:sz w:val="14"/>
                <w:szCs w:val="14"/>
                <w:lang w:val="fr-FR"/>
              </w:rPr>
            </w:pPr>
            <w:r w:rsidRPr="00FA559A">
              <w:rPr>
                <w:b w:val="0"/>
                <w:sz w:val="14"/>
                <w:szCs w:val="14"/>
                <w:lang w:val="fr-FR"/>
              </w:rPr>
              <w:t>9.9%</w:t>
            </w:r>
          </w:p>
        </w:tc>
        <w:tc>
          <w:tcPr>
            <w:tcW w:w="1015" w:type="dxa"/>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8.6%</w:t>
            </w:r>
          </w:p>
        </w:tc>
      </w:tr>
      <w:tr w:rsidR="0082170C" w:rsidRPr="00FA559A" w:rsidTr="003E2A3C">
        <w:trPr>
          <w:trHeight w:val="227"/>
        </w:trPr>
        <w:tc>
          <w:tcPr>
            <w:tcW w:w="5435" w:type="dxa"/>
            <w:tcBorders>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     pour les crédits présentant un arriéré de plus de 90 jours</w:t>
            </w:r>
          </w:p>
        </w:tc>
        <w:tc>
          <w:tcPr>
            <w:tcW w:w="1667"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5.5%</w:t>
            </w:r>
          </w:p>
        </w:tc>
        <w:tc>
          <w:tcPr>
            <w:tcW w:w="1015" w:type="dxa"/>
            <w:tcBorders>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4.8%</w:t>
            </w:r>
          </w:p>
        </w:tc>
      </w:tr>
      <w:tr w:rsidR="0082170C" w:rsidRPr="00FA559A" w:rsidTr="003E2A3C">
        <w:trPr>
          <w:trHeight w:val="227"/>
        </w:trPr>
        <w:tc>
          <w:tcPr>
            <w:tcW w:w="5435" w:type="dxa"/>
            <w:tcBorders>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Liquidité</w:t>
            </w:r>
          </w:p>
        </w:tc>
        <w:tc>
          <w:tcPr>
            <w:tcW w:w="1667"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15" w:type="dxa"/>
            <w:tcBorders>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highlight w:val="darkGray"/>
                <w:lang w:val="fr-FR"/>
              </w:rPr>
            </w:pPr>
          </w:p>
        </w:tc>
      </w:tr>
      <w:tr w:rsidR="0082170C" w:rsidRPr="00FA559A" w:rsidTr="003E2A3C">
        <w:trPr>
          <w:trHeight w:val="227"/>
        </w:trPr>
        <w:tc>
          <w:tcPr>
            <w:tcW w:w="5435" w:type="dxa"/>
            <w:tcBorders>
              <w:top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 Ratio structurel de liquidité à long terme (NSFR)</w:t>
            </w:r>
          </w:p>
        </w:tc>
        <w:tc>
          <w:tcPr>
            <w:tcW w:w="1667"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top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top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123%</w:t>
            </w:r>
          </w:p>
        </w:tc>
        <w:tc>
          <w:tcPr>
            <w:tcW w:w="1015" w:type="dxa"/>
            <w:tcBorders>
              <w:top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121%</w:t>
            </w:r>
          </w:p>
        </w:tc>
      </w:tr>
      <w:tr w:rsidR="0082170C" w:rsidRPr="00FA559A" w:rsidTr="003E2A3C">
        <w:trPr>
          <w:trHeight w:val="227"/>
        </w:trPr>
        <w:tc>
          <w:tcPr>
            <w:tcW w:w="5435" w:type="dxa"/>
            <w:tcBorders>
              <w:bottom w:val="single" w:sz="8" w:space="0" w:color="808080" w:themeColor="background1" w:themeShade="80"/>
            </w:tcBorders>
            <w:vAlign w:val="center"/>
          </w:tcPr>
          <w:p w:rsidR="0082170C" w:rsidRPr="00FA559A" w:rsidRDefault="0082170C" w:rsidP="003E2A3C">
            <w:pPr>
              <w:pStyle w:val="Intro"/>
              <w:jc w:val="left"/>
              <w:rPr>
                <w:b w:val="0"/>
                <w:sz w:val="14"/>
                <w:szCs w:val="14"/>
                <w:lang w:val="fr-FR"/>
              </w:rPr>
            </w:pPr>
            <w:r w:rsidRPr="00FA559A">
              <w:rPr>
                <w:b w:val="0"/>
                <w:sz w:val="14"/>
                <w:szCs w:val="14"/>
                <w:lang w:val="fr-FR"/>
              </w:rPr>
              <w:t xml:space="preserve"> Ratio de couverture des liquidités (LCR)</w:t>
            </w:r>
          </w:p>
        </w:tc>
        <w:tc>
          <w:tcPr>
            <w:tcW w:w="1667"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p>
        </w:tc>
        <w:tc>
          <w:tcPr>
            <w:tcW w:w="1035" w:type="dxa"/>
            <w:tcBorders>
              <w:bottom w:val="single" w:sz="8" w:space="0" w:color="808080" w:themeColor="background1" w:themeShade="80"/>
            </w:tcBorders>
          </w:tcPr>
          <w:p w:rsidR="0082170C" w:rsidRPr="00FA559A" w:rsidRDefault="0082170C" w:rsidP="003E2A3C">
            <w:pPr>
              <w:pStyle w:val="Intro"/>
              <w:jc w:val="right"/>
              <w:rPr>
                <w:b w:val="0"/>
                <w:sz w:val="14"/>
                <w:szCs w:val="14"/>
                <w:lang w:val="fr-FR"/>
              </w:rPr>
            </w:pPr>
          </w:p>
        </w:tc>
        <w:tc>
          <w:tcPr>
            <w:tcW w:w="1088" w:type="dxa"/>
            <w:tcBorders>
              <w:bottom w:val="single" w:sz="8" w:space="0" w:color="808080" w:themeColor="background1" w:themeShade="80"/>
            </w:tcBorders>
            <w:vAlign w:val="center"/>
          </w:tcPr>
          <w:p w:rsidR="0082170C" w:rsidRPr="00FA559A" w:rsidRDefault="0082170C" w:rsidP="003E2A3C">
            <w:pPr>
              <w:pStyle w:val="Intro"/>
              <w:jc w:val="right"/>
              <w:rPr>
                <w:b w:val="0"/>
                <w:sz w:val="14"/>
                <w:szCs w:val="14"/>
                <w:lang w:val="fr-FR"/>
              </w:rPr>
            </w:pPr>
            <w:r w:rsidRPr="00FA559A">
              <w:rPr>
                <w:b w:val="0"/>
                <w:sz w:val="14"/>
                <w:szCs w:val="14"/>
                <w:lang w:val="fr-FR"/>
              </w:rPr>
              <w:t>120%</w:t>
            </w:r>
          </w:p>
        </w:tc>
        <w:tc>
          <w:tcPr>
            <w:tcW w:w="1015" w:type="dxa"/>
            <w:tcBorders>
              <w:bottom w:val="single" w:sz="8" w:space="0" w:color="808080" w:themeColor="background1" w:themeShade="80"/>
            </w:tcBorders>
            <w:shd w:val="clear" w:color="auto" w:fill="D9D9D9" w:themeFill="background1" w:themeFillShade="D9"/>
            <w:vAlign w:val="center"/>
          </w:tcPr>
          <w:p w:rsidR="0082170C" w:rsidRPr="00FA559A" w:rsidRDefault="0082170C" w:rsidP="003E2A3C">
            <w:pPr>
              <w:pStyle w:val="Intro"/>
              <w:jc w:val="right"/>
              <w:rPr>
                <w:b w:val="0"/>
                <w:sz w:val="14"/>
                <w:szCs w:val="14"/>
                <w:lang w:val="fr-FR"/>
              </w:rPr>
            </w:pPr>
            <w:r w:rsidRPr="00FA559A">
              <w:rPr>
                <w:b w:val="0"/>
                <w:sz w:val="14"/>
                <w:szCs w:val="14"/>
                <w:lang w:val="fr-FR"/>
              </w:rPr>
              <w:t>127%</w:t>
            </w:r>
          </w:p>
        </w:tc>
      </w:tr>
      <w:tr w:rsidR="0082170C" w:rsidRPr="00FA559A" w:rsidTr="003E2A3C">
        <w:trPr>
          <w:trHeight w:val="217"/>
        </w:trPr>
        <w:tc>
          <w:tcPr>
            <w:tcW w:w="10240" w:type="dxa"/>
            <w:gridSpan w:val="5"/>
            <w:tcBorders>
              <w:top w:val="single" w:sz="8" w:space="0" w:color="808080" w:themeColor="background1" w:themeShade="80"/>
            </w:tcBorders>
          </w:tcPr>
          <w:p w:rsidR="0082170C" w:rsidRPr="00FA559A" w:rsidRDefault="0082170C" w:rsidP="003E2A3C">
            <w:pPr>
              <w:pStyle w:val="Intro"/>
              <w:ind w:left="34" w:hanging="108"/>
              <w:jc w:val="left"/>
              <w:rPr>
                <w:b w:val="0"/>
                <w:color w:val="808080" w:themeColor="background1" w:themeShade="80"/>
                <w:sz w:val="12"/>
                <w:szCs w:val="12"/>
                <w:lang w:val="fr-FR"/>
              </w:rPr>
            </w:pPr>
            <w:r w:rsidRPr="00FA559A">
              <w:rPr>
                <w:b w:val="0"/>
                <w:color w:val="808080" w:themeColor="background1" w:themeShade="80"/>
                <w:sz w:val="12"/>
                <w:szCs w:val="12"/>
                <w:lang w:val="fr-FR"/>
              </w:rPr>
              <w:t>* En cas de paiement d’un coupon sur les titres de capital de base vendus au gouvernement régional flamand et/ou les instruments additionnels Tier-1 inclus dans les capitaux propres, il sera déduit du numérateur (</w:t>
            </w:r>
            <w:r w:rsidRPr="00FA559A">
              <w:rPr>
                <w:b w:val="0"/>
                <w:i/>
                <w:color w:val="808080" w:themeColor="background1" w:themeShade="80"/>
                <w:sz w:val="12"/>
                <w:szCs w:val="12"/>
                <w:lang w:val="fr-FR"/>
              </w:rPr>
              <w:t>au prorata</w:t>
            </w:r>
            <w:r w:rsidRPr="00FA559A">
              <w:rPr>
                <w:b w:val="0"/>
                <w:color w:val="808080" w:themeColor="background1" w:themeShade="80"/>
                <w:sz w:val="12"/>
                <w:szCs w:val="12"/>
                <w:lang w:val="fr-FR"/>
              </w:rPr>
              <w:t>)</w:t>
            </w:r>
            <w:r w:rsidRPr="00FA559A">
              <w:rPr>
                <w:rFonts w:cs="Arial"/>
                <w:b w:val="0"/>
                <w:color w:val="808080" w:themeColor="background1" w:themeShade="80"/>
                <w:sz w:val="12"/>
                <w:szCs w:val="12"/>
                <w:lang w:val="fr-FR"/>
              </w:rPr>
              <w:t>.</w:t>
            </w:r>
          </w:p>
        </w:tc>
      </w:tr>
    </w:tbl>
    <w:p w:rsidR="0082170C" w:rsidRPr="00FA559A" w:rsidRDefault="0082170C" w:rsidP="0082170C">
      <w:pPr>
        <w:rPr>
          <w:rFonts w:ascii="Arial" w:hAnsi="Arial" w:cs="Arial"/>
          <w:sz w:val="8"/>
          <w:szCs w:val="8"/>
          <w:lang w:val="fr-FR"/>
        </w:rPr>
      </w:pPr>
    </w:p>
    <w:p w:rsidR="0082170C" w:rsidRPr="00FA559A" w:rsidRDefault="0082170C" w:rsidP="0082170C">
      <w:pPr>
        <w:spacing w:after="200" w:line="276" w:lineRule="auto"/>
        <w:rPr>
          <w:rFonts w:ascii="Arial" w:hAnsi="Arial" w:cs="Arial"/>
          <w:sz w:val="8"/>
          <w:szCs w:val="8"/>
          <w:lang w:val="fr-FR"/>
        </w:rPr>
      </w:pPr>
    </w:p>
    <w:p w:rsidR="0082170C" w:rsidRPr="00FA559A" w:rsidRDefault="0082170C" w:rsidP="0082170C">
      <w:pPr>
        <w:spacing w:after="120"/>
        <w:jc w:val="both"/>
        <w:rPr>
          <w:rFonts w:ascii="Rockwell" w:hAnsi="Rockwell" w:cs="Arial"/>
          <w:b/>
          <w:color w:val="00B0F0"/>
          <w:sz w:val="28"/>
          <w:szCs w:val="28"/>
          <w:lang w:val="fr-FR"/>
        </w:rPr>
      </w:pPr>
      <w:r w:rsidRPr="00FA559A">
        <w:rPr>
          <w:rFonts w:ascii="Rockwell" w:hAnsi="Rockwell" w:cs="Arial"/>
          <w:b/>
          <w:color w:val="00B0F0"/>
          <w:sz w:val="28"/>
          <w:szCs w:val="28"/>
          <w:lang w:val="fr-FR"/>
        </w:rPr>
        <w:t>Déclaration relative aux risques</w:t>
      </w:r>
    </w:p>
    <w:p w:rsidR="0082170C" w:rsidRPr="00FA559A" w:rsidRDefault="0082170C" w:rsidP="00EC1345">
      <w:pPr>
        <w:pStyle w:val="ListParagraph"/>
        <w:numPr>
          <w:ilvl w:val="0"/>
          <w:numId w:val="27"/>
        </w:numPr>
        <w:spacing w:after="120" w:line="276" w:lineRule="auto"/>
        <w:rPr>
          <w:rFonts w:asciiTheme="minorHAnsi" w:hAnsiTheme="minorHAnsi" w:cs="Arial"/>
          <w:sz w:val="22"/>
          <w:szCs w:val="22"/>
          <w:lang w:val="fr-FR"/>
        </w:rPr>
      </w:pPr>
      <w:r w:rsidRPr="00FA559A">
        <w:rPr>
          <w:rFonts w:asciiTheme="minorHAnsi" w:hAnsiTheme="minorHAnsi" w:cs="Arial"/>
          <w:sz w:val="22"/>
          <w:szCs w:val="22"/>
          <w:lang w:val="fr-FR"/>
        </w:rPr>
        <w:t xml:space="preserve">Nos activités étant principalement axées sur la banque, l’assurance et la gestion d’actifs, nous nous exposons à certains risques typiques pour ces domaines financiers tels que, mais sans s’y limiter, les risques de défaut de crédit, les risques de contrepartie, le risque de concentration, les fluctuations des taux d’intérêt, les risques de change, les risques de liquidité et de financement, les risques d’assurance, l’évolution de la réglementation, les risques opérationnels, les litiges avec les clients, la concurrence d’autres acteurs et de nouveaux opérateurs ainsi que les risques économiques en général. Bien que surveillés de près et gérés par KBC dans le cadre strict de règles de gouvernance et limites, ces risques peuvent avoir une incidence négative sur la valeur des actifs ou occasionner des charges supplémentaires excédant les prévisions. </w:t>
      </w:r>
    </w:p>
    <w:p w:rsidR="0082170C" w:rsidRPr="00FA559A" w:rsidRDefault="0082170C" w:rsidP="00EC1345">
      <w:pPr>
        <w:pStyle w:val="ListParagraph"/>
        <w:numPr>
          <w:ilvl w:val="0"/>
          <w:numId w:val="27"/>
        </w:numPr>
        <w:spacing w:after="120" w:line="276" w:lineRule="auto"/>
        <w:rPr>
          <w:rFonts w:asciiTheme="minorHAnsi" w:hAnsiTheme="minorHAnsi" w:cs="Arial"/>
          <w:sz w:val="22"/>
          <w:szCs w:val="22"/>
          <w:lang w:val="fr-FR"/>
        </w:rPr>
      </w:pPr>
      <w:r w:rsidRPr="00FA559A">
        <w:rPr>
          <w:rFonts w:asciiTheme="minorHAnsi" w:hAnsiTheme="minorHAnsi" w:cs="Arial"/>
          <w:sz w:val="22"/>
          <w:szCs w:val="22"/>
          <w:lang w:val="fr-FR"/>
        </w:rPr>
        <w:t xml:space="preserve">À l’heure actuelle, nous estimons qu’un certain nombre d’éléments constituent le principal défi pour le secteur financier en général et affectent en conséquence aussi KBC. Les exigences accrues en matière de capital sont un thème dominant pour l’industrie et des initiatives réglementaires sont attendues dans ce domaine : modèles de risques, seuils applicables aux actifs pondérés des risques, réserves de fonds propres systémiques et autres, exigence minimale de fonds propres et passifs éligibles (MREL), etc. Outre ces facteurs, l’environnement de bas taux d’intérêt reste problématique. Si cette phase de faibles taux devait perdurer, la rentabilité à long terme des banques, et notamment des assureurs, serait soumise à forte pression. Enfin, les risques opérationnels et – tout particulièrement – les cyber-risques </w:t>
      </w:r>
      <w:r w:rsidRPr="00FA559A">
        <w:rPr>
          <w:rFonts w:asciiTheme="minorHAnsi" w:hAnsiTheme="minorHAnsi" w:cs="Arial"/>
          <w:sz w:val="22"/>
          <w:szCs w:val="22"/>
          <w:lang w:val="fr-FR"/>
        </w:rPr>
        <w:lastRenderedPageBreak/>
        <w:t>sont devenus l’une des principales menaces ces dernières années, pas uniquement pour le secteur financier, mais pour l’ensemble de l’économie.</w:t>
      </w:r>
    </w:p>
    <w:p w:rsidR="0082170C" w:rsidRPr="00FA559A" w:rsidRDefault="0082170C" w:rsidP="00EC1345">
      <w:pPr>
        <w:pStyle w:val="ListParagraph"/>
        <w:numPr>
          <w:ilvl w:val="0"/>
          <w:numId w:val="27"/>
        </w:numPr>
        <w:spacing w:after="120" w:line="276" w:lineRule="auto"/>
        <w:rPr>
          <w:rFonts w:asciiTheme="minorHAnsi" w:hAnsiTheme="minorHAnsi" w:cs="Arial"/>
          <w:sz w:val="22"/>
          <w:szCs w:val="22"/>
          <w:lang w:val="fr-FR"/>
        </w:rPr>
      </w:pPr>
      <w:r w:rsidRPr="00FA559A">
        <w:rPr>
          <w:rFonts w:asciiTheme="minorHAnsi" w:hAnsiTheme="minorHAnsi" w:cs="Arial"/>
          <w:sz w:val="22"/>
          <w:szCs w:val="22"/>
          <w:lang w:val="fr-FR"/>
        </w:rPr>
        <w:t xml:space="preserve">Les données relatives à la gestion des risques sont reproduites dans nos rapports annuels, les Extended </w:t>
      </w:r>
      <w:proofErr w:type="spellStart"/>
      <w:r w:rsidRPr="00FA559A">
        <w:rPr>
          <w:rFonts w:asciiTheme="minorHAnsi" w:hAnsiTheme="minorHAnsi" w:cs="Arial"/>
          <w:sz w:val="22"/>
          <w:szCs w:val="22"/>
          <w:lang w:val="fr-FR"/>
        </w:rPr>
        <w:t>Quarterly</w:t>
      </w:r>
      <w:proofErr w:type="spellEnd"/>
      <w:r w:rsidRPr="00FA559A">
        <w:rPr>
          <w:rFonts w:asciiTheme="minorHAnsi" w:hAnsiTheme="minorHAnsi" w:cs="Arial"/>
          <w:sz w:val="22"/>
          <w:szCs w:val="22"/>
          <w:lang w:val="fr-FR"/>
        </w:rPr>
        <w:t xml:space="preserve"> Reports et les </w:t>
      </w:r>
      <w:proofErr w:type="spellStart"/>
      <w:r w:rsidRPr="00FA559A">
        <w:rPr>
          <w:rFonts w:asciiTheme="minorHAnsi" w:hAnsiTheme="minorHAnsi" w:cs="Arial"/>
          <w:sz w:val="22"/>
          <w:szCs w:val="22"/>
          <w:lang w:val="fr-FR"/>
        </w:rPr>
        <w:t>Risk</w:t>
      </w:r>
      <w:proofErr w:type="spellEnd"/>
      <w:r w:rsidRPr="00FA559A">
        <w:rPr>
          <w:rFonts w:asciiTheme="minorHAnsi" w:hAnsiTheme="minorHAnsi" w:cs="Arial"/>
          <w:sz w:val="22"/>
          <w:szCs w:val="22"/>
          <w:lang w:val="fr-FR"/>
        </w:rPr>
        <w:t xml:space="preserve"> Reports, tous disponibles sur le site www.kbc.com. </w:t>
      </w:r>
    </w:p>
    <w:p w:rsidR="0082170C" w:rsidRPr="00FA559A" w:rsidRDefault="0082170C" w:rsidP="00EC1345">
      <w:pPr>
        <w:pStyle w:val="ListParagraph"/>
        <w:numPr>
          <w:ilvl w:val="0"/>
          <w:numId w:val="27"/>
        </w:numPr>
        <w:spacing w:after="120" w:line="276" w:lineRule="auto"/>
        <w:rPr>
          <w:rFonts w:asciiTheme="minorHAnsi" w:hAnsiTheme="minorHAnsi" w:cs="Arial"/>
          <w:sz w:val="22"/>
          <w:szCs w:val="22"/>
          <w:lang w:val="fr-FR"/>
        </w:rPr>
      </w:pPr>
      <w:r w:rsidRPr="00FA559A">
        <w:rPr>
          <w:rFonts w:asciiTheme="minorHAnsi" w:hAnsiTheme="minorHAnsi" w:cs="Arial"/>
          <w:sz w:val="22"/>
          <w:szCs w:val="22"/>
          <w:lang w:val="fr-FR"/>
        </w:rPr>
        <w:t>Depuis le début de l’année 2016, les incertitudes demeurent sur les marchés financiers, les marchés des actions continuent de corriger et les rendements obligataires de référence poursuivent leur repli. En janvier, le cours du Brent est temporairement tombé en deçà de 30 USD le baril, entraînant l’inflation à des niveaux plus faibles que prévu. Par conséquent, la BCE devrait encore assouplir sa politique monétaire, très probablement via un nouvel abaissement du taux d'intérêt de la facilité de dépôt. La Fed devrait quant à elle poursuivre sur la voie d’une normalisation prudente des taux d’intérêt en 2016. Sous l’effet de cette divergence de politique entre la Fed et la BCE, l’euro devrait se déprécier légèrement face au dollar américain sur l’année.</w:t>
      </w:r>
    </w:p>
    <w:p w:rsidR="0082170C" w:rsidRPr="00FA559A" w:rsidRDefault="0082170C" w:rsidP="00EC1345">
      <w:pPr>
        <w:pStyle w:val="ListParagraph"/>
        <w:numPr>
          <w:ilvl w:val="0"/>
          <w:numId w:val="27"/>
        </w:numPr>
        <w:spacing w:after="120" w:line="276" w:lineRule="auto"/>
        <w:rPr>
          <w:rFonts w:asciiTheme="minorHAnsi" w:hAnsiTheme="minorHAnsi" w:cs="Arial"/>
          <w:sz w:val="22"/>
          <w:szCs w:val="22"/>
          <w:lang w:val="fr-FR"/>
        </w:rPr>
      </w:pPr>
      <w:r w:rsidRPr="00FA559A">
        <w:rPr>
          <w:rFonts w:asciiTheme="minorHAnsi" w:hAnsiTheme="minorHAnsi" w:cs="Arial"/>
          <w:sz w:val="22"/>
          <w:szCs w:val="22"/>
          <w:lang w:val="fr-FR"/>
        </w:rPr>
        <w:t xml:space="preserve">La faible inflation, la politique monétaire accommodante et les craintes de ralentissement de la croissance mondiale maintiendront les rendements obligataires à bas niveau en 2016. Ils augmenteront très graduellement uniquement lorsque le taux de chômage dans la zone euro aura suffisamment diminué pour engendrer des progressions de salaires durables et lorsque l’impact de l’effondrement des prix du pétrole commencera à s’effacer du taux d’inflation annuel. Nous anticipons que les prix du pétrole repartiront en hausse progressive au deuxième semestre 2016. En dépit des turbulences persistantes attendues sur les marchés émergents, nous estimons que 2016 sera une année de croissance économique soutenue aussi bien dans la zone euro qu’aux États-Unis, avec un taux de progression globalement similaire à celui de 2015. Faute de contribution marquée du commerce international, cette croissance sera essentiellement alimentée par la demande intérieure.   </w:t>
      </w:r>
    </w:p>
    <w:p w:rsidR="0082170C" w:rsidRPr="00FA559A" w:rsidRDefault="0082170C" w:rsidP="0082170C">
      <w:pPr>
        <w:spacing w:after="120" w:line="276" w:lineRule="auto"/>
        <w:rPr>
          <w:rFonts w:asciiTheme="minorHAnsi" w:hAnsiTheme="minorHAnsi" w:cs="Arial"/>
          <w:sz w:val="22"/>
          <w:szCs w:val="22"/>
          <w:lang w:val="fr-FR"/>
        </w:rPr>
      </w:pPr>
    </w:p>
    <w:p w:rsidR="00C53B1A" w:rsidRPr="00FA559A" w:rsidRDefault="00C53B1A"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3E2A3C" w:rsidRPr="00FA559A" w:rsidRDefault="003E2A3C" w:rsidP="00B91016">
      <w:pPr>
        <w:spacing w:after="120" w:line="276" w:lineRule="auto"/>
        <w:rPr>
          <w:rFonts w:ascii="Rockwell" w:hAnsi="Rockwell" w:cs="Arial"/>
          <w:b/>
          <w:color w:val="00B0F0"/>
          <w:sz w:val="28"/>
          <w:szCs w:val="28"/>
          <w:lang w:val="fr-FR"/>
        </w:rPr>
      </w:pPr>
    </w:p>
    <w:p w:rsidR="0082170C" w:rsidRPr="00FA559A" w:rsidRDefault="0082170C" w:rsidP="0082170C">
      <w:pPr>
        <w:autoSpaceDE w:val="0"/>
        <w:autoSpaceDN w:val="0"/>
        <w:adjustRightInd w:val="0"/>
        <w:spacing w:after="120"/>
        <w:jc w:val="both"/>
        <w:rPr>
          <w:rFonts w:ascii="Rockwell" w:hAnsi="Rockwell" w:cs="Arial"/>
          <w:b/>
          <w:color w:val="00B0F0"/>
          <w:sz w:val="28"/>
          <w:szCs w:val="28"/>
          <w:lang w:val="fr-FR"/>
        </w:rPr>
      </w:pPr>
      <w:r w:rsidRPr="00FA559A">
        <w:rPr>
          <w:rFonts w:ascii="Rockwell" w:hAnsi="Rockwell" w:cs="Arial"/>
          <w:b/>
          <w:color w:val="00B0F0"/>
          <w:sz w:val="28"/>
          <w:szCs w:val="28"/>
          <w:lang w:val="fr-FR"/>
        </w:rPr>
        <w:t>Informations complémentaires</w:t>
      </w:r>
    </w:p>
    <w:p w:rsidR="0082170C" w:rsidRPr="00FA559A" w:rsidRDefault="0082170C" w:rsidP="0082170C">
      <w:pPr>
        <w:pStyle w:val="ListParagraph"/>
        <w:numPr>
          <w:ilvl w:val="0"/>
          <w:numId w:val="19"/>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 xml:space="preserve">Notre commissaire a confirmé que ses procédures de révision des comptes annuels consolidés, établis conformément au référentiel des Normes internationales d’information financière telles qu’adoptées dans l’Union européenne, sont terminées quant au fond et n’ont pas révélé de correction significative qui devrait être apportée aux données comptables, reprises des comptes annuels consolidés et présentées dans ce communiqué. </w:t>
      </w:r>
    </w:p>
    <w:p w:rsidR="0082170C" w:rsidRPr="00FA559A" w:rsidRDefault="0082170C" w:rsidP="0082170C">
      <w:pPr>
        <w:pStyle w:val="ListParagraph"/>
        <w:numPr>
          <w:ilvl w:val="0"/>
          <w:numId w:val="18"/>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Lors de l’Assemblée annuelle des Actionnaires, il sera proposé qu’aucun dividende ne soit versé au titre de l’exercice financier 2015 en 2016.</w:t>
      </w:r>
    </w:p>
    <w:p w:rsidR="0082170C" w:rsidRPr="00FA559A" w:rsidRDefault="0082170C" w:rsidP="0082170C">
      <w:pPr>
        <w:pStyle w:val="ListParagraph"/>
        <w:numPr>
          <w:ilvl w:val="0"/>
          <w:numId w:val="18"/>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Calendrier financier 2015 :</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 xml:space="preserve">31 mars 2016 : Rapport annuel et </w:t>
      </w:r>
      <w:proofErr w:type="spellStart"/>
      <w:r w:rsidRPr="00FA559A">
        <w:rPr>
          <w:rFonts w:asciiTheme="minorHAnsi" w:eastAsiaTheme="minorHAnsi" w:hAnsiTheme="minorHAnsi" w:cs="Arial"/>
          <w:sz w:val="22"/>
          <w:szCs w:val="22"/>
          <w:lang w:val="fr-FR"/>
        </w:rPr>
        <w:t>Risk</w:t>
      </w:r>
      <w:proofErr w:type="spellEnd"/>
      <w:r w:rsidRPr="00FA559A">
        <w:rPr>
          <w:rFonts w:asciiTheme="minorHAnsi" w:eastAsiaTheme="minorHAnsi" w:hAnsiTheme="minorHAnsi" w:cs="Arial"/>
          <w:sz w:val="22"/>
          <w:szCs w:val="22"/>
          <w:lang w:val="fr-FR"/>
        </w:rPr>
        <w:t xml:space="preserve"> Report 2015</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7 mai 2016 : Assemblée annuelle</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12 mai 2016 : Publication des résultats du 1er trimestre 2016</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11 août 2016 : Publication des résultats du 2e trimestre 2016</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17 novembre 2016 : Publication des résultats du 3e trimestre 2016</w:t>
      </w:r>
    </w:p>
    <w:p w:rsidR="0082170C" w:rsidRPr="00FA559A" w:rsidRDefault="0082170C" w:rsidP="0082170C">
      <w:pPr>
        <w:pStyle w:val="ListParagraph"/>
        <w:numPr>
          <w:ilvl w:val="1"/>
          <w:numId w:val="13"/>
        </w:numPr>
        <w:autoSpaceDE w:val="0"/>
        <w:autoSpaceDN w:val="0"/>
        <w:adjustRightInd w:val="0"/>
        <w:spacing w:after="120"/>
        <w:jc w:val="both"/>
        <w:rPr>
          <w:rFonts w:asciiTheme="minorHAnsi" w:eastAsiaTheme="minorHAnsi" w:hAnsiTheme="minorHAnsi" w:cs="Arial"/>
          <w:sz w:val="22"/>
          <w:szCs w:val="22"/>
          <w:lang w:val="fr-FR"/>
        </w:rPr>
      </w:pPr>
      <w:r w:rsidRPr="00FA559A">
        <w:rPr>
          <w:rFonts w:asciiTheme="minorHAnsi" w:eastAsiaTheme="minorHAnsi" w:hAnsiTheme="minorHAnsi" w:cs="Arial"/>
          <w:sz w:val="22"/>
          <w:szCs w:val="22"/>
          <w:lang w:val="fr-FR"/>
        </w:rPr>
        <w:t>9 février 2017 : Publication des résultats du 4e trimestre 2016</w:t>
      </w:r>
    </w:p>
    <w:p w:rsidR="00CF1F2D" w:rsidRPr="00FA559A" w:rsidRDefault="00CF1F2D" w:rsidP="0082170C">
      <w:pPr>
        <w:pStyle w:val="ListParagraph"/>
        <w:autoSpaceDE w:val="0"/>
        <w:autoSpaceDN w:val="0"/>
        <w:adjustRightInd w:val="0"/>
        <w:spacing w:after="120"/>
        <w:ind w:left="1440"/>
        <w:jc w:val="both"/>
        <w:rPr>
          <w:rFonts w:asciiTheme="minorHAnsi" w:hAnsiTheme="minorHAnsi" w:cs="Arial"/>
          <w:color w:val="000000"/>
          <w:sz w:val="22"/>
          <w:szCs w:val="22"/>
          <w:lang w:val="fr-FR"/>
        </w:rPr>
      </w:pPr>
    </w:p>
    <w:p w:rsidR="00543B3A" w:rsidRPr="00FA559A" w:rsidRDefault="00543B3A" w:rsidP="006F1325">
      <w:pPr>
        <w:ind w:left="426" w:hanging="426"/>
        <w:rPr>
          <w:rFonts w:asciiTheme="minorHAnsi" w:hAnsiTheme="minorHAnsi" w:cs="Arial"/>
          <w:sz w:val="22"/>
          <w:szCs w:val="22"/>
          <w:lang w:val="fr-FR"/>
        </w:rPr>
      </w:pPr>
    </w:p>
    <w:p w:rsidR="00C53B1A" w:rsidRPr="00FA559A" w:rsidRDefault="00C53B1A"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9A7B37" w:rsidRPr="00FA559A" w:rsidRDefault="009A7B37" w:rsidP="006F1325">
      <w:pPr>
        <w:ind w:left="426" w:hanging="426"/>
        <w:rPr>
          <w:rFonts w:asciiTheme="minorHAnsi" w:hAnsiTheme="minorHAnsi" w:cs="Arial"/>
          <w:sz w:val="22"/>
          <w:szCs w:val="22"/>
          <w:lang w:val="fr-FR"/>
        </w:rPr>
      </w:pPr>
    </w:p>
    <w:p w:rsidR="005B17ED" w:rsidRPr="00FA559A" w:rsidRDefault="005B17ED" w:rsidP="005B17ED">
      <w:pPr>
        <w:ind w:left="426" w:hanging="426"/>
        <w:rPr>
          <w:rFonts w:asciiTheme="minorHAnsi" w:hAnsiTheme="minorHAnsi" w:cs="Arial"/>
          <w:sz w:val="16"/>
          <w:szCs w:val="16"/>
          <w:lang w:val="fr-FR"/>
        </w:rPr>
      </w:pPr>
    </w:p>
    <w:p w:rsidR="005B17ED" w:rsidRPr="00FA559A" w:rsidRDefault="005B17ED" w:rsidP="005B17ED">
      <w:pPr>
        <w:autoSpaceDE w:val="0"/>
        <w:autoSpaceDN w:val="0"/>
        <w:adjustRightInd w:val="0"/>
        <w:spacing w:after="120"/>
        <w:ind w:right="4"/>
        <w:rPr>
          <w:rFonts w:asciiTheme="minorHAnsi" w:hAnsiTheme="minorHAnsi" w:cs="Arial"/>
          <w:b/>
          <w:bCs/>
          <w:color w:val="003768"/>
          <w:sz w:val="16"/>
          <w:szCs w:val="16"/>
          <w:lang w:val="fr-FR" w:eastAsia="nl-BE"/>
        </w:rPr>
      </w:pPr>
      <w:r w:rsidRPr="00FA559A">
        <w:rPr>
          <w:rFonts w:asciiTheme="minorHAnsi" w:hAnsiTheme="minorHAnsi" w:cs="Arial"/>
          <w:b/>
          <w:bCs/>
          <w:color w:val="003768"/>
          <w:sz w:val="16"/>
          <w:szCs w:val="16"/>
          <w:lang w:val="fr-FR" w:eastAsia="nl-BE"/>
        </w:rPr>
        <w:t>Pour tout complément d’information, veuillez contacter :</w:t>
      </w:r>
    </w:p>
    <w:p w:rsidR="005B17ED" w:rsidRPr="00FA559A" w:rsidRDefault="005B17ED" w:rsidP="005B17ED">
      <w:pPr>
        <w:autoSpaceDE w:val="0"/>
        <w:autoSpaceDN w:val="0"/>
        <w:adjustRightInd w:val="0"/>
        <w:ind w:right="4"/>
        <w:rPr>
          <w:rFonts w:asciiTheme="minorHAnsi" w:hAnsiTheme="minorHAnsi" w:cs="Arial"/>
          <w:b/>
          <w:bCs/>
          <w:color w:val="003768"/>
          <w:sz w:val="16"/>
          <w:szCs w:val="16"/>
          <w:lang w:val="fr-FR" w:eastAsia="nl-BE"/>
        </w:rPr>
      </w:pPr>
      <w:r w:rsidRPr="00FA559A">
        <w:rPr>
          <w:rFonts w:asciiTheme="minorHAnsi" w:hAnsiTheme="minorHAnsi"/>
          <w:color w:val="003768"/>
          <w:sz w:val="16"/>
          <w:szCs w:val="16"/>
          <w:lang w:val="fr-FR" w:eastAsia="nl-BE"/>
        </w:rPr>
        <w:t xml:space="preserve">Wim Allegaert, Directeur </w:t>
      </w:r>
      <w:proofErr w:type="spellStart"/>
      <w:r w:rsidRPr="00FA559A">
        <w:rPr>
          <w:rFonts w:asciiTheme="minorHAnsi" w:hAnsiTheme="minorHAnsi"/>
          <w:color w:val="003768"/>
          <w:sz w:val="16"/>
          <w:szCs w:val="16"/>
          <w:lang w:val="fr-FR" w:eastAsia="nl-BE"/>
        </w:rPr>
        <w:t>Investor</w:t>
      </w:r>
      <w:proofErr w:type="spellEnd"/>
      <w:r w:rsidRPr="00FA559A">
        <w:rPr>
          <w:rFonts w:asciiTheme="minorHAnsi" w:hAnsiTheme="minorHAnsi"/>
          <w:color w:val="003768"/>
          <w:sz w:val="16"/>
          <w:szCs w:val="16"/>
          <w:lang w:val="fr-FR" w:eastAsia="nl-BE"/>
        </w:rPr>
        <w:t xml:space="preserve"> Relations, KBC Groupe</w:t>
      </w:r>
    </w:p>
    <w:p w:rsidR="005B17ED" w:rsidRPr="00FA559A" w:rsidRDefault="005B17ED" w:rsidP="005B17ED">
      <w:pPr>
        <w:pStyle w:val="NoSpacing"/>
        <w:spacing w:after="120"/>
        <w:rPr>
          <w:rFonts w:asciiTheme="minorHAnsi" w:hAnsiTheme="minorHAnsi"/>
          <w:sz w:val="16"/>
          <w:szCs w:val="16"/>
          <w:lang w:val="fr-FR"/>
        </w:rPr>
      </w:pPr>
      <w:r w:rsidRPr="00FA559A">
        <w:rPr>
          <w:rFonts w:asciiTheme="minorHAnsi" w:hAnsiTheme="minorHAnsi"/>
          <w:color w:val="003768"/>
          <w:sz w:val="16"/>
          <w:szCs w:val="16"/>
          <w:lang w:val="fr-FR"/>
        </w:rPr>
        <w:t>Tel +32 2 429 50 51  - E-mail :</w:t>
      </w:r>
      <w:r w:rsidRPr="00FA559A">
        <w:rPr>
          <w:rFonts w:asciiTheme="minorHAnsi" w:hAnsiTheme="minorHAnsi"/>
          <w:sz w:val="16"/>
          <w:szCs w:val="16"/>
          <w:lang w:val="fr-FR"/>
        </w:rPr>
        <w:t xml:space="preserve"> </w:t>
      </w:r>
      <w:hyperlink r:id="rId12" w:history="1">
        <w:r w:rsidRPr="00FA559A">
          <w:rPr>
            <w:rStyle w:val="Hyperlink"/>
            <w:rFonts w:asciiTheme="minorHAnsi" w:hAnsiTheme="minorHAnsi" w:cs="Arial"/>
            <w:color w:val="00AEEF"/>
            <w:sz w:val="16"/>
            <w:szCs w:val="16"/>
            <w:lang w:val="fr-FR"/>
          </w:rPr>
          <w:t>wim.allegaert@kbc.be</w:t>
        </w:r>
      </w:hyperlink>
    </w:p>
    <w:p w:rsidR="005B17ED" w:rsidRPr="00FA559A" w:rsidRDefault="005B17ED" w:rsidP="005B17ED">
      <w:pPr>
        <w:pStyle w:val="NoSpacing"/>
        <w:rPr>
          <w:rFonts w:asciiTheme="minorHAnsi" w:hAnsiTheme="minorHAnsi"/>
          <w:color w:val="00AEEF"/>
          <w:sz w:val="16"/>
          <w:szCs w:val="16"/>
          <w:lang w:val="fr-FR"/>
        </w:rPr>
      </w:pPr>
      <w:r w:rsidRPr="00FA559A">
        <w:rPr>
          <w:rFonts w:asciiTheme="minorHAnsi" w:hAnsiTheme="minorHAnsi" w:cs="Arial"/>
          <w:color w:val="003768"/>
          <w:sz w:val="16"/>
          <w:szCs w:val="16"/>
          <w:lang w:val="fr-FR" w:eastAsia="nl-BE"/>
        </w:rPr>
        <w:t xml:space="preserve">Viviane Huybrecht, Directeur Communication </w:t>
      </w:r>
      <w:proofErr w:type="spellStart"/>
      <w:r w:rsidRPr="00FA559A">
        <w:rPr>
          <w:rFonts w:asciiTheme="minorHAnsi" w:hAnsiTheme="minorHAnsi" w:cs="Arial"/>
          <w:color w:val="003768"/>
          <w:sz w:val="16"/>
          <w:szCs w:val="16"/>
          <w:lang w:val="fr-FR" w:eastAsia="nl-BE"/>
        </w:rPr>
        <w:t>Corporate</w:t>
      </w:r>
      <w:proofErr w:type="spellEnd"/>
      <w:r w:rsidRPr="00FA559A">
        <w:rPr>
          <w:rFonts w:asciiTheme="minorHAnsi" w:hAnsiTheme="minorHAnsi" w:cs="Arial"/>
          <w:color w:val="003768"/>
          <w:sz w:val="16"/>
          <w:szCs w:val="16"/>
          <w:lang w:val="fr-FR" w:eastAsia="nl-BE"/>
        </w:rPr>
        <w:t xml:space="preserve"> / Porte-parole KBC Groupe</w:t>
      </w:r>
    </w:p>
    <w:p w:rsidR="005B17ED" w:rsidRPr="00FA559A" w:rsidRDefault="005B17ED" w:rsidP="005B17ED">
      <w:pPr>
        <w:autoSpaceDE w:val="0"/>
        <w:autoSpaceDN w:val="0"/>
        <w:adjustRightInd w:val="0"/>
        <w:ind w:right="4"/>
        <w:rPr>
          <w:rFonts w:asciiTheme="minorHAnsi" w:hAnsiTheme="minorHAnsi" w:cs="Arial"/>
          <w:sz w:val="16"/>
          <w:szCs w:val="16"/>
          <w:lang w:val="fr-FR"/>
        </w:rPr>
      </w:pPr>
      <w:r w:rsidRPr="00FA559A">
        <w:rPr>
          <w:rFonts w:asciiTheme="minorHAnsi" w:hAnsiTheme="minorHAnsi" w:cs="Arial"/>
          <w:color w:val="003768"/>
          <w:sz w:val="16"/>
          <w:szCs w:val="16"/>
          <w:lang w:val="fr-FR"/>
        </w:rPr>
        <w:t>Tel +32 2 429 85 45  - E-mail :</w:t>
      </w:r>
      <w:r w:rsidRPr="00FA559A">
        <w:rPr>
          <w:rFonts w:asciiTheme="minorHAnsi" w:hAnsiTheme="minorHAnsi" w:cs="Arial"/>
          <w:sz w:val="16"/>
          <w:szCs w:val="16"/>
          <w:lang w:val="fr-FR"/>
        </w:rPr>
        <w:t xml:space="preserve"> </w:t>
      </w:r>
      <w:hyperlink r:id="rId13" w:history="1">
        <w:r w:rsidRPr="00FA559A">
          <w:rPr>
            <w:rStyle w:val="Hyperlink"/>
            <w:rFonts w:asciiTheme="minorHAnsi" w:hAnsiTheme="minorHAnsi" w:cs="Arial"/>
            <w:color w:val="00AEEF"/>
            <w:sz w:val="16"/>
            <w:szCs w:val="16"/>
            <w:lang w:val="fr-FR"/>
          </w:rPr>
          <w:t>pressofficekbc@kbc.be</w:t>
        </w:r>
      </w:hyperlink>
    </w:p>
    <w:p w:rsidR="005B17ED" w:rsidRPr="00FA559A" w:rsidRDefault="005B17ED" w:rsidP="005B17ED">
      <w:pPr>
        <w:autoSpaceDE w:val="0"/>
        <w:autoSpaceDN w:val="0"/>
        <w:adjustRightInd w:val="0"/>
        <w:ind w:left="993" w:right="4"/>
        <w:rPr>
          <w:rFonts w:asciiTheme="minorHAnsi" w:hAnsiTheme="minorHAnsi" w:cs="Arial"/>
          <w:sz w:val="16"/>
          <w:szCs w:val="16"/>
          <w:lang w:val="fr-FR"/>
        </w:rPr>
      </w:pPr>
    </w:p>
    <w:tbl>
      <w:tblPr>
        <w:tblW w:w="9780"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5B17ED" w:rsidRPr="00FA559A" w:rsidTr="005B17ED">
        <w:trPr>
          <w:trHeight w:val="356"/>
        </w:trPr>
        <w:tc>
          <w:tcPr>
            <w:tcW w:w="9780" w:type="dxa"/>
            <w:gridSpan w:val="3"/>
            <w:shd w:val="clear" w:color="auto" w:fill="FFFFFF"/>
            <w:tcMar>
              <w:top w:w="15" w:type="dxa"/>
              <w:left w:w="15" w:type="dxa"/>
              <w:bottom w:w="0" w:type="dxa"/>
              <w:right w:w="15" w:type="dxa"/>
            </w:tcMar>
            <w:vAlign w:val="center"/>
            <w:hideMark/>
          </w:tcPr>
          <w:p w:rsidR="005B17ED" w:rsidRPr="00FA559A" w:rsidRDefault="005B17ED" w:rsidP="005B17ED">
            <w:pPr>
              <w:autoSpaceDE w:val="0"/>
              <w:autoSpaceDN w:val="0"/>
              <w:adjustRightInd w:val="0"/>
              <w:rPr>
                <w:rFonts w:asciiTheme="minorHAnsi" w:hAnsiTheme="minorHAnsi"/>
                <w:b/>
                <w:bCs/>
                <w:color w:val="003768"/>
                <w:sz w:val="16"/>
                <w:szCs w:val="16"/>
                <w:lang w:val="fr-FR"/>
              </w:rPr>
            </w:pPr>
            <w:r w:rsidRPr="00FA559A">
              <w:rPr>
                <w:rFonts w:asciiTheme="minorHAnsi" w:hAnsiTheme="minorHAnsi"/>
                <w:noProof/>
                <w:sz w:val="16"/>
                <w:szCs w:val="16"/>
                <w:lang w:val="fr-FR" w:eastAsia="nl-BE"/>
              </w:rPr>
              <mc:AlternateContent>
                <mc:Choice Requires="wps">
                  <w:drawing>
                    <wp:anchor distT="0" distB="0" distL="114300" distR="114300" simplePos="0" relativeHeight="251664384" behindDoc="0" locked="0" layoutInCell="1" allowOverlap="1" wp14:anchorId="0D994F1F" wp14:editId="4D7D163A">
                      <wp:simplePos x="0" y="0"/>
                      <wp:positionH relativeFrom="column">
                        <wp:posOffset>652145</wp:posOffset>
                      </wp:positionH>
                      <wp:positionV relativeFrom="paragraph">
                        <wp:posOffset>111760</wp:posOffset>
                      </wp:positionV>
                      <wp:extent cx="6134735" cy="219710"/>
                      <wp:effectExtent l="4445"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E2A3C" w:rsidRPr="006917E1" w:rsidRDefault="003E2A3C" w:rsidP="005B17E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94F1F" id="Text Box 1" o:spid="_x0000_s1027" type="#_x0000_t202" style="position:absolute;margin-left:51.35pt;margin-top:8.8pt;width:483.0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" filled="f" stroked="f" strokeweight=".25pt">
                      <v:textbox inset="0,0,0,0">
                        <w:txbxContent>
                          <w:p w:rsidR="003E2A3C" w:rsidRPr="006917E1" w:rsidRDefault="003E2A3C" w:rsidP="005B17ED"/>
                        </w:txbxContent>
                      </v:textbox>
                    </v:shape>
                  </w:pict>
                </mc:Fallback>
              </mc:AlternateContent>
            </w:r>
            <w:r w:rsidRPr="00FA559A">
              <w:rPr>
                <w:rFonts w:asciiTheme="minorHAnsi" w:hAnsiTheme="minorHAnsi" w:cs="Rockwell"/>
                <w:color w:val="003768"/>
                <w:sz w:val="16"/>
                <w:szCs w:val="16"/>
                <w:lang w:val="fr-FR" w:eastAsia="nl-BE"/>
              </w:rPr>
              <w:t>* Ce communiqué contient des informations soumises à la réglementation sur la transparence des entreprises cotées en Bourse.</w:t>
            </w:r>
          </w:p>
        </w:tc>
      </w:tr>
      <w:tr w:rsidR="005B17ED" w:rsidRPr="00FA559A" w:rsidTr="005B17ED">
        <w:trPr>
          <w:trHeight w:val="913"/>
        </w:trPr>
        <w:tc>
          <w:tcPr>
            <w:tcW w:w="3400" w:type="dxa"/>
            <w:shd w:val="clear" w:color="auto" w:fill="FFFFFF"/>
            <w:tcMar>
              <w:top w:w="15" w:type="dxa"/>
              <w:left w:w="15" w:type="dxa"/>
              <w:bottom w:w="0" w:type="dxa"/>
              <w:right w:w="15" w:type="dxa"/>
            </w:tcMar>
            <w:hideMark/>
          </w:tcPr>
          <w:p w:rsidR="005B17ED" w:rsidRPr="00FA559A" w:rsidRDefault="005B17ED" w:rsidP="005B17ED">
            <w:pPr>
              <w:pStyle w:val="Footer"/>
              <w:tabs>
                <w:tab w:val="bar" w:pos="-2709"/>
              </w:tabs>
              <w:rPr>
                <w:rFonts w:asciiTheme="minorHAnsi" w:hAnsiTheme="minorHAnsi"/>
                <w:bCs/>
                <w:color w:val="00B0F0"/>
                <w:sz w:val="16"/>
                <w:szCs w:val="16"/>
                <w:lang w:val="fr-FR"/>
              </w:rPr>
            </w:pPr>
          </w:p>
          <w:p w:rsidR="005B17ED" w:rsidRPr="00FA559A" w:rsidRDefault="005B17ED" w:rsidP="005B17ED">
            <w:pPr>
              <w:pStyle w:val="Footer"/>
              <w:tabs>
                <w:tab w:val="bar" w:pos="-2709"/>
              </w:tabs>
              <w:rPr>
                <w:rFonts w:asciiTheme="minorHAnsi" w:hAnsiTheme="minorHAnsi"/>
                <w:color w:val="00B0F0"/>
                <w:sz w:val="16"/>
                <w:szCs w:val="16"/>
                <w:lang w:val="fr-FR"/>
              </w:rPr>
            </w:pPr>
            <w:r w:rsidRPr="00FA559A">
              <w:rPr>
                <w:rFonts w:asciiTheme="minorHAnsi" w:hAnsiTheme="minorHAnsi"/>
                <w:b/>
                <w:bCs/>
                <w:color w:val="00B0F0"/>
                <w:sz w:val="16"/>
                <w:szCs w:val="16"/>
                <w:lang w:val="fr-FR"/>
              </w:rPr>
              <w:t>KBC Groupe SA</w:t>
            </w:r>
          </w:p>
          <w:p w:rsidR="005B17ED" w:rsidRPr="00FA559A" w:rsidRDefault="005B17ED" w:rsidP="005B17ED">
            <w:pPr>
              <w:pStyle w:val="Footer"/>
              <w:tabs>
                <w:tab w:val="bar" w:pos="-2709"/>
              </w:tabs>
              <w:rPr>
                <w:rFonts w:asciiTheme="minorHAnsi" w:hAnsiTheme="minorHAnsi"/>
                <w:color w:val="002060"/>
                <w:sz w:val="16"/>
                <w:szCs w:val="16"/>
                <w:lang w:val="fr-FR"/>
              </w:rPr>
            </w:pPr>
            <w:r w:rsidRPr="00FA559A">
              <w:rPr>
                <w:rFonts w:asciiTheme="minorHAnsi" w:hAnsiTheme="minorHAnsi" w:cs="Arial"/>
                <w:b/>
                <w:bCs/>
                <w:color w:val="003768"/>
                <w:sz w:val="16"/>
                <w:szCs w:val="16"/>
                <w:lang w:val="fr-FR" w:eastAsia="nl-BE"/>
              </w:rPr>
              <w:t>Av. Du Port 2</w:t>
            </w:r>
            <w:r w:rsidRPr="00FA559A">
              <w:rPr>
                <w:rFonts w:asciiTheme="minorHAnsi" w:hAnsiTheme="minorHAnsi"/>
                <w:b/>
                <w:bCs/>
                <w:color w:val="002060"/>
                <w:sz w:val="16"/>
                <w:szCs w:val="16"/>
                <w:lang w:val="fr-FR"/>
              </w:rPr>
              <w:t xml:space="preserve"> – 1080 Bruxelles</w:t>
            </w:r>
          </w:p>
          <w:p w:rsidR="005B17ED" w:rsidRPr="00FA559A" w:rsidRDefault="005B17ED" w:rsidP="005B17ED">
            <w:pPr>
              <w:pStyle w:val="Footer"/>
              <w:tabs>
                <w:tab w:val="bar" w:pos="-2709"/>
              </w:tabs>
              <w:rPr>
                <w:rFonts w:asciiTheme="minorHAnsi" w:hAnsiTheme="minorHAnsi"/>
                <w:color w:val="002060"/>
                <w:sz w:val="16"/>
                <w:szCs w:val="16"/>
                <w:lang w:val="fr-FR"/>
              </w:rPr>
            </w:pPr>
            <w:r w:rsidRPr="00FA559A">
              <w:rPr>
                <w:rFonts w:asciiTheme="minorHAnsi" w:hAnsiTheme="minorHAnsi"/>
                <w:b/>
                <w:bCs/>
                <w:color w:val="002060"/>
                <w:sz w:val="16"/>
                <w:szCs w:val="16"/>
                <w:lang w:val="fr-FR"/>
              </w:rPr>
              <w:t>Viviane Huybrecht</w:t>
            </w:r>
          </w:p>
          <w:p w:rsidR="005B17ED" w:rsidRPr="00FA559A" w:rsidRDefault="005B17ED" w:rsidP="005B17ED">
            <w:pPr>
              <w:autoSpaceDE w:val="0"/>
              <w:autoSpaceDN w:val="0"/>
              <w:adjustRightInd w:val="0"/>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Directeur</w:t>
            </w:r>
          </w:p>
          <w:p w:rsidR="005B17ED" w:rsidRPr="00FA559A" w:rsidRDefault="005B17ED" w:rsidP="005B17ED">
            <w:pPr>
              <w:autoSpaceDE w:val="0"/>
              <w:autoSpaceDN w:val="0"/>
              <w:adjustRightInd w:val="0"/>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 xml:space="preserve">Communication </w:t>
            </w:r>
            <w:proofErr w:type="spellStart"/>
            <w:r w:rsidRPr="00FA559A">
              <w:rPr>
                <w:rFonts w:asciiTheme="minorHAnsi" w:hAnsiTheme="minorHAnsi" w:cs="Arial"/>
                <w:b/>
                <w:color w:val="003768"/>
                <w:sz w:val="16"/>
                <w:szCs w:val="16"/>
                <w:lang w:val="fr-FR" w:eastAsia="nl-BE"/>
              </w:rPr>
              <w:t>Corporate</w:t>
            </w:r>
            <w:proofErr w:type="spellEnd"/>
            <w:r w:rsidRPr="00FA559A">
              <w:rPr>
                <w:rFonts w:asciiTheme="minorHAnsi" w:hAnsiTheme="minorHAnsi" w:cs="Arial"/>
                <w:b/>
                <w:color w:val="003768"/>
                <w:sz w:val="16"/>
                <w:szCs w:val="16"/>
                <w:lang w:val="fr-FR" w:eastAsia="nl-BE"/>
              </w:rPr>
              <w:t>/</w:t>
            </w:r>
          </w:p>
          <w:p w:rsidR="005B17ED" w:rsidRPr="00FA559A" w:rsidRDefault="005B17ED" w:rsidP="005B17ED">
            <w:pPr>
              <w:pStyle w:val="Footer"/>
              <w:tabs>
                <w:tab w:val="bar" w:pos="-2709"/>
              </w:tabs>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Porte-parole</w:t>
            </w:r>
          </w:p>
          <w:p w:rsidR="005B17ED" w:rsidRPr="00FA559A" w:rsidRDefault="005B17ED" w:rsidP="005B17ED">
            <w:pPr>
              <w:pStyle w:val="Footer"/>
              <w:tabs>
                <w:tab w:val="bar" w:pos="-2709"/>
              </w:tabs>
              <w:rPr>
                <w:rFonts w:asciiTheme="minorHAnsi" w:hAnsiTheme="minorHAnsi"/>
                <w:b/>
                <w:bCs/>
                <w:color w:val="002060"/>
                <w:sz w:val="16"/>
                <w:szCs w:val="16"/>
                <w:lang w:val="fr-FR"/>
              </w:rPr>
            </w:pPr>
            <w:r w:rsidRPr="00FA559A">
              <w:rPr>
                <w:rFonts w:asciiTheme="minorHAnsi" w:hAnsiTheme="minorHAnsi"/>
                <w:b/>
                <w:bCs/>
                <w:color w:val="002060"/>
                <w:sz w:val="16"/>
                <w:szCs w:val="16"/>
                <w:lang w:val="fr-FR"/>
              </w:rPr>
              <w:t>Tel. +32 2 429 85 45</w:t>
            </w:r>
          </w:p>
          <w:p w:rsidR="005B17ED" w:rsidRPr="00FA559A" w:rsidRDefault="005B17ED" w:rsidP="005B17ED">
            <w:pPr>
              <w:pStyle w:val="Footer"/>
              <w:tabs>
                <w:tab w:val="bar" w:pos="-2709"/>
              </w:tabs>
              <w:rPr>
                <w:rFonts w:asciiTheme="minorHAnsi" w:hAnsiTheme="minorHAnsi"/>
                <w:b/>
                <w:bCs/>
                <w:color w:val="002060"/>
                <w:sz w:val="16"/>
                <w:szCs w:val="16"/>
                <w:lang w:val="fr-FR"/>
              </w:rPr>
            </w:pPr>
          </w:p>
        </w:tc>
        <w:tc>
          <w:tcPr>
            <w:tcW w:w="3400" w:type="dxa"/>
            <w:shd w:val="clear" w:color="auto" w:fill="FFFFFF"/>
            <w:tcMar>
              <w:top w:w="15" w:type="dxa"/>
              <w:left w:w="15" w:type="dxa"/>
              <w:bottom w:w="0" w:type="dxa"/>
              <w:right w:w="15" w:type="dxa"/>
            </w:tcMar>
            <w:hideMark/>
          </w:tcPr>
          <w:p w:rsidR="005B17ED" w:rsidRPr="00FA559A" w:rsidRDefault="005B17ED" w:rsidP="005B17ED">
            <w:pPr>
              <w:pStyle w:val="Footer"/>
              <w:tabs>
                <w:tab w:val="bar" w:pos="-2709"/>
              </w:tabs>
              <w:rPr>
                <w:rFonts w:asciiTheme="minorHAnsi" w:hAnsiTheme="minorHAnsi"/>
                <w:b/>
                <w:bCs/>
                <w:color w:val="002060"/>
                <w:sz w:val="16"/>
                <w:szCs w:val="16"/>
                <w:lang w:val="fr-FR"/>
              </w:rPr>
            </w:pPr>
          </w:p>
          <w:p w:rsidR="005B17ED" w:rsidRPr="00FA559A" w:rsidRDefault="005B17ED" w:rsidP="005B17ED">
            <w:pPr>
              <w:pStyle w:val="Footer"/>
              <w:tabs>
                <w:tab w:val="bar" w:pos="-2709"/>
              </w:tabs>
              <w:rPr>
                <w:rFonts w:asciiTheme="minorHAnsi" w:hAnsiTheme="minorHAnsi"/>
                <w:b/>
                <w:bCs/>
                <w:color w:val="002060"/>
                <w:sz w:val="16"/>
                <w:szCs w:val="16"/>
                <w:lang w:val="fr-FR"/>
              </w:rPr>
            </w:pPr>
          </w:p>
          <w:p w:rsidR="005B17ED" w:rsidRPr="00FA559A" w:rsidRDefault="005B17ED" w:rsidP="005B17ED">
            <w:pPr>
              <w:pStyle w:val="Footer"/>
              <w:tabs>
                <w:tab w:val="bar" w:pos="-2709"/>
              </w:tabs>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Service Presse</w:t>
            </w:r>
          </w:p>
          <w:p w:rsidR="005B17ED" w:rsidRPr="00FA559A" w:rsidRDefault="005B17ED" w:rsidP="005B17ED">
            <w:pPr>
              <w:pStyle w:val="Footer"/>
              <w:tabs>
                <w:tab w:val="bar" w:pos="-2709"/>
              </w:tabs>
              <w:rPr>
                <w:rFonts w:asciiTheme="minorHAnsi" w:hAnsiTheme="minorHAnsi"/>
                <w:color w:val="002060"/>
                <w:sz w:val="16"/>
                <w:szCs w:val="16"/>
                <w:lang w:val="fr-FR"/>
              </w:rPr>
            </w:pPr>
            <w:r w:rsidRPr="00FA559A">
              <w:rPr>
                <w:rFonts w:asciiTheme="minorHAnsi" w:hAnsiTheme="minorHAnsi"/>
                <w:b/>
                <w:bCs/>
                <w:color w:val="002060"/>
                <w:sz w:val="16"/>
                <w:szCs w:val="16"/>
                <w:lang w:val="fr-FR"/>
              </w:rPr>
              <w:t>Tel. +32 2 429 65 01 Stef Leunens</w:t>
            </w:r>
          </w:p>
          <w:p w:rsidR="005B17ED" w:rsidRPr="00FA559A" w:rsidRDefault="005B17ED" w:rsidP="005B17ED">
            <w:pPr>
              <w:pStyle w:val="Footer"/>
              <w:tabs>
                <w:tab w:val="bar" w:pos="-2709"/>
              </w:tabs>
              <w:rPr>
                <w:rFonts w:asciiTheme="minorHAnsi" w:hAnsiTheme="minorHAnsi"/>
                <w:b/>
                <w:bCs/>
                <w:color w:val="002060"/>
                <w:sz w:val="16"/>
                <w:szCs w:val="16"/>
                <w:lang w:val="fr-FR"/>
              </w:rPr>
            </w:pPr>
            <w:r w:rsidRPr="00FA559A">
              <w:rPr>
                <w:rFonts w:asciiTheme="minorHAnsi" w:hAnsiTheme="minorHAnsi"/>
                <w:b/>
                <w:bCs/>
                <w:color w:val="002060"/>
                <w:sz w:val="16"/>
                <w:szCs w:val="16"/>
                <w:lang w:val="fr-FR"/>
              </w:rPr>
              <w:t>Tel. +32 2 429 29 15 Ilse De Muyer</w:t>
            </w:r>
          </w:p>
          <w:p w:rsidR="005B17ED" w:rsidRPr="00FA559A" w:rsidRDefault="005B17ED" w:rsidP="005B17ED">
            <w:pPr>
              <w:pStyle w:val="Footer"/>
              <w:tabs>
                <w:tab w:val="bar" w:pos="-2709"/>
              </w:tabs>
              <w:rPr>
                <w:rFonts w:asciiTheme="minorHAnsi" w:hAnsiTheme="minorHAnsi"/>
                <w:color w:val="002060"/>
                <w:sz w:val="16"/>
                <w:szCs w:val="16"/>
                <w:lang w:val="fr-FR"/>
              </w:rPr>
            </w:pPr>
            <w:r w:rsidRPr="00FA559A">
              <w:rPr>
                <w:rFonts w:asciiTheme="minorHAnsi" w:hAnsiTheme="minorHAnsi"/>
                <w:b/>
                <w:bCs/>
                <w:color w:val="002060"/>
                <w:sz w:val="16"/>
                <w:szCs w:val="16"/>
                <w:lang w:val="fr-FR"/>
              </w:rPr>
              <w:t>Fax +32 2 429 81 60</w:t>
            </w:r>
          </w:p>
          <w:p w:rsidR="005B17ED" w:rsidRPr="00FA559A" w:rsidRDefault="005B17ED" w:rsidP="005B17ED">
            <w:pPr>
              <w:pStyle w:val="Footer"/>
              <w:tabs>
                <w:tab w:val="bar" w:pos="-2709"/>
              </w:tabs>
              <w:rPr>
                <w:rFonts w:asciiTheme="minorHAnsi" w:hAnsiTheme="minorHAnsi"/>
                <w:sz w:val="16"/>
                <w:szCs w:val="16"/>
                <w:lang w:val="fr-FR"/>
              </w:rPr>
            </w:pPr>
            <w:r w:rsidRPr="00FA559A">
              <w:rPr>
                <w:rFonts w:asciiTheme="minorHAnsi" w:hAnsiTheme="minorHAnsi"/>
                <w:b/>
                <w:bCs/>
                <w:color w:val="002060"/>
                <w:sz w:val="16"/>
                <w:szCs w:val="16"/>
                <w:lang w:val="fr-FR"/>
              </w:rPr>
              <w:t xml:space="preserve">E-Mail : </w:t>
            </w:r>
            <w:hyperlink r:id="rId14" w:history="1">
              <w:r w:rsidRPr="00FA559A">
                <w:rPr>
                  <w:rStyle w:val="Hyperlink"/>
                  <w:rFonts w:asciiTheme="minorHAnsi" w:hAnsiTheme="minorHAnsi"/>
                  <w:b/>
                  <w:bCs/>
                  <w:color w:val="00AEEF"/>
                  <w:sz w:val="16"/>
                  <w:szCs w:val="16"/>
                  <w:lang w:val="fr-FR"/>
                </w:rPr>
                <w:t>pressofficekbc@kbc.be</w:t>
              </w:r>
            </w:hyperlink>
          </w:p>
        </w:tc>
        <w:tc>
          <w:tcPr>
            <w:tcW w:w="2980" w:type="dxa"/>
            <w:shd w:val="clear" w:color="auto" w:fill="FFFFFF"/>
            <w:tcMar>
              <w:top w:w="15" w:type="dxa"/>
              <w:left w:w="15" w:type="dxa"/>
              <w:bottom w:w="0" w:type="dxa"/>
              <w:right w:w="15" w:type="dxa"/>
            </w:tcMar>
            <w:hideMark/>
          </w:tcPr>
          <w:p w:rsidR="005B17ED" w:rsidRPr="00FA559A" w:rsidRDefault="005B17ED" w:rsidP="005B17ED">
            <w:pPr>
              <w:pStyle w:val="Footer"/>
              <w:tabs>
                <w:tab w:val="bar" w:pos="-2709"/>
              </w:tabs>
              <w:rPr>
                <w:rFonts w:asciiTheme="minorHAnsi" w:hAnsiTheme="minorHAnsi"/>
                <w:b/>
                <w:bCs/>
                <w:color w:val="002060"/>
                <w:sz w:val="16"/>
                <w:szCs w:val="16"/>
                <w:lang w:val="fr-FR"/>
              </w:rPr>
            </w:pPr>
          </w:p>
          <w:p w:rsidR="005B17ED" w:rsidRPr="00FA559A" w:rsidRDefault="005B17ED" w:rsidP="005B17ED">
            <w:pPr>
              <w:pStyle w:val="Footer"/>
              <w:tabs>
                <w:tab w:val="bar" w:pos="-2709"/>
              </w:tabs>
              <w:rPr>
                <w:rFonts w:asciiTheme="minorHAnsi" w:hAnsiTheme="minorHAnsi"/>
                <w:b/>
                <w:bCs/>
                <w:color w:val="002060"/>
                <w:sz w:val="16"/>
                <w:szCs w:val="16"/>
                <w:lang w:val="fr-FR"/>
              </w:rPr>
            </w:pPr>
          </w:p>
          <w:p w:rsidR="005B17ED" w:rsidRPr="00FA559A" w:rsidRDefault="005B17ED" w:rsidP="005B17ED">
            <w:pPr>
              <w:autoSpaceDE w:val="0"/>
              <w:autoSpaceDN w:val="0"/>
              <w:adjustRightInd w:val="0"/>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Les communiqués de presse KBC peuvent être</w:t>
            </w:r>
          </w:p>
          <w:p w:rsidR="005B17ED" w:rsidRPr="00FA559A" w:rsidRDefault="005B17ED" w:rsidP="005B17ED">
            <w:pPr>
              <w:autoSpaceDE w:val="0"/>
              <w:autoSpaceDN w:val="0"/>
              <w:adjustRightInd w:val="0"/>
              <w:rPr>
                <w:rFonts w:asciiTheme="minorHAnsi" w:hAnsiTheme="minorHAnsi" w:cs="Arial"/>
                <w:b/>
                <w:color w:val="003768"/>
                <w:sz w:val="16"/>
                <w:szCs w:val="16"/>
                <w:lang w:val="fr-FR" w:eastAsia="nl-BE"/>
              </w:rPr>
            </w:pPr>
            <w:r w:rsidRPr="00FA559A">
              <w:rPr>
                <w:rFonts w:asciiTheme="minorHAnsi" w:hAnsiTheme="minorHAnsi" w:cs="Arial"/>
                <w:b/>
                <w:color w:val="003768"/>
                <w:sz w:val="16"/>
                <w:szCs w:val="16"/>
                <w:lang w:val="fr-FR" w:eastAsia="nl-BE"/>
              </w:rPr>
              <w:t xml:space="preserve">consultés sur </w:t>
            </w:r>
            <w:hyperlink r:id="rId15" w:history="1">
              <w:r w:rsidRPr="00FA559A">
                <w:rPr>
                  <w:rStyle w:val="Hyperlink"/>
                  <w:rFonts w:asciiTheme="minorHAnsi" w:hAnsiTheme="minorHAnsi"/>
                  <w:b/>
                  <w:bCs/>
                  <w:color w:val="00B0F0"/>
                  <w:sz w:val="16"/>
                  <w:szCs w:val="16"/>
                  <w:lang w:val="fr-FR"/>
                </w:rPr>
                <w:t>www.kbc.com</w:t>
              </w:r>
            </w:hyperlink>
            <w:r w:rsidRPr="00FA559A">
              <w:rPr>
                <w:rFonts w:asciiTheme="minorHAnsi" w:hAnsiTheme="minorHAnsi"/>
                <w:b/>
                <w:bCs/>
                <w:color w:val="002060"/>
                <w:sz w:val="16"/>
                <w:szCs w:val="16"/>
                <w:lang w:val="fr-FR"/>
              </w:rPr>
              <w:t xml:space="preserve"> </w:t>
            </w:r>
            <w:r w:rsidRPr="00FA559A">
              <w:rPr>
                <w:rFonts w:asciiTheme="minorHAnsi" w:hAnsiTheme="minorHAnsi" w:cs="Arial"/>
                <w:b/>
                <w:color w:val="003768"/>
                <w:sz w:val="16"/>
                <w:szCs w:val="16"/>
                <w:lang w:val="fr-FR" w:eastAsia="nl-BE"/>
              </w:rPr>
              <w:t>ou obtenus en</w:t>
            </w:r>
          </w:p>
          <w:p w:rsidR="005B17ED" w:rsidRPr="00FA559A" w:rsidRDefault="005B17ED" w:rsidP="005B17ED">
            <w:pPr>
              <w:pStyle w:val="Footer"/>
              <w:tabs>
                <w:tab w:val="bar" w:pos="-2709"/>
              </w:tabs>
              <w:spacing w:after="120"/>
              <w:rPr>
                <w:rFonts w:asciiTheme="minorHAnsi" w:hAnsiTheme="minorHAnsi"/>
                <w:color w:val="002060"/>
                <w:sz w:val="16"/>
                <w:szCs w:val="16"/>
                <w:lang w:val="fr-FR"/>
              </w:rPr>
            </w:pPr>
            <w:r w:rsidRPr="00FA559A">
              <w:rPr>
                <w:rFonts w:asciiTheme="minorHAnsi" w:hAnsiTheme="minorHAnsi" w:cs="Arial"/>
                <w:b/>
                <w:color w:val="003768"/>
                <w:sz w:val="16"/>
                <w:szCs w:val="16"/>
                <w:lang w:val="fr-FR" w:eastAsia="nl-BE"/>
              </w:rPr>
              <w:t xml:space="preserve">envoyant un courriel à </w:t>
            </w:r>
            <w:r w:rsidRPr="00FA559A">
              <w:rPr>
                <w:rFonts w:asciiTheme="minorHAnsi" w:hAnsiTheme="minorHAnsi"/>
                <w:b/>
                <w:bCs/>
                <w:color w:val="003768"/>
                <w:sz w:val="16"/>
                <w:szCs w:val="16"/>
                <w:lang w:val="fr-FR"/>
              </w:rPr>
              <w:t xml:space="preserve"> </w:t>
            </w:r>
            <w:hyperlink r:id="rId16" w:history="1">
              <w:r w:rsidRPr="00FA559A">
                <w:rPr>
                  <w:rStyle w:val="Hyperlink"/>
                  <w:rFonts w:asciiTheme="minorHAnsi" w:hAnsiTheme="minorHAnsi"/>
                  <w:b/>
                  <w:bCs/>
                  <w:color w:val="00B0F0"/>
                  <w:sz w:val="16"/>
                  <w:szCs w:val="16"/>
                  <w:lang w:val="fr-FR"/>
                </w:rPr>
                <w:t>pressofficekbc@kbc.be</w:t>
              </w:r>
            </w:hyperlink>
          </w:p>
          <w:p w:rsidR="005B17ED" w:rsidRPr="00FA559A" w:rsidRDefault="005B17ED" w:rsidP="005B17ED">
            <w:pPr>
              <w:pStyle w:val="Footer"/>
              <w:tabs>
                <w:tab w:val="bar" w:pos="-2709"/>
              </w:tabs>
              <w:spacing w:after="120"/>
              <w:rPr>
                <w:rFonts w:asciiTheme="minorHAnsi" w:hAnsiTheme="minorHAnsi"/>
                <w:color w:val="002060"/>
                <w:sz w:val="16"/>
                <w:szCs w:val="16"/>
                <w:lang w:val="fr-FR"/>
              </w:rPr>
            </w:pPr>
            <w:r w:rsidRPr="00FA559A">
              <w:rPr>
                <w:rFonts w:asciiTheme="minorHAnsi" w:hAnsiTheme="minorHAnsi" w:cs="Calibri"/>
                <w:b/>
                <w:color w:val="003768"/>
                <w:sz w:val="16"/>
                <w:szCs w:val="16"/>
                <w:lang w:val="fr-FR" w:eastAsia="nl-BE"/>
              </w:rPr>
              <w:t>Suivez nous sur</w:t>
            </w:r>
            <w:r w:rsidRPr="00FA559A">
              <w:rPr>
                <w:rFonts w:asciiTheme="minorHAnsi" w:hAnsiTheme="minorHAnsi"/>
                <w:sz w:val="16"/>
                <w:szCs w:val="16"/>
                <w:lang w:val="fr-FR"/>
              </w:rPr>
              <w:t xml:space="preserve"> </w:t>
            </w:r>
            <w:hyperlink r:id="rId17" w:history="1">
              <w:r w:rsidRPr="00FA559A">
                <w:rPr>
                  <w:rStyle w:val="Hyperlink"/>
                  <w:rFonts w:asciiTheme="minorHAnsi" w:hAnsiTheme="minorHAnsi"/>
                  <w:b/>
                  <w:bCs/>
                  <w:color w:val="00B0F0"/>
                  <w:sz w:val="16"/>
                  <w:szCs w:val="16"/>
                  <w:lang w:val="fr-FR"/>
                </w:rPr>
                <w:t>www.twitter.com/kbc_group</w:t>
              </w:r>
            </w:hyperlink>
          </w:p>
        </w:tc>
      </w:tr>
    </w:tbl>
    <w:p w:rsidR="00CF0F9F" w:rsidRPr="00FA559A" w:rsidRDefault="00CF0F9F" w:rsidP="00CF0F9F">
      <w:pPr>
        <w:pStyle w:val="NoSpacing"/>
        <w:ind w:right="664"/>
        <w:rPr>
          <w:rFonts w:asciiTheme="minorHAnsi" w:hAnsiTheme="minorHAnsi"/>
          <w:sz w:val="16"/>
          <w:szCs w:val="16"/>
          <w:lang w:val="fr-FR"/>
        </w:rPr>
      </w:pPr>
    </w:p>
    <w:p w:rsidR="00CF0F9F" w:rsidRPr="00FA559A" w:rsidRDefault="00CF0F9F" w:rsidP="00CF0F9F">
      <w:pPr>
        <w:pStyle w:val="NoSpacing"/>
        <w:ind w:right="664"/>
        <w:rPr>
          <w:rFonts w:asciiTheme="minorHAnsi" w:hAnsiTheme="minorHAnsi"/>
          <w:sz w:val="16"/>
          <w:szCs w:val="16"/>
          <w:lang w:val="fr-FR"/>
        </w:rPr>
      </w:pPr>
    </w:p>
    <w:sectPr w:rsidR="00CF0F9F" w:rsidRPr="00FA559A" w:rsidSect="003910D9">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3C" w:rsidRDefault="003E2A3C" w:rsidP="00FB300B">
      <w:r>
        <w:separator/>
      </w:r>
    </w:p>
  </w:endnote>
  <w:endnote w:type="continuationSeparator" w:id="0">
    <w:p w:rsidR="003E2A3C" w:rsidRDefault="003E2A3C" w:rsidP="00FB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ckwell">
    <w:altName w:val="Rockwell"/>
    <w:panose1 w:val="020606030202050204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C" w:rsidRDefault="003E2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93388"/>
      <w:docPartObj>
        <w:docPartGallery w:val="Page Numbers (Bottom of Page)"/>
        <w:docPartUnique/>
      </w:docPartObj>
    </w:sdtPr>
    <w:sdtEndPr/>
    <w:sdtContent>
      <w:sdt>
        <w:sdtPr>
          <w:id w:val="1728636285"/>
          <w:docPartObj>
            <w:docPartGallery w:val="Page Numbers (Top of Page)"/>
            <w:docPartUnique/>
          </w:docPartObj>
        </w:sdtPr>
        <w:sdtEndPr/>
        <w:sdtContent>
          <w:p w:rsidR="003E2A3C" w:rsidRDefault="003E2A3C">
            <w:pPr>
              <w:pStyle w:val="Footer"/>
              <w:jc w:val="center"/>
            </w:pPr>
            <w:r w:rsidRPr="00A8273D">
              <w:rPr>
                <w:rFonts w:asciiTheme="minorHAnsi" w:hAnsiTheme="minorHAnsi"/>
                <w:sz w:val="16"/>
                <w:szCs w:val="16"/>
              </w:rPr>
              <w:t xml:space="preserve">Page </w:t>
            </w:r>
            <w:r w:rsidRPr="00A8273D">
              <w:rPr>
                <w:rFonts w:asciiTheme="minorHAnsi" w:hAnsiTheme="minorHAnsi"/>
                <w:b/>
                <w:bCs/>
                <w:sz w:val="16"/>
                <w:szCs w:val="16"/>
              </w:rPr>
              <w:fldChar w:fldCharType="begin"/>
            </w:r>
            <w:r w:rsidRPr="00A8273D">
              <w:rPr>
                <w:rFonts w:asciiTheme="minorHAnsi" w:hAnsiTheme="minorHAnsi"/>
                <w:b/>
                <w:bCs/>
                <w:sz w:val="16"/>
                <w:szCs w:val="16"/>
              </w:rPr>
              <w:instrText xml:space="preserve"> PAGE </w:instrText>
            </w:r>
            <w:r w:rsidRPr="00A8273D">
              <w:rPr>
                <w:rFonts w:asciiTheme="minorHAnsi" w:hAnsiTheme="minorHAnsi"/>
                <w:b/>
                <w:bCs/>
                <w:sz w:val="16"/>
                <w:szCs w:val="16"/>
              </w:rPr>
              <w:fldChar w:fldCharType="separate"/>
            </w:r>
            <w:r w:rsidR="00FA559A">
              <w:rPr>
                <w:rFonts w:asciiTheme="minorHAnsi" w:hAnsiTheme="minorHAnsi"/>
                <w:b/>
                <w:bCs/>
                <w:noProof/>
                <w:sz w:val="16"/>
                <w:szCs w:val="16"/>
              </w:rPr>
              <w:t>13</w:t>
            </w:r>
            <w:r w:rsidRPr="00A8273D">
              <w:rPr>
                <w:rFonts w:asciiTheme="minorHAnsi" w:hAnsiTheme="minorHAnsi"/>
                <w:b/>
                <w:bCs/>
                <w:sz w:val="16"/>
                <w:szCs w:val="16"/>
              </w:rPr>
              <w:fldChar w:fldCharType="end"/>
            </w:r>
            <w:r w:rsidRPr="00A8273D">
              <w:rPr>
                <w:rFonts w:asciiTheme="minorHAnsi" w:hAnsiTheme="minorHAnsi"/>
                <w:sz w:val="16"/>
                <w:szCs w:val="16"/>
              </w:rPr>
              <w:t xml:space="preserve"> of </w:t>
            </w:r>
            <w:r w:rsidRPr="00A8273D">
              <w:rPr>
                <w:rFonts w:asciiTheme="minorHAnsi" w:hAnsiTheme="minorHAnsi"/>
                <w:b/>
                <w:bCs/>
                <w:sz w:val="16"/>
                <w:szCs w:val="16"/>
              </w:rPr>
              <w:fldChar w:fldCharType="begin"/>
            </w:r>
            <w:r w:rsidRPr="00A8273D">
              <w:rPr>
                <w:rFonts w:asciiTheme="minorHAnsi" w:hAnsiTheme="minorHAnsi"/>
                <w:b/>
                <w:bCs/>
                <w:sz w:val="16"/>
                <w:szCs w:val="16"/>
              </w:rPr>
              <w:instrText xml:space="preserve"> NUMPAGES  </w:instrText>
            </w:r>
            <w:r w:rsidRPr="00A8273D">
              <w:rPr>
                <w:rFonts w:asciiTheme="minorHAnsi" w:hAnsiTheme="minorHAnsi"/>
                <w:b/>
                <w:bCs/>
                <w:sz w:val="16"/>
                <w:szCs w:val="16"/>
              </w:rPr>
              <w:fldChar w:fldCharType="separate"/>
            </w:r>
            <w:r w:rsidR="00FA559A">
              <w:rPr>
                <w:rFonts w:asciiTheme="minorHAnsi" w:hAnsiTheme="minorHAnsi"/>
                <w:b/>
                <w:bCs/>
                <w:noProof/>
                <w:sz w:val="16"/>
                <w:szCs w:val="16"/>
              </w:rPr>
              <w:t>13</w:t>
            </w:r>
            <w:r w:rsidRPr="00A8273D">
              <w:rPr>
                <w:rFonts w:asciiTheme="minorHAnsi" w:hAnsiTheme="minorHAnsi"/>
                <w:b/>
                <w:bCs/>
                <w:sz w:val="16"/>
                <w:szCs w:val="16"/>
              </w:rPr>
              <w:fldChar w:fldCharType="end"/>
            </w:r>
          </w:p>
        </w:sdtContent>
      </w:sdt>
    </w:sdtContent>
  </w:sdt>
  <w:p w:rsidR="003E2A3C" w:rsidRDefault="003E2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C" w:rsidRDefault="003E2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3C" w:rsidRDefault="003E2A3C" w:rsidP="00FB300B">
      <w:r>
        <w:separator/>
      </w:r>
    </w:p>
  </w:footnote>
  <w:footnote w:type="continuationSeparator" w:id="0">
    <w:p w:rsidR="003E2A3C" w:rsidRDefault="003E2A3C" w:rsidP="00FB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C" w:rsidRDefault="003E2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C" w:rsidRDefault="003E2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3C" w:rsidRDefault="003E2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A88"/>
    <w:multiLevelType w:val="hybridMultilevel"/>
    <w:tmpl w:val="44AAB1A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659C8"/>
    <w:multiLevelType w:val="hybridMultilevel"/>
    <w:tmpl w:val="1F844C6A"/>
    <w:lvl w:ilvl="0" w:tplc="9090604A">
      <w:start w:val="1"/>
      <w:numFmt w:val="bullet"/>
      <w:lvlText w:val=""/>
      <w:lvlJc w:val="left"/>
      <w:pPr>
        <w:ind w:left="720" w:hanging="360"/>
      </w:pPr>
      <w:rPr>
        <w:rFonts w:ascii="Symbol" w:hAnsi="Symbol" w:hint="default"/>
        <w:color w:val="auto"/>
        <w:sz w:val="18"/>
      </w:rPr>
    </w:lvl>
    <w:lvl w:ilvl="1" w:tplc="08130005">
      <w:start w:val="1"/>
      <w:numFmt w:val="bullet"/>
      <w:lvlText w:val=""/>
      <w:lvlJc w:val="left"/>
      <w:pPr>
        <w:ind w:left="1440" w:hanging="360"/>
      </w:pPr>
      <w:rPr>
        <w:rFonts w:ascii="Wingdings" w:hAnsi="Wingdings" w:hint="default"/>
      </w:rPr>
    </w:lvl>
    <w:lvl w:ilvl="2" w:tplc="08130001">
      <w:start w:val="1"/>
      <w:numFmt w:val="bullet"/>
      <w:lvlText w:val=""/>
      <w:lvlJc w:val="left"/>
      <w:pPr>
        <w:ind w:left="2160" w:hanging="360"/>
      </w:pPr>
      <w:rPr>
        <w:rFonts w:ascii="Symbol" w:hAnsi="Symbol" w:hint="default"/>
      </w:rPr>
    </w:lvl>
    <w:lvl w:ilvl="3" w:tplc="16A06F4E">
      <w:numFmt w:val="bullet"/>
      <w:lvlText w:val="-"/>
      <w:lvlJc w:val="left"/>
      <w:pPr>
        <w:ind w:left="3240" w:hanging="720"/>
      </w:pPr>
      <w:rPr>
        <w:rFonts w:ascii="Arial" w:eastAsia="Times New Roman" w:hAnsi="Arial" w:cs="Aria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3352DD8"/>
    <w:multiLevelType w:val="hybridMultilevel"/>
    <w:tmpl w:val="0624CE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C04A56"/>
    <w:multiLevelType w:val="hybridMultilevel"/>
    <w:tmpl w:val="1062F5A4"/>
    <w:lvl w:ilvl="0" w:tplc="9090604A">
      <w:start w:val="1"/>
      <w:numFmt w:val="bullet"/>
      <w:lvlText w:val=""/>
      <w:lvlJc w:val="left"/>
      <w:pPr>
        <w:tabs>
          <w:tab w:val="num" w:pos="360"/>
        </w:tabs>
        <w:ind w:left="360" w:hanging="360"/>
      </w:pPr>
      <w:rPr>
        <w:rFonts w:ascii="Symbol" w:hAnsi="Symbol" w:hint="default"/>
        <w:color w:val="auto"/>
        <w:sz w:val="18"/>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start w:val="1"/>
      <w:numFmt w:val="bullet"/>
      <w:lvlText w:val="o"/>
      <w:lvlJc w:val="left"/>
      <w:pPr>
        <w:tabs>
          <w:tab w:val="num" w:pos="2880"/>
        </w:tabs>
        <w:ind w:left="2880" w:hanging="360"/>
      </w:pPr>
      <w:rPr>
        <w:rFonts w:ascii="Courier New" w:hAnsi="Courier New" w:cs="Courier New" w:hint="default"/>
      </w:rPr>
    </w:lvl>
    <w:lvl w:ilvl="5" w:tplc="04130005">
      <w:start w:val="1"/>
      <w:numFmt w:val="bullet"/>
      <w:lvlText w:val=""/>
      <w:lvlJc w:val="left"/>
      <w:pPr>
        <w:tabs>
          <w:tab w:val="num" w:pos="3600"/>
        </w:tabs>
        <w:ind w:left="3600" w:hanging="360"/>
      </w:pPr>
      <w:rPr>
        <w:rFonts w:ascii="Wingdings" w:hAnsi="Wingdings" w:hint="default"/>
      </w:rPr>
    </w:lvl>
    <w:lvl w:ilvl="6" w:tplc="04130001">
      <w:start w:val="1"/>
      <w:numFmt w:val="bullet"/>
      <w:lvlText w:val=""/>
      <w:lvlJc w:val="left"/>
      <w:pPr>
        <w:tabs>
          <w:tab w:val="num" w:pos="4320"/>
        </w:tabs>
        <w:ind w:left="4320" w:hanging="360"/>
      </w:pPr>
      <w:rPr>
        <w:rFonts w:ascii="Symbol" w:hAnsi="Symbol" w:hint="default"/>
      </w:rPr>
    </w:lvl>
    <w:lvl w:ilvl="7" w:tplc="04130003">
      <w:start w:val="1"/>
      <w:numFmt w:val="bullet"/>
      <w:lvlText w:val="o"/>
      <w:lvlJc w:val="left"/>
      <w:pPr>
        <w:tabs>
          <w:tab w:val="num" w:pos="5040"/>
        </w:tabs>
        <w:ind w:left="5040" w:hanging="360"/>
      </w:pPr>
      <w:rPr>
        <w:rFonts w:ascii="Courier New" w:hAnsi="Courier New" w:cs="Courier New" w:hint="default"/>
      </w:rPr>
    </w:lvl>
    <w:lvl w:ilvl="8" w:tplc="0413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F529F5"/>
    <w:multiLevelType w:val="hybridMultilevel"/>
    <w:tmpl w:val="A59CD3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4C63764"/>
    <w:multiLevelType w:val="hybridMultilevel"/>
    <w:tmpl w:val="5FDE29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82E503C"/>
    <w:multiLevelType w:val="hybridMultilevel"/>
    <w:tmpl w:val="94B206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1B2E739F"/>
    <w:multiLevelType w:val="hybridMultilevel"/>
    <w:tmpl w:val="A8903918"/>
    <w:lvl w:ilvl="0" w:tplc="9090604A">
      <w:start w:val="1"/>
      <w:numFmt w:val="bullet"/>
      <w:lvlText w:val=""/>
      <w:lvlJc w:val="left"/>
      <w:pPr>
        <w:ind w:left="360" w:hanging="360"/>
      </w:pPr>
      <w:rPr>
        <w:rFonts w:ascii="Symbol" w:hAnsi="Symbol" w:hint="default"/>
        <w:color w:val="auto"/>
        <w:sz w:val="18"/>
      </w:rPr>
    </w:lvl>
    <w:lvl w:ilvl="1" w:tplc="08130003">
      <w:start w:val="1"/>
      <w:numFmt w:val="bullet"/>
      <w:lvlText w:val="o"/>
      <w:lvlJc w:val="left"/>
      <w:pPr>
        <w:ind w:left="1080" w:hanging="360"/>
      </w:pPr>
      <w:rPr>
        <w:rFonts w:ascii="Courier New" w:hAnsi="Courier New" w:cs="Courier New" w:hint="default"/>
      </w:rPr>
    </w:lvl>
    <w:lvl w:ilvl="2" w:tplc="08130001">
      <w:start w:val="1"/>
      <w:numFmt w:val="bullet"/>
      <w:lvlText w:val=""/>
      <w:lvlJc w:val="left"/>
      <w:pPr>
        <w:ind w:left="1800" w:hanging="360"/>
      </w:pPr>
      <w:rPr>
        <w:rFonts w:ascii="Symbol" w:hAnsi="Symbol" w:hint="default"/>
      </w:rPr>
    </w:lvl>
    <w:lvl w:ilvl="3" w:tplc="16A06F4E">
      <w:numFmt w:val="bullet"/>
      <w:lvlText w:val="-"/>
      <w:lvlJc w:val="left"/>
      <w:pPr>
        <w:ind w:left="2880" w:hanging="720"/>
      </w:pPr>
      <w:rPr>
        <w:rFonts w:ascii="Arial" w:eastAsia="Times New Roman" w:hAnsi="Arial" w:cs="Aria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8" w15:restartNumberingAfterBreak="0">
    <w:nsid w:val="1C7D2418"/>
    <w:multiLevelType w:val="hybridMultilevel"/>
    <w:tmpl w:val="C6DC59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2E72503"/>
    <w:multiLevelType w:val="hybridMultilevel"/>
    <w:tmpl w:val="5B263C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3147837"/>
    <w:multiLevelType w:val="hybridMultilevel"/>
    <w:tmpl w:val="6D328E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7465A2F"/>
    <w:multiLevelType w:val="hybridMultilevel"/>
    <w:tmpl w:val="FF1210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ACA286D"/>
    <w:multiLevelType w:val="hybridMultilevel"/>
    <w:tmpl w:val="0408F9E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3491AD7"/>
    <w:multiLevelType w:val="hybridMultilevel"/>
    <w:tmpl w:val="A692B2F8"/>
    <w:lvl w:ilvl="0" w:tplc="08130005">
      <w:start w:val="1"/>
      <w:numFmt w:val="bullet"/>
      <w:lvlText w:val=""/>
      <w:lvlJc w:val="left"/>
      <w:pPr>
        <w:ind w:left="1068" w:hanging="360"/>
      </w:pPr>
      <w:rPr>
        <w:rFonts w:ascii="Wingdings" w:hAnsi="Wingdings" w:hint="default"/>
        <w:color w:val="auto"/>
        <w:sz w:val="18"/>
      </w:rPr>
    </w:lvl>
    <w:lvl w:ilvl="1" w:tplc="08130003">
      <w:start w:val="1"/>
      <w:numFmt w:val="bullet"/>
      <w:lvlText w:val="o"/>
      <w:lvlJc w:val="left"/>
      <w:pPr>
        <w:ind w:left="1788" w:hanging="360"/>
      </w:pPr>
      <w:rPr>
        <w:rFonts w:ascii="Courier New" w:hAnsi="Courier New" w:cs="Courier New" w:hint="default"/>
      </w:rPr>
    </w:lvl>
    <w:lvl w:ilvl="2" w:tplc="08130001">
      <w:start w:val="1"/>
      <w:numFmt w:val="bullet"/>
      <w:lvlText w:val=""/>
      <w:lvlJc w:val="left"/>
      <w:pPr>
        <w:ind w:left="2508" w:hanging="360"/>
      </w:pPr>
      <w:rPr>
        <w:rFonts w:ascii="Symbol" w:hAnsi="Symbol" w:hint="default"/>
      </w:rPr>
    </w:lvl>
    <w:lvl w:ilvl="3" w:tplc="16A06F4E">
      <w:numFmt w:val="bullet"/>
      <w:lvlText w:val="-"/>
      <w:lvlJc w:val="left"/>
      <w:pPr>
        <w:ind w:left="3588" w:hanging="720"/>
      </w:pPr>
      <w:rPr>
        <w:rFonts w:ascii="Arial" w:eastAsia="Times New Roman" w:hAnsi="Arial" w:cs="Aria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4" w15:restartNumberingAfterBreak="0">
    <w:nsid w:val="467067B6"/>
    <w:multiLevelType w:val="hybridMultilevel"/>
    <w:tmpl w:val="DC402B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6A161F6"/>
    <w:multiLevelType w:val="hybridMultilevel"/>
    <w:tmpl w:val="BAB671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1FD19E5"/>
    <w:multiLevelType w:val="hybridMultilevel"/>
    <w:tmpl w:val="488EBD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EB921E2"/>
    <w:multiLevelType w:val="hybridMultilevel"/>
    <w:tmpl w:val="21FE4F8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293771F"/>
    <w:multiLevelType w:val="hybridMultilevel"/>
    <w:tmpl w:val="41BE6BE6"/>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5A238E7"/>
    <w:multiLevelType w:val="hybridMultilevel"/>
    <w:tmpl w:val="A7C6F2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AD7769C"/>
    <w:multiLevelType w:val="hybridMultilevel"/>
    <w:tmpl w:val="11DC69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8B0812"/>
    <w:multiLevelType w:val="hybridMultilevel"/>
    <w:tmpl w:val="A0E28F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72917219"/>
    <w:multiLevelType w:val="hybridMultilevel"/>
    <w:tmpl w:val="E4A069F0"/>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75174913"/>
    <w:multiLevelType w:val="hybridMultilevel"/>
    <w:tmpl w:val="5BE01A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51D1F30"/>
    <w:multiLevelType w:val="hybridMultilevel"/>
    <w:tmpl w:val="6504E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93F4213"/>
    <w:multiLevelType w:val="hybridMultilevel"/>
    <w:tmpl w:val="150004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BE559D3"/>
    <w:multiLevelType w:val="hybridMultilevel"/>
    <w:tmpl w:val="82F0B686"/>
    <w:lvl w:ilvl="0" w:tplc="08130005">
      <w:start w:val="1"/>
      <w:numFmt w:val="bullet"/>
      <w:lvlText w:val=""/>
      <w:lvlJc w:val="left"/>
      <w:pPr>
        <w:ind w:left="720" w:hanging="360"/>
      </w:pPr>
      <w:rPr>
        <w:rFonts w:ascii="Wingdings" w:hAnsi="Wingdings" w:hint="default"/>
        <w:color w:val="auto"/>
        <w:sz w:val="18"/>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16A06F4E">
      <w:numFmt w:val="bullet"/>
      <w:lvlText w:val="-"/>
      <w:lvlJc w:val="left"/>
      <w:pPr>
        <w:ind w:left="3240" w:hanging="720"/>
      </w:pPr>
      <w:rPr>
        <w:rFonts w:ascii="Arial" w:eastAsia="Times New Roman" w:hAnsi="Arial" w:cs="Aria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3"/>
  </w:num>
  <w:num w:numId="5">
    <w:abstractNumId w:val="25"/>
  </w:num>
  <w:num w:numId="6">
    <w:abstractNumId w:val="12"/>
  </w:num>
  <w:num w:numId="7">
    <w:abstractNumId w:val="4"/>
  </w:num>
  <w:num w:numId="8">
    <w:abstractNumId w:val="4"/>
  </w:num>
  <w:num w:numId="9">
    <w:abstractNumId w:val="1"/>
  </w:num>
  <w:num w:numId="10">
    <w:abstractNumId w:val="22"/>
  </w:num>
  <w:num w:numId="11">
    <w:abstractNumId w:val="11"/>
  </w:num>
  <w:num w:numId="12">
    <w:abstractNumId w:val="13"/>
  </w:num>
  <w:num w:numId="13">
    <w:abstractNumId w:val="18"/>
  </w:num>
  <w:num w:numId="14">
    <w:abstractNumId w:val="5"/>
  </w:num>
  <w:num w:numId="15">
    <w:abstractNumId w:val="16"/>
  </w:num>
  <w:num w:numId="16">
    <w:abstractNumId w:val="26"/>
  </w:num>
  <w:num w:numId="17">
    <w:abstractNumId w:val="6"/>
  </w:num>
  <w:num w:numId="18">
    <w:abstractNumId w:val="17"/>
  </w:num>
  <w:num w:numId="19">
    <w:abstractNumId w:val="15"/>
  </w:num>
  <w:num w:numId="20">
    <w:abstractNumId w:val="8"/>
  </w:num>
  <w:num w:numId="21">
    <w:abstractNumId w:val="24"/>
  </w:num>
  <w:num w:numId="22">
    <w:abstractNumId w:val="10"/>
  </w:num>
  <w:num w:numId="23">
    <w:abstractNumId w:val="21"/>
  </w:num>
  <w:num w:numId="24">
    <w:abstractNumId w:val="2"/>
  </w:num>
  <w:num w:numId="25">
    <w:abstractNumId w:val="14"/>
  </w:num>
  <w:num w:numId="26">
    <w:abstractNumId w:val="9"/>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3A"/>
    <w:rsid w:val="00041922"/>
    <w:rsid w:val="00057514"/>
    <w:rsid w:val="000A7FDF"/>
    <w:rsid w:val="00177083"/>
    <w:rsid w:val="001F7ACB"/>
    <w:rsid w:val="00204F76"/>
    <w:rsid w:val="00231D1C"/>
    <w:rsid w:val="002A6825"/>
    <w:rsid w:val="002E6465"/>
    <w:rsid w:val="0035608B"/>
    <w:rsid w:val="003910D9"/>
    <w:rsid w:val="003E2A3C"/>
    <w:rsid w:val="003F4B63"/>
    <w:rsid w:val="00403D04"/>
    <w:rsid w:val="004457BC"/>
    <w:rsid w:val="005132E1"/>
    <w:rsid w:val="00543B3A"/>
    <w:rsid w:val="005B17ED"/>
    <w:rsid w:val="0064057B"/>
    <w:rsid w:val="006F1325"/>
    <w:rsid w:val="0082170C"/>
    <w:rsid w:val="00891749"/>
    <w:rsid w:val="008B5C0F"/>
    <w:rsid w:val="00921911"/>
    <w:rsid w:val="00925421"/>
    <w:rsid w:val="00995F98"/>
    <w:rsid w:val="009A7B37"/>
    <w:rsid w:val="00A43C38"/>
    <w:rsid w:val="00A7533C"/>
    <w:rsid w:val="00A8273D"/>
    <w:rsid w:val="00AC7AF4"/>
    <w:rsid w:val="00AD0A95"/>
    <w:rsid w:val="00B91016"/>
    <w:rsid w:val="00BF0B67"/>
    <w:rsid w:val="00BF72A5"/>
    <w:rsid w:val="00C53B1A"/>
    <w:rsid w:val="00CB277B"/>
    <w:rsid w:val="00CF0F9F"/>
    <w:rsid w:val="00CF1F2D"/>
    <w:rsid w:val="00D322FD"/>
    <w:rsid w:val="00D42BA1"/>
    <w:rsid w:val="00D92069"/>
    <w:rsid w:val="00D97A46"/>
    <w:rsid w:val="00E029FC"/>
    <w:rsid w:val="00E275CE"/>
    <w:rsid w:val="00E8207C"/>
    <w:rsid w:val="00E912AA"/>
    <w:rsid w:val="00EC1345"/>
    <w:rsid w:val="00EF35C0"/>
    <w:rsid w:val="00F44974"/>
    <w:rsid w:val="00FA559A"/>
    <w:rsid w:val="00FB300B"/>
    <w:rsid w:val="00FD60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69898-43F5-4C03-884A-4B1AF99E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3A"/>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A43C38"/>
    <w:pPr>
      <w:spacing w:before="240" w:after="60"/>
      <w:outlineLvl w:val="4"/>
    </w:pPr>
    <w:rPr>
      <w:b/>
      <w:bCs/>
      <w:i/>
      <w:iCs/>
      <w:sz w:val="26"/>
      <w:szCs w:val="26"/>
    </w:rPr>
  </w:style>
  <w:style w:type="paragraph" w:styleId="Heading9">
    <w:name w:val="heading 9"/>
    <w:basedOn w:val="Normal"/>
    <w:next w:val="Normal"/>
    <w:link w:val="Heading9Char"/>
    <w:qFormat/>
    <w:rsid w:val="00A43C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3B3A"/>
    <w:rPr>
      <w:color w:val="0000FF"/>
      <w:u w:val="single"/>
    </w:rPr>
  </w:style>
  <w:style w:type="paragraph" w:styleId="BodyTextIndent">
    <w:name w:val="Body Text Indent"/>
    <w:basedOn w:val="Normal"/>
    <w:link w:val="BodyTextIndentChar"/>
    <w:uiPriority w:val="99"/>
    <w:semiHidden/>
    <w:unhideWhenUsed/>
    <w:rsid w:val="00543B3A"/>
    <w:pPr>
      <w:ind w:left="540"/>
      <w:jc w:val="both"/>
    </w:pPr>
    <w:rPr>
      <w:rFonts w:ascii="Arial" w:hAnsi="Arial"/>
      <w:sz w:val="17"/>
    </w:rPr>
  </w:style>
  <w:style w:type="character" w:customStyle="1" w:styleId="BodyTextIndentChar">
    <w:name w:val="Body Text Indent Char"/>
    <w:basedOn w:val="DefaultParagraphFont"/>
    <w:link w:val="BodyTextIndent"/>
    <w:uiPriority w:val="99"/>
    <w:semiHidden/>
    <w:rsid w:val="00543B3A"/>
    <w:rPr>
      <w:rFonts w:ascii="Arial" w:eastAsia="Times New Roman" w:hAnsi="Arial" w:cs="Times New Roman"/>
      <w:sz w:val="17"/>
      <w:szCs w:val="24"/>
      <w:lang w:val="en-GB"/>
    </w:rPr>
  </w:style>
  <w:style w:type="paragraph" w:styleId="ListParagraph">
    <w:name w:val="List Paragraph"/>
    <w:basedOn w:val="Normal"/>
    <w:uiPriority w:val="34"/>
    <w:qFormat/>
    <w:rsid w:val="00543B3A"/>
    <w:pPr>
      <w:ind w:left="720"/>
    </w:pPr>
  </w:style>
  <w:style w:type="paragraph" w:customStyle="1" w:styleId="Intro">
    <w:name w:val="Intro"/>
    <w:basedOn w:val="Normal"/>
    <w:rsid w:val="00543B3A"/>
    <w:pPr>
      <w:snapToGrid w:val="0"/>
      <w:jc w:val="both"/>
    </w:pPr>
    <w:rPr>
      <w:rFonts w:ascii="Arial" w:hAnsi="Arial"/>
      <w:b/>
      <w:bCs/>
      <w:sz w:val="20"/>
      <w:szCs w:val="20"/>
      <w:lang w:val="nl-NL"/>
    </w:rPr>
  </w:style>
  <w:style w:type="paragraph" w:customStyle="1" w:styleId="Default">
    <w:name w:val="Default"/>
    <w:rsid w:val="00543B3A"/>
    <w:pPr>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styleId="NoSpacing">
    <w:name w:val="No Spacing"/>
    <w:uiPriority w:val="1"/>
    <w:qFormat/>
    <w:rsid w:val="00543B3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FB300B"/>
    <w:pPr>
      <w:tabs>
        <w:tab w:val="center" w:pos="4536"/>
        <w:tab w:val="right" w:pos="9072"/>
      </w:tabs>
    </w:pPr>
  </w:style>
  <w:style w:type="character" w:customStyle="1" w:styleId="HeaderChar">
    <w:name w:val="Header Char"/>
    <w:basedOn w:val="DefaultParagraphFont"/>
    <w:link w:val="Header"/>
    <w:uiPriority w:val="99"/>
    <w:rsid w:val="00FB30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B300B"/>
    <w:pPr>
      <w:tabs>
        <w:tab w:val="center" w:pos="4536"/>
        <w:tab w:val="right" w:pos="9072"/>
      </w:tabs>
    </w:pPr>
  </w:style>
  <w:style w:type="character" w:customStyle="1" w:styleId="FooterChar">
    <w:name w:val="Footer Char"/>
    <w:basedOn w:val="DefaultParagraphFont"/>
    <w:link w:val="Footer"/>
    <w:uiPriority w:val="99"/>
    <w:rsid w:val="00FB300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F7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CB"/>
    <w:rPr>
      <w:rFonts w:ascii="Segoe UI" w:eastAsia="Times New Roman" w:hAnsi="Segoe UI" w:cs="Segoe UI"/>
      <w:sz w:val="18"/>
      <w:szCs w:val="18"/>
      <w:lang w:val="en-GB"/>
    </w:rPr>
  </w:style>
  <w:style w:type="character" w:customStyle="1" w:styleId="Heading9Char">
    <w:name w:val="Heading 9 Char"/>
    <w:basedOn w:val="DefaultParagraphFont"/>
    <w:link w:val="Heading9"/>
    <w:rsid w:val="00A43C38"/>
    <w:rPr>
      <w:rFonts w:ascii="Arial" w:eastAsia="Times New Roman" w:hAnsi="Arial" w:cs="Arial"/>
      <w:lang w:val="en-GB"/>
    </w:rPr>
  </w:style>
  <w:style w:type="character" w:customStyle="1" w:styleId="Heading5Char">
    <w:name w:val="Heading 5 Char"/>
    <w:basedOn w:val="DefaultParagraphFont"/>
    <w:link w:val="Heading5"/>
    <w:rsid w:val="00A43C38"/>
    <w:rPr>
      <w:rFonts w:ascii="Times New Roman" w:eastAsia="Times New Roman" w:hAnsi="Times New Roman" w:cs="Times New Roman"/>
      <w:b/>
      <w:bCs/>
      <w:i/>
      <w:iCs/>
      <w:sz w:val="26"/>
      <w:szCs w:val="26"/>
      <w:lang w:val="en-GB"/>
    </w:rPr>
  </w:style>
  <w:style w:type="paragraph" w:styleId="NormalWeb">
    <w:name w:val="Normal (Web)"/>
    <w:basedOn w:val="Normal"/>
    <w:uiPriority w:val="99"/>
    <w:semiHidden/>
    <w:unhideWhenUsed/>
    <w:rsid w:val="00CF0F9F"/>
    <w:pPr>
      <w:spacing w:before="100" w:beforeAutospacing="1" w:after="100" w:afterAutospacing="1"/>
    </w:pPr>
    <w:rPr>
      <w:rFonts w:eastAsiaTheme="minorEastAsia"/>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essofficekbc@kbc.b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wim.allegaert@kbc.be" TargetMode="External"/><Relationship Id="rId17" Type="http://schemas.openxmlformats.org/officeDocument/2006/relationships/hyperlink" Target="http://www.twitter.com/kbc_gro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essofficekbc@kbc.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bc.com/"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ssofficekbc@kbc.b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6736</Words>
  <Characters>37054</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43703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Costrop Joke</dc:creator>
  <cp:keywords/>
  <dc:description/>
  <cp:lastModifiedBy>Leunens Stef</cp:lastModifiedBy>
  <cp:revision>16</cp:revision>
  <cp:lastPrinted>2016-02-17T18:09:00Z</cp:lastPrinted>
  <dcterms:created xsi:type="dcterms:W3CDTF">2016-02-17T16:58:00Z</dcterms:created>
  <dcterms:modified xsi:type="dcterms:W3CDTF">2016-02-17T18:53:00Z</dcterms:modified>
</cp:coreProperties>
</file>