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5288" w14:textId="44399BF4" w:rsidR="00A65838" w:rsidRDefault="00A65838" w:rsidP="00A65838">
      <w:pPr>
        <w:spacing w:after="0" w:line="280" w:lineRule="exact"/>
        <w:ind w:right="1418"/>
        <w:rPr>
          <w:rFonts w:ascii="Arial" w:hAnsi="Arial" w:cs="Arial"/>
          <w:b/>
          <w:sz w:val="28"/>
          <w:szCs w:val="28"/>
        </w:rPr>
      </w:pPr>
    </w:p>
    <w:p w14:paraId="0988282A" w14:textId="6C8A48F4" w:rsidR="00B1643E" w:rsidRPr="00596343" w:rsidRDefault="00393886" w:rsidP="00596343">
      <w:pPr>
        <w:spacing w:after="240" w:line="264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BUILDING 5G INFRASTRUCTURE: </w:t>
      </w:r>
      <w:r w:rsidR="002D4845" w:rsidRPr="00596343">
        <w:rPr>
          <w:rFonts w:ascii="Arial" w:hAnsi="Arial" w:cs="Arial"/>
          <w:b/>
          <w:spacing w:val="-2"/>
          <w:sz w:val="36"/>
          <w:szCs w:val="36"/>
        </w:rPr>
        <w:t>THE ECONOMIC CONSEQUENCES OF RESTRICTING</w:t>
      </w:r>
      <w:r w:rsidR="002D4845">
        <w:rPr>
          <w:rFonts w:ascii="Arial" w:hAnsi="Arial" w:cs="Arial"/>
          <w:b/>
          <w:sz w:val="36"/>
          <w:szCs w:val="36"/>
        </w:rPr>
        <w:t xml:space="preserve"> COMPETITIO</w:t>
      </w:r>
      <w:r>
        <w:rPr>
          <w:rFonts w:ascii="Arial" w:hAnsi="Arial" w:cs="Arial"/>
          <w:b/>
          <w:sz w:val="36"/>
          <w:szCs w:val="36"/>
        </w:rPr>
        <w:t>N</w:t>
      </w:r>
    </w:p>
    <w:p w14:paraId="16168A61" w14:textId="101DAEBB" w:rsidR="002D4845" w:rsidRPr="00596343" w:rsidRDefault="00AE37F9" w:rsidP="002D4845">
      <w:pPr>
        <w:spacing w:before="160" w:after="240"/>
        <w:rPr>
          <w:rStyle w:val="IntenseEmphasis"/>
          <w:rFonts w:ascii="Arial" w:hAnsi="Arial" w:cs="Arial"/>
          <w:i w:val="0"/>
          <w:color w:val="auto"/>
          <w:spacing w:val="-4"/>
          <w:sz w:val="28"/>
          <w:szCs w:val="28"/>
        </w:rPr>
      </w:pPr>
      <w:r>
        <w:rPr>
          <w:rStyle w:val="IntenseEmphasis"/>
          <w:rFonts w:ascii="Arial" w:hAnsi="Arial" w:cs="Arial"/>
          <w:i w:val="0"/>
          <w:color w:val="auto"/>
          <w:spacing w:val="-4"/>
          <w:sz w:val="28"/>
          <w:szCs w:val="28"/>
        </w:rPr>
        <w:t>A n</w:t>
      </w:r>
      <w:r w:rsidR="007139A9">
        <w:rPr>
          <w:rStyle w:val="IntenseEmphasis"/>
          <w:rFonts w:ascii="Arial" w:hAnsi="Arial" w:cs="Arial"/>
          <w:i w:val="0"/>
          <w:color w:val="auto"/>
          <w:spacing w:val="-4"/>
          <w:sz w:val="28"/>
          <w:szCs w:val="28"/>
        </w:rPr>
        <w:t>ew global report</w:t>
      </w:r>
      <w:r w:rsidR="002D4845" w:rsidRPr="00596343">
        <w:rPr>
          <w:rStyle w:val="IntenseEmphasis"/>
          <w:rFonts w:ascii="Arial" w:hAnsi="Arial" w:cs="Arial"/>
          <w:i w:val="0"/>
          <w:color w:val="auto"/>
          <w:spacing w:val="-4"/>
          <w:sz w:val="28"/>
          <w:szCs w:val="28"/>
        </w:rPr>
        <w:t xml:space="preserve"> by Oxford Economics sheds light on the potential costs </w:t>
      </w:r>
      <w:proofErr w:type="gramStart"/>
      <w:r w:rsidR="000E5935">
        <w:rPr>
          <w:rStyle w:val="IntenseEmphasis"/>
          <w:rFonts w:ascii="Arial" w:hAnsi="Arial" w:cs="Arial"/>
          <w:i w:val="0"/>
          <w:color w:val="auto"/>
          <w:spacing w:val="-4"/>
          <w:sz w:val="28"/>
          <w:szCs w:val="28"/>
        </w:rPr>
        <w:t>with regard to</w:t>
      </w:r>
      <w:proofErr w:type="gramEnd"/>
      <w:r w:rsidR="000E5935" w:rsidRPr="00596343">
        <w:rPr>
          <w:rStyle w:val="IntenseEmphasis"/>
          <w:rFonts w:ascii="Arial" w:hAnsi="Arial" w:cs="Arial"/>
          <w:i w:val="0"/>
          <w:color w:val="auto"/>
          <w:spacing w:val="-4"/>
          <w:sz w:val="28"/>
          <w:szCs w:val="28"/>
        </w:rPr>
        <w:t xml:space="preserve"> </w:t>
      </w:r>
      <w:r w:rsidR="002D4845" w:rsidRPr="00596343">
        <w:rPr>
          <w:rStyle w:val="IntenseEmphasis"/>
          <w:rFonts w:ascii="Arial" w:hAnsi="Arial" w:cs="Arial"/>
          <w:i w:val="0"/>
          <w:color w:val="auto"/>
          <w:spacing w:val="-4"/>
          <w:sz w:val="28"/>
          <w:szCs w:val="28"/>
        </w:rPr>
        <w:t>price, time, and productivity across eight leading 5G markets</w:t>
      </w:r>
    </w:p>
    <w:p w14:paraId="6CE0DA4A" w14:textId="77777777" w:rsidR="002E22FD" w:rsidRDefault="00C4660B" w:rsidP="00357D0C">
      <w:pPr>
        <w:rPr>
          <w:rFonts w:ascii="Arial" w:hAnsi="Arial" w:cs="Arial"/>
          <w:sz w:val="20"/>
          <w:szCs w:val="20"/>
        </w:rPr>
      </w:pPr>
      <w:r w:rsidRPr="00702A3F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br/>
      </w:r>
      <w:r w:rsidR="00762E99" w:rsidRPr="006975EA">
        <w:rPr>
          <w:rStyle w:val="IntenseEmphasis"/>
          <w:rFonts w:ascii="Arial" w:hAnsi="Arial" w:cs="Arial"/>
          <w:b/>
          <w:i w:val="0"/>
          <w:color w:val="auto"/>
          <w:sz w:val="20"/>
          <w:szCs w:val="20"/>
        </w:rPr>
        <w:t xml:space="preserve">The next generation of mobile technology, 5G, </w:t>
      </w:r>
      <w:r w:rsidRPr="006975EA">
        <w:rPr>
          <w:rStyle w:val="IntenseEmphasis"/>
          <w:rFonts w:ascii="Arial" w:hAnsi="Arial" w:cs="Arial"/>
          <w:b/>
          <w:i w:val="0"/>
          <w:color w:val="auto"/>
          <w:sz w:val="20"/>
          <w:szCs w:val="20"/>
        </w:rPr>
        <w:t>offers enormous opportunities for countries who facilitate its widespread provision.</w:t>
      </w:r>
      <w:r w:rsidRPr="00702A3F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357D0C">
        <w:rPr>
          <w:rFonts w:ascii="Arial" w:hAnsi="Arial" w:cs="Arial"/>
          <w:sz w:val="20"/>
          <w:szCs w:val="20"/>
        </w:rPr>
        <w:t>5G has the potential to both reduce costs and unlock new income streams across all sectors of industry, improving productivity levels throughout the global economy.</w:t>
      </w:r>
      <w:r w:rsidR="002E22FD">
        <w:rPr>
          <w:rFonts w:ascii="Arial" w:hAnsi="Arial" w:cs="Arial"/>
          <w:sz w:val="20"/>
          <w:szCs w:val="20"/>
        </w:rPr>
        <w:t xml:space="preserve"> </w:t>
      </w:r>
    </w:p>
    <w:p w14:paraId="6444E35E" w14:textId="0921B31B" w:rsidR="00357D0C" w:rsidRDefault="00357D0C" w:rsidP="00357D0C">
      <w:pPr>
        <w:rPr>
          <w:rFonts w:ascii="Arial" w:hAnsi="Arial" w:cs="Arial"/>
          <w:sz w:val="20"/>
          <w:szCs w:val="20"/>
        </w:rPr>
      </w:pPr>
      <w:r w:rsidRPr="00357D0C">
        <w:rPr>
          <w:rFonts w:ascii="Arial" w:hAnsi="Arial" w:cs="Arial"/>
          <w:sz w:val="20"/>
          <w:szCs w:val="20"/>
        </w:rPr>
        <w:t>Globally, the telecommunications network infrastructure market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is dominated by three players—Ericsson, Huawei and Nokia.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However, the participation of one of these organisations—Huawei—in the rollout of 5G is likely to be constrained by a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series of political decisions.</w:t>
      </w:r>
    </w:p>
    <w:p w14:paraId="42C29EA2" w14:textId="41766378" w:rsidR="00357D0C" w:rsidRDefault="00357D0C" w:rsidP="00357D0C">
      <w:pPr>
        <w:rPr>
          <w:rFonts w:ascii="Arial" w:hAnsi="Arial" w:cs="Arial"/>
          <w:sz w:val="20"/>
          <w:szCs w:val="20"/>
        </w:rPr>
      </w:pPr>
      <w:r w:rsidRPr="00357D0C">
        <w:rPr>
          <w:rFonts w:ascii="Arial" w:hAnsi="Arial" w:cs="Arial"/>
          <w:sz w:val="20"/>
          <w:szCs w:val="20"/>
        </w:rPr>
        <w:t>It is broadly agreed that restricting such a significant player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from bidding for contracts will lead to higher prices, rollout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delays and hence a slower diffusion of associated technological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innovation. However, to date, there has been no systematic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attempt to quantify the potential scale of these effects. In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this context, Huawei has commissioned Oxford Economics to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assess the economic cost of restricting competition in the eight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markets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Australia, Canada, France, Germany, India, Japan, the United Kingdom, and the United States</w:t>
      </w:r>
    </w:p>
    <w:p w14:paraId="6C122AE1" w14:textId="77777777" w:rsidR="00357D0C" w:rsidRDefault="00357D0C" w:rsidP="00357D0C">
      <w:pPr>
        <w:rPr>
          <w:rFonts w:ascii="Arial" w:hAnsi="Arial" w:cs="Arial"/>
          <w:sz w:val="20"/>
          <w:szCs w:val="20"/>
        </w:rPr>
      </w:pPr>
      <w:r w:rsidRPr="00357D0C">
        <w:rPr>
          <w:rFonts w:ascii="Arial" w:hAnsi="Arial" w:cs="Arial"/>
          <w:sz w:val="20"/>
          <w:szCs w:val="20"/>
        </w:rPr>
        <w:t>To reflect the uncertainty inherent in such a process, we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modelled three alternative scenarios. These are termed “low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cost”, “central cost”, and “high cost” respectively. All give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results relative to our baseline scenario in which no competition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restrictions are imposed on the 5G infrastructure market.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FEB329" w14:textId="77777777" w:rsidR="002E22FD" w:rsidRPr="006975EA" w:rsidRDefault="002E22FD" w:rsidP="002E22FD">
      <w:pPr>
        <w:spacing w:after="80"/>
        <w:rPr>
          <w:rFonts w:ascii="Arial" w:hAnsi="Arial" w:cs="Arial"/>
          <w:b/>
          <w:sz w:val="20"/>
          <w:szCs w:val="20"/>
        </w:rPr>
      </w:pPr>
      <w:r>
        <w:rPr>
          <w:rStyle w:val="IntenseEmphasis"/>
          <w:rFonts w:ascii="Arial" w:hAnsi="Arial" w:cs="Arial"/>
          <w:b/>
          <w:i w:val="0"/>
          <w:color w:val="auto"/>
          <w:sz w:val="20"/>
          <w:szCs w:val="20"/>
        </w:rPr>
        <w:t>ECONOMIC IMPACTS OF RESTRICTING 5G COMPETITION</w:t>
      </w:r>
    </w:p>
    <w:p w14:paraId="7F42D637" w14:textId="75B989F6" w:rsidR="00357D0C" w:rsidRDefault="00357D0C" w:rsidP="00357D0C">
      <w:pPr>
        <w:rPr>
          <w:rFonts w:ascii="Arial" w:hAnsi="Arial" w:cs="Arial"/>
          <w:sz w:val="20"/>
          <w:szCs w:val="20"/>
        </w:rPr>
      </w:pPr>
      <w:r w:rsidRPr="00357D0C">
        <w:rPr>
          <w:rFonts w:ascii="Arial" w:hAnsi="Arial" w:cs="Arial"/>
          <w:sz w:val="20"/>
          <w:szCs w:val="20"/>
        </w:rPr>
        <w:t>Restricting a key supplier of 5G infrastructure from helping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to build a country’s network would increase that country’s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5G investment costs by a total of between 8% and 29% over the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next decade (see Fig. 1). Linked to these investment cost increases, the restriction in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competition for 5G infrastructure would lead to delays in the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network rollout that mean millions fewer people would be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covered by the 5G network in 2023.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A delay in the rollout of 5G would also result in slower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technological innovation and reduced economic growth. In our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central cost scenario, this would result in reductions to national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GDP in 2035 ranging from $2.8 billion in Australia to $21.9 billion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in the US. Across all eight countries in our study, this means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GDP per capita would be lower by an average of $100 per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 xml:space="preserve">person in </w:t>
      </w:r>
      <w:r w:rsidRPr="00357D0C">
        <w:rPr>
          <w:rFonts w:ascii="Arial" w:hAnsi="Arial" w:cs="Arial"/>
          <w:sz w:val="20"/>
          <w:szCs w:val="20"/>
        </w:rPr>
        <w:t xml:space="preserve">2035, </w:t>
      </w:r>
      <w:r>
        <w:rPr>
          <w:rFonts w:ascii="Arial" w:hAnsi="Arial" w:cs="Arial"/>
          <w:sz w:val="20"/>
          <w:szCs w:val="20"/>
        </w:rPr>
        <w:t>compared</w:t>
      </w:r>
      <w:r w:rsidRPr="00357D0C">
        <w:rPr>
          <w:rFonts w:ascii="Arial" w:hAnsi="Arial" w:cs="Arial"/>
          <w:sz w:val="20"/>
          <w:szCs w:val="20"/>
        </w:rPr>
        <w:t xml:space="preserve"> with a world where there is no such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restriction in 5G infrastructure provision.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The uncertainty of the economic impact of restrictions on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>competition is reflected in Fig. 1, which shows the range of</w:t>
      </w:r>
      <w:r>
        <w:rPr>
          <w:rFonts w:ascii="Arial" w:hAnsi="Arial" w:cs="Arial"/>
          <w:sz w:val="20"/>
          <w:szCs w:val="20"/>
        </w:rPr>
        <w:t xml:space="preserve"> </w:t>
      </w:r>
      <w:r w:rsidRPr="00357D0C">
        <w:rPr>
          <w:rFonts w:ascii="Arial" w:hAnsi="Arial" w:cs="Arial"/>
          <w:sz w:val="20"/>
          <w:szCs w:val="20"/>
        </w:rPr>
        <w:t xml:space="preserve">estimates between our low cost and high cost scenarios. </w:t>
      </w:r>
    </w:p>
    <w:p w14:paraId="4804F0D8" w14:textId="656D17B3" w:rsidR="00357D0C" w:rsidRDefault="00357D0C" w:rsidP="00357D0C">
      <w:pPr>
        <w:pStyle w:val="FigureHead"/>
        <w:numPr>
          <w:ilvl w:val="0"/>
          <w:numId w:val="6"/>
        </w:numPr>
        <w:tabs>
          <w:tab w:val="clear" w:pos="1985"/>
          <w:tab w:val="left" w:pos="0"/>
        </w:tabs>
        <w:ind w:firstLine="0"/>
        <w:rPr>
          <w:rFonts w:eastAsia="Calibri"/>
        </w:rPr>
      </w:pPr>
      <w:bookmarkStart w:id="0" w:name="_Ref24029263"/>
      <w:r>
        <w:rPr>
          <w:rFonts w:eastAsia="Calibri"/>
        </w:rPr>
        <w:t>E</w:t>
      </w:r>
      <w:r w:rsidRPr="00C60306">
        <w:rPr>
          <w:rFonts w:eastAsia="Calibri"/>
        </w:rPr>
        <w:t xml:space="preserve">conomic impacts </w:t>
      </w:r>
      <w:r>
        <w:rPr>
          <w:rFonts w:eastAsia="Calibri"/>
        </w:rPr>
        <w:t xml:space="preserve">of restricting a player of Huawei’s size </w:t>
      </w:r>
      <w:r>
        <w:rPr>
          <w:lang w:eastAsia="en-GB"/>
        </w:rPr>
        <w:t>from competing in the 5G infrastructure market</w:t>
      </w:r>
      <w:bookmarkEnd w:id="0"/>
    </w:p>
    <w:tbl>
      <w:tblPr>
        <w:tblStyle w:val="OETable"/>
        <w:tblpPr w:leftFromText="180" w:rightFromText="180" w:topFromText="240" w:bottomFromText="160" w:vertAnchor="text" w:horzAnchor="margin" w:tblpY="99"/>
        <w:tblW w:w="9000" w:type="dxa"/>
        <w:tblLayout w:type="fixed"/>
        <w:tblLook w:val="04A0" w:firstRow="1" w:lastRow="0" w:firstColumn="1" w:lastColumn="0" w:noHBand="0" w:noVBand="1"/>
      </w:tblPr>
      <w:tblGrid>
        <w:gridCol w:w="1982"/>
        <w:gridCol w:w="1801"/>
        <w:gridCol w:w="2521"/>
        <w:gridCol w:w="2696"/>
      </w:tblGrid>
      <w:tr w:rsidR="00357D0C" w14:paraId="04808268" w14:textId="77777777" w:rsidTr="00D26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noWrap/>
          </w:tcPr>
          <w:p w14:paraId="009859DA" w14:textId="77777777" w:rsidR="00357D0C" w:rsidRDefault="00357D0C" w:rsidP="00357D0C">
            <w:pPr>
              <w:pStyle w:val="BoxNormalText"/>
              <w:spacing w:before="0" w:after="0" w:line="240" w:lineRule="auto"/>
              <w:ind w:left="0"/>
              <w:rPr>
                <w:b/>
                <w:lang w:eastAsia="en-GB"/>
              </w:rPr>
            </w:pPr>
          </w:p>
          <w:p w14:paraId="6FBBA954" w14:textId="77777777" w:rsidR="00357D0C" w:rsidRDefault="00357D0C" w:rsidP="00357D0C">
            <w:pPr>
              <w:pStyle w:val="BoxNormalText"/>
              <w:spacing w:before="0" w:after="0" w:line="240" w:lineRule="auto"/>
              <w:ind w:left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Market</w:t>
            </w:r>
          </w:p>
        </w:tc>
        <w:tc>
          <w:tcPr>
            <w:tcW w:w="1801" w:type="dxa"/>
            <w:noWrap/>
          </w:tcPr>
          <w:p w14:paraId="1B39918D" w14:textId="77777777" w:rsidR="00357D0C" w:rsidRDefault="00357D0C" w:rsidP="00357D0C">
            <w:pPr>
              <w:pStyle w:val="BoxNormalText"/>
              <w:spacing w:before="0"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Price impact</w:t>
            </w:r>
          </w:p>
          <w:p w14:paraId="0A918E11" w14:textId="77777777" w:rsidR="00357D0C" w:rsidRDefault="00357D0C" w:rsidP="00357D0C">
            <w:pPr>
              <w:pStyle w:val="BoxNormalText"/>
              <w:spacing w:before="0"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(% increase in investment costs)</w:t>
            </w:r>
          </w:p>
        </w:tc>
        <w:tc>
          <w:tcPr>
            <w:tcW w:w="2521" w:type="dxa"/>
            <w:noWrap/>
          </w:tcPr>
          <w:p w14:paraId="31A04E61" w14:textId="77777777" w:rsidR="00357D0C" w:rsidRDefault="00357D0C" w:rsidP="00357D0C">
            <w:pPr>
              <w:pStyle w:val="BoxNormalText"/>
              <w:spacing w:before="0"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Reduction in number of people with access to 5G by 2023</w:t>
            </w:r>
          </w:p>
          <w:p w14:paraId="23114D8E" w14:textId="25CFD80E" w:rsidR="00357D0C" w:rsidRDefault="00357D0C" w:rsidP="00357D0C">
            <w:pPr>
              <w:pStyle w:val="BoxNormalText"/>
              <w:spacing w:before="0"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(millions)</w:t>
            </w:r>
          </w:p>
        </w:tc>
        <w:tc>
          <w:tcPr>
            <w:tcW w:w="2696" w:type="dxa"/>
            <w:noWrap/>
          </w:tcPr>
          <w:p w14:paraId="45E39B48" w14:textId="77777777" w:rsidR="00357D0C" w:rsidRDefault="00357D0C" w:rsidP="00357D0C">
            <w:pPr>
              <w:pStyle w:val="BoxNormalText"/>
              <w:spacing w:before="0"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Reduction in GDP </w:t>
            </w:r>
            <w:r>
              <w:rPr>
                <w:b/>
                <w:lang w:eastAsia="en-GB"/>
              </w:rPr>
              <w:br/>
              <w:t>in 2035</w:t>
            </w:r>
          </w:p>
          <w:p w14:paraId="47C8FC36" w14:textId="77777777" w:rsidR="00357D0C" w:rsidRDefault="00357D0C" w:rsidP="00357D0C">
            <w:pPr>
              <w:pStyle w:val="BoxNormalText"/>
              <w:spacing w:before="0"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(US$ billions, 2019 prices)</w:t>
            </w:r>
          </w:p>
        </w:tc>
      </w:tr>
      <w:tr w:rsidR="00357D0C" w14:paraId="09554626" w14:textId="77777777" w:rsidTr="00D267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177AA4" w14:textId="77777777" w:rsidR="00357D0C" w:rsidRPr="006C4F9A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jc w:val="center"/>
              <w:rPr>
                <w:b/>
                <w:color w:val="000000"/>
                <w:lang w:eastAsia="en-GB"/>
              </w:rPr>
            </w:pPr>
            <w:r w:rsidRPr="006C4F9A">
              <w:rPr>
                <w:b/>
                <w:color w:val="000000"/>
                <w:lang w:eastAsia="en-GB"/>
              </w:rPr>
              <w:t>Australia</w:t>
            </w:r>
          </w:p>
        </w:tc>
        <w:tc>
          <w:tcPr>
            <w:tcW w:w="18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CC8BB86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8% to 27%</w:t>
            </w:r>
          </w:p>
        </w:tc>
        <w:tc>
          <w:tcPr>
            <w:tcW w:w="2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BCEC445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0.0 to 3.1</w:t>
            </w:r>
          </w:p>
        </w:tc>
        <w:tc>
          <w:tcPr>
            <w:tcW w:w="2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64C5493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0.8 to 8.2</w:t>
            </w:r>
          </w:p>
        </w:tc>
      </w:tr>
      <w:tr w:rsidR="00357D0C" w14:paraId="6821C13A" w14:textId="77777777" w:rsidTr="00D267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770E2DE" w14:textId="77777777" w:rsidR="00357D0C" w:rsidRPr="006C4F9A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jc w:val="center"/>
              <w:rPr>
                <w:b/>
                <w:color w:val="000000"/>
                <w:lang w:eastAsia="en-GB"/>
              </w:rPr>
            </w:pPr>
            <w:r w:rsidRPr="006C4F9A">
              <w:rPr>
                <w:b/>
                <w:color w:val="000000"/>
                <w:lang w:eastAsia="en-GB"/>
              </w:rPr>
              <w:t>Canada</w:t>
            </w:r>
          </w:p>
        </w:tc>
        <w:tc>
          <w:tcPr>
            <w:tcW w:w="18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0BC27EE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8% to 24%</w:t>
            </w:r>
          </w:p>
        </w:tc>
        <w:tc>
          <w:tcPr>
            <w:tcW w:w="2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D54A1AA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2.2 to 5.7</w:t>
            </w:r>
          </w:p>
        </w:tc>
        <w:tc>
          <w:tcPr>
            <w:tcW w:w="2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CAC62E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1.0 to 6.7</w:t>
            </w:r>
          </w:p>
        </w:tc>
      </w:tr>
      <w:tr w:rsidR="00357D0C" w14:paraId="05840D06" w14:textId="77777777" w:rsidTr="00D267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FECB46" w14:textId="77777777" w:rsidR="00357D0C" w:rsidRPr="006C4F9A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jc w:val="center"/>
              <w:rPr>
                <w:b/>
                <w:color w:val="000000"/>
                <w:lang w:eastAsia="en-GB"/>
              </w:rPr>
            </w:pPr>
            <w:r w:rsidRPr="006C4F9A">
              <w:rPr>
                <w:b/>
                <w:color w:val="000000"/>
                <w:lang w:eastAsia="en-GB"/>
              </w:rPr>
              <w:t>France</w:t>
            </w:r>
          </w:p>
        </w:tc>
        <w:tc>
          <w:tcPr>
            <w:tcW w:w="18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C92A46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9% to 29%</w:t>
            </w:r>
          </w:p>
        </w:tc>
        <w:tc>
          <w:tcPr>
            <w:tcW w:w="2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67A45B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2.1 to 5.7</w:t>
            </w:r>
          </w:p>
        </w:tc>
        <w:tc>
          <w:tcPr>
            <w:tcW w:w="2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9192A99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2.6 to 15.6</w:t>
            </w:r>
          </w:p>
        </w:tc>
      </w:tr>
      <w:tr w:rsidR="00357D0C" w14:paraId="5618897F" w14:textId="77777777" w:rsidTr="00D267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5F43FB3" w14:textId="77777777" w:rsidR="00357D0C" w:rsidRPr="006C4F9A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jc w:val="center"/>
              <w:rPr>
                <w:b/>
                <w:color w:val="000000"/>
                <w:lang w:eastAsia="en-GB"/>
              </w:rPr>
            </w:pPr>
            <w:r w:rsidRPr="006C4F9A">
              <w:rPr>
                <w:b/>
                <w:color w:val="000000"/>
                <w:lang w:eastAsia="en-GB"/>
              </w:rPr>
              <w:t>Germany</w:t>
            </w:r>
          </w:p>
        </w:tc>
        <w:tc>
          <w:tcPr>
            <w:tcW w:w="18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63C896B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9% to 29%</w:t>
            </w:r>
          </w:p>
        </w:tc>
        <w:tc>
          <w:tcPr>
            <w:tcW w:w="2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B70D472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3.8 to 10.0</w:t>
            </w:r>
          </w:p>
        </w:tc>
        <w:tc>
          <w:tcPr>
            <w:tcW w:w="2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292D596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2.4 to 13.8</w:t>
            </w:r>
          </w:p>
        </w:tc>
      </w:tr>
      <w:tr w:rsidR="00357D0C" w14:paraId="0F018AAE" w14:textId="77777777" w:rsidTr="00D267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65FBB36" w14:textId="77777777" w:rsidR="00357D0C" w:rsidRPr="006C4F9A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jc w:val="center"/>
              <w:rPr>
                <w:b/>
                <w:color w:val="000000"/>
                <w:lang w:eastAsia="en-GB"/>
              </w:rPr>
            </w:pPr>
            <w:r w:rsidRPr="006C4F9A">
              <w:rPr>
                <w:b/>
                <w:color w:val="000000"/>
                <w:lang w:eastAsia="en-GB"/>
              </w:rPr>
              <w:t>Japan</w:t>
            </w:r>
          </w:p>
        </w:tc>
        <w:tc>
          <w:tcPr>
            <w:tcW w:w="18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19DCA94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9% to 27%</w:t>
            </w:r>
          </w:p>
        </w:tc>
        <w:tc>
          <w:tcPr>
            <w:tcW w:w="2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D715FF0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7.2 to 19.1</w:t>
            </w:r>
          </w:p>
        </w:tc>
        <w:tc>
          <w:tcPr>
            <w:tcW w:w="2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17A61AA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5.3 to 34.3</w:t>
            </w:r>
          </w:p>
        </w:tc>
      </w:tr>
      <w:tr w:rsidR="00357D0C" w14:paraId="316E890B" w14:textId="77777777" w:rsidTr="00D267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931F978" w14:textId="77777777" w:rsidR="00357D0C" w:rsidRPr="006C4F9A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jc w:val="center"/>
              <w:rPr>
                <w:b/>
                <w:color w:val="000000"/>
                <w:lang w:eastAsia="en-GB"/>
              </w:rPr>
            </w:pPr>
            <w:r w:rsidRPr="006C4F9A">
              <w:rPr>
                <w:b/>
                <w:color w:val="000000"/>
                <w:lang w:eastAsia="en-GB"/>
              </w:rPr>
              <w:t>India</w:t>
            </w:r>
          </w:p>
        </w:tc>
        <w:tc>
          <w:tcPr>
            <w:tcW w:w="18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D3C5CA5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8% to 27%</w:t>
            </w:r>
          </w:p>
        </w:tc>
        <w:tc>
          <w:tcPr>
            <w:tcW w:w="2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FBAD692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15.9 to 45.3</w:t>
            </w:r>
          </w:p>
        </w:tc>
        <w:tc>
          <w:tcPr>
            <w:tcW w:w="2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DC67475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4.7 to 27.8</w:t>
            </w:r>
          </w:p>
        </w:tc>
      </w:tr>
      <w:tr w:rsidR="00357D0C" w14:paraId="0FCEC700" w14:textId="77777777" w:rsidTr="00D267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88C2AFB" w14:textId="77777777" w:rsidR="00357D0C" w:rsidRPr="006C4F9A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jc w:val="center"/>
              <w:rPr>
                <w:b/>
                <w:color w:val="000000"/>
                <w:lang w:eastAsia="en-GB"/>
              </w:rPr>
            </w:pPr>
            <w:r w:rsidRPr="006C4F9A">
              <w:rPr>
                <w:b/>
                <w:color w:val="000000"/>
                <w:lang w:eastAsia="en-GB"/>
              </w:rPr>
              <w:t>United Kingdom</w:t>
            </w:r>
          </w:p>
        </w:tc>
        <w:tc>
          <w:tcPr>
            <w:tcW w:w="18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459E408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9% to 29%</w:t>
            </w:r>
          </w:p>
        </w:tc>
        <w:tc>
          <w:tcPr>
            <w:tcW w:w="2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8DE2B1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3.9 to 10.4</w:t>
            </w:r>
          </w:p>
        </w:tc>
        <w:tc>
          <w:tcPr>
            <w:tcW w:w="2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93E8DB3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1.8 to 11.8</w:t>
            </w:r>
          </w:p>
        </w:tc>
      </w:tr>
      <w:tr w:rsidR="00357D0C" w14:paraId="07061E14" w14:textId="77777777" w:rsidTr="00D267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AB4FC9B" w14:textId="77777777" w:rsidR="00357D0C" w:rsidRPr="006C4F9A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jc w:val="center"/>
              <w:rPr>
                <w:b/>
                <w:color w:val="000000"/>
                <w:lang w:eastAsia="en-GB"/>
              </w:rPr>
            </w:pPr>
            <w:r w:rsidRPr="006C4F9A">
              <w:rPr>
                <w:b/>
                <w:color w:val="000000"/>
                <w:lang w:eastAsia="en-GB"/>
              </w:rPr>
              <w:t>United States</w:t>
            </w:r>
          </w:p>
        </w:tc>
        <w:tc>
          <w:tcPr>
            <w:tcW w:w="18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C4B8339" w14:textId="37496B36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8% to 24%</w:t>
            </w:r>
          </w:p>
        </w:tc>
        <w:tc>
          <w:tcPr>
            <w:tcW w:w="2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F61565" w14:textId="77777777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0.0 to 27.1</w:t>
            </w:r>
          </w:p>
        </w:tc>
        <w:tc>
          <w:tcPr>
            <w:tcW w:w="2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69FAEEB" w14:textId="1E072B85" w:rsidR="00357D0C" w:rsidRDefault="00357D0C" w:rsidP="00357D0C">
            <w:pPr>
              <w:pStyle w:val="BoxNormalText"/>
              <w:spacing w:before="100" w:beforeAutospacing="1" w:after="100" w:afterAutospacing="1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8.6 to </w:t>
            </w:r>
            <w:r>
              <w:rPr>
                <w:color w:val="000000"/>
                <w:lang w:eastAsia="en-GB"/>
              </w:rPr>
              <w:t>63.0</w:t>
            </w:r>
          </w:p>
        </w:tc>
      </w:tr>
    </w:tbl>
    <w:p w14:paraId="10BC9B4B" w14:textId="77777777" w:rsidR="00357D0C" w:rsidRPr="006C4F9A" w:rsidRDefault="00357D0C" w:rsidP="00357D0C">
      <w:pPr>
        <w:pStyle w:val="Source"/>
        <w:tabs>
          <w:tab w:val="clear" w:pos="1985"/>
          <w:tab w:val="left" w:pos="0"/>
        </w:tabs>
        <w:ind w:left="0"/>
        <w:rPr>
          <w:rFonts w:eastAsia="Calibri"/>
        </w:rPr>
      </w:pPr>
      <w:r>
        <w:rPr>
          <w:rFonts w:eastAsia="Calibri"/>
        </w:rPr>
        <w:t xml:space="preserve">Note: In Australia and the US, 5G rollout is expected to cover a vast majority of the population over the next 2-3 years with almost no increase in coverage in the following years. In our low cost scenario, the increase in investment costs leads to delays in rollout of a few months, despite which a vast majority of the population receives access by 2023.  </w:t>
      </w:r>
      <w:r w:rsidRPr="006C4F9A">
        <w:rPr>
          <w:rFonts w:eastAsia="Calibri"/>
        </w:rPr>
        <w:t>Source: Oxford Economics</w:t>
      </w:r>
    </w:p>
    <w:p w14:paraId="09B42791" w14:textId="6669BFC0" w:rsidR="00AE37F9" w:rsidRPr="006975EA" w:rsidRDefault="00AE37F9" w:rsidP="00AE37F9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/>
        <w:tblLayout w:type="fixed"/>
        <w:tblCellMar>
          <w:top w:w="284" w:type="dxa"/>
          <w:left w:w="284" w:type="dxa"/>
          <w:right w:w="397" w:type="dxa"/>
        </w:tblCellMar>
        <w:tblLook w:val="04A0" w:firstRow="1" w:lastRow="0" w:firstColumn="1" w:lastColumn="0" w:noHBand="0" w:noVBand="1"/>
      </w:tblPr>
      <w:tblGrid>
        <w:gridCol w:w="9072"/>
      </w:tblGrid>
      <w:tr w:rsidR="00145AA9" w:rsidRPr="000E1EBD" w14:paraId="626E11E2" w14:textId="77777777" w:rsidTr="00DE4CF0">
        <w:trPr>
          <w:trHeight w:val="5384"/>
        </w:trPr>
        <w:tc>
          <w:tcPr>
            <w:tcW w:w="9072" w:type="dxa"/>
            <w:shd w:val="clear" w:color="auto" w:fill="DBE5F1"/>
          </w:tcPr>
          <w:p w14:paraId="688DCC7B" w14:textId="3EF605E1" w:rsidR="00145AA9" w:rsidRPr="00A7372E" w:rsidRDefault="00B851B1" w:rsidP="00DE4CF0">
            <w:pPr>
              <w:pStyle w:val="BoxHead1"/>
            </w:pPr>
            <w:r>
              <w:rPr>
                <w:sz w:val="36"/>
                <w:szCs w:val="36"/>
              </w:rPr>
              <w:br w:type="page"/>
            </w:r>
            <w:r w:rsidR="00145AA9">
              <w:t xml:space="preserve">our </w:t>
            </w:r>
            <w:r w:rsidR="00145AA9" w:rsidRPr="00A7372E">
              <w:t xml:space="preserve">Three </w:t>
            </w:r>
            <w:r w:rsidR="00145AA9">
              <w:t>5g</w:t>
            </w:r>
            <w:r w:rsidR="00617A16">
              <w:t xml:space="preserve"> rollout</w:t>
            </w:r>
            <w:r w:rsidR="00145AA9" w:rsidRPr="00A7372E">
              <w:t xml:space="preserve"> scenarios</w:t>
            </w:r>
          </w:p>
          <w:p w14:paraId="22EA6ABE" w14:textId="518E7F37" w:rsidR="00145AA9" w:rsidRPr="00A7372E" w:rsidRDefault="00145AA9" w:rsidP="007C4F75">
            <w:pPr>
              <w:pStyle w:val="BoxNormalText"/>
              <w:spacing w:before="0"/>
              <w:ind w:left="0"/>
            </w:pPr>
            <w:r w:rsidRPr="00A7372E">
              <w:t>To capture the uncertainty around the future benefits of 5G and the different market responses to competition restrictions, we modelled t</w:t>
            </w:r>
            <w:r w:rsidR="00E20806">
              <w:t>hree</w:t>
            </w:r>
            <w:r w:rsidRPr="00A7372E">
              <w:t xml:space="preserve"> scenario</w:t>
            </w:r>
            <w:r w:rsidR="00E20806">
              <w:t>s which are summarised in this table</w:t>
            </w:r>
            <w:r w:rsidRPr="00617A16">
              <w:t>.</w:t>
            </w:r>
            <w:r>
              <w:t xml:space="preserve"> </w:t>
            </w:r>
          </w:p>
          <w:tbl>
            <w:tblPr>
              <w:tblW w:w="857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36"/>
              <w:gridCol w:w="2312"/>
              <w:gridCol w:w="2312"/>
              <w:gridCol w:w="2312"/>
            </w:tblGrid>
            <w:tr w:rsidR="00145AA9" w:rsidRPr="00A7372E" w14:paraId="24691E4C" w14:textId="77777777" w:rsidTr="00E20806">
              <w:trPr>
                <w:trHeight w:val="408"/>
              </w:trPr>
              <w:tc>
                <w:tcPr>
                  <w:tcW w:w="163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346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0DCF9F" w14:textId="77777777" w:rsidR="00145AA9" w:rsidRPr="00596343" w:rsidRDefault="00145AA9" w:rsidP="00E20806">
                  <w:pPr>
                    <w:pStyle w:val="BoxNormalText"/>
                    <w:spacing w:before="40" w:after="40"/>
                    <w:rPr>
                      <w:sz w:val="18"/>
                      <w:szCs w:val="18"/>
                    </w:rPr>
                  </w:pPr>
                  <w:r w:rsidRPr="00596343">
                    <w:rPr>
                      <w:b/>
                      <w:bCs/>
                      <w:sz w:val="18"/>
                      <w:szCs w:val="18"/>
                    </w:rPr>
                    <w:t>Source of uncertainty</w:t>
                  </w:r>
                </w:p>
              </w:tc>
              <w:tc>
                <w:tcPr>
                  <w:tcW w:w="231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346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AE2BD03" w14:textId="2D8F7205" w:rsidR="00145AA9" w:rsidRPr="00E20806" w:rsidRDefault="00E20806" w:rsidP="00E20806">
                  <w:pPr>
                    <w:pStyle w:val="BoxNormalText"/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E20806">
                    <w:rPr>
                      <w:b/>
                      <w:bCs/>
                      <w:sz w:val="18"/>
                      <w:szCs w:val="18"/>
                    </w:rPr>
                    <w:t>LOW</w:t>
                  </w:r>
                  <w:r w:rsidR="00145AA9" w:rsidRPr="00E20806">
                    <w:rPr>
                      <w:b/>
                      <w:bCs/>
                      <w:sz w:val="18"/>
                      <w:szCs w:val="18"/>
                    </w:rPr>
                    <w:t xml:space="preserve"> scenario</w:t>
                  </w:r>
                </w:p>
              </w:tc>
              <w:tc>
                <w:tcPr>
                  <w:tcW w:w="231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346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779E30C" w14:textId="3296D017" w:rsidR="00145AA9" w:rsidRPr="00E20806" w:rsidRDefault="00E20806" w:rsidP="00E20806">
                  <w:pPr>
                    <w:pStyle w:val="BoxNormalText"/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E20806">
                    <w:rPr>
                      <w:b/>
                      <w:bCs/>
                      <w:sz w:val="18"/>
                      <w:szCs w:val="18"/>
                    </w:rPr>
                    <w:t>CENTRAL</w:t>
                  </w:r>
                  <w:r w:rsidR="00145AA9" w:rsidRPr="00E20806">
                    <w:rPr>
                      <w:b/>
                      <w:bCs/>
                      <w:sz w:val="18"/>
                      <w:szCs w:val="18"/>
                    </w:rPr>
                    <w:t xml:space="preserve"> scenario</w:t>
                  </w:r>
                </w:p>
              </w:tc>
              <w:tc>
                <w:tcPr>
                  <w:tcW w:w="231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346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A081DB8" w14:textId="3EDA5CA9" w:rsidR="00145AA9" w:rsidRPr="00E20806" w:rsidRDefault="00E20806" w:rsidP="00E20806">
                  <w:pPr>
                    <w:pStyle w:val="BoxNormalText"/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E20806">
                    <w:rPr>
                      <w:b/>
                      <w:bCs/>
                      <w:sz w:val="18"/>
                      <w:szCs w:val="18"/>
                    </w:rPr>
                    <w:t>HIGH</w:t>
                  </w:r>
                  <w:r w:rsidR="00145AA9" w:rsidRPr="00E20806">
                    <w:rPr>
                      <w:b/>
                      <w:bCs/>
                      <w:sz w:val="18"/>
                      <w:szCs w:val="18"/>
                    </w:rPr>
                    <w:t xml:space="preserve"> scenario</w:t>
                  </w:r>
                </w:p>
              </w:tc>
            </w:tr>
            <w:tr w:rsidR="00145AA9" w:rsidRPr="00A7372E" w14:paraId="62086AAD" w14:textId="77777777" w:rsidTr="00E20806">
              <w:trPr>
                <w:trHeight w:val="3161"/>
              </w:trPr>
              <w:tc>
                <w:tcPr>
                  <w:tcW w:w="163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D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FBC0639" w14:textId="77777777" w:rsidR="00145AA9" w:rsidRPr="00596343" w:rsidRDefault="00145AA9" w:rsidP="00E20806">
                  <w:pPr>
                    <w:pStyle w:val="BoxNormalText"/>
                    <w:spacing w:before="40"/>
                    <w:rPr>
                      <w:b/>
                      <w:sz w:val="18"/>
                      <w:szCs w:val="18"/>
                    </w:rPr>
                  </w:pPr>
                  <w:r w:rsidRPr="00596343">
                    <w:rPr>
                      <w:b/>
                      <w:sz w:val="18"/>
                      <w:szCs w:val="18"/>
                    </w:rPr>
                    <w:t>Potential future benefits of 5G</w:t>
                  </w:r>
                </w:p>
              </w:tc>
              <w:tc>
                <w:tcPr>
                  <w:tcW w:w="231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D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B47B6E4" w14:textId="0E4A9DA0" w:rsidR="00145AA9" w:rsidRPr="00596343" w:rsidRDefault="00145AA9" w:rsidP="00E20806">
                  <w:pPr>
                    <w:pStyle w:val="BoxNormalText"/>
                    <w:spacing w:before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5G, characterised as Enhanced Mobile Broadband (</w:t>
                  </w:r>
                  <w:proofErr w:type="spellStart"/>
                  <w:r>
                    <w:rPr>
                      <w:sz w:val="18"/>
                      <w:szCs w:val="18"/>
                    </w:rPr>
                    <w:t>eMBB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  <w:r w:rsidR="00E20806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provides higher </w:t>
                  </w:r>
                  <w:r w:rsidRPr="00596343">
                    <w:rPr>
                      <w:sz w:val="18"/>
                      <w:szCs w:val="18"/>
                    </w:rPr>
                    <w:t xml:space="preserve">broadband speeds </w:t>
                  </w:r>
                  <w:r>
                    <w:rPr>
                      <w:sz w:val="18"/>
                      <w:szCs w:val="18"/>
                    </w:rPr>
                    <w:t>and supports high-bandwidth services such as Augmented Reality (AR) and Virtual Reality (VR) apps.</w:t>
                  </w:r>
                </w:p>
              </w:tc>
              <w:tc>
                <w:tcPr>
                  <w:tcW w:w="231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D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93FF7CF" w14:textId="476B2163" w:rsidR="00145AA9" w:rsidRPr="00596343" w:rsidRDefault="00145AA9" w:rsidP="00E20806">
                  <w:pPr>
                    <w:pStyle w:val="BoxNormalText"/>
                    <w:spacing w:before="40" w:after="40"/>
                    <w:rPr>
                      <w:sz w:val="18"/>
                      <w:szCs w:val="18"/>
                    </w:rPr>
                  </w:pPr>
                  <w:r w:rsidRPr="00596343">
                    <w:rPr>
                      <w:sz w:val="18"/>
                      <w:szCs w:val="18"/>
                    </w:rPr>
                    <w:t xml:space="preserve">5G </w:t>
                  </w:r>
                  <w:r>
                    <w:rPr>
                      <w:sz w:val="18"/>
                      <w:szCs w:val="18"/>
                    </w:rPr>
                    <w:t>enables Massive Machine-type Communications (</w:t>
                  </w:r>
                  <w:proofErr w:type="spellStart"/>
                  <w:r>
                    <w:rPr>
                      <w:sz w:val="18"/>
                      <w:szCs w:val="18"/>
                    </w:rPr>
                    <w:t>mMTC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  <w:r w:rsidR="00E20806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i.e. </w:t>
                  </w:r>
                  <w:r w:rsidRPr="00C02993">
                    <w:rPr>
                      <w:sz w:val="18"/>
                      <w:szCs w:val="18"/>
                    </w:rPr>
                    <w:t>the connection of a very large number of connected devices (</w:t>
                  </w:r>
                  <w:r w:rsidR="00E20806">
                    <w:rPr>
                      <w:sz w:val="18"/>
                      <w:szCs w:val="18"/>
                    </w:rPr>
                    <w:t>one </w:t>
                  </w:r>
                  <w:r w:rsidRPr="00C02993">
                    <w:rPr>
                      <w:sz w:val="18"/>
                      <w:szCs w:val="18"/>
                    </w:rPr>
                    <w:t xml:space="preserve">million per </w:t>
                  </w:r>
                  <w:proofErr w:type="spellStart"/>
                  <w:r w:rsidRPr="00C02993">
                    <w:rPr>
                      <w:sz w:val="18"/>
                      <w:szCs w:val="18"/>
                    </w:rPr>
                    <w:t>sq</w:t>
                  </w:r>
                  <w:proofErr w:type="spellEnd"/>
                  <w:r w:rsidRPr="00C02993">
                    <w:rPr>
                      <w:sz w:val="18"/>
                      <w:szCs w:val="18"/>
                    </w:rPr>
                    <w:t xml:space="preserve"> km), supporting low-power, low-energy devices which enables large</w:t>
                  </w:r>
                  <w:r w:rsidR="00E20806">
                    <w:rPr>
                      <w:sz w:val="18"/>
                      <w:szCs w:val="18"/>
                    </w:rPr>
                    <w:t>-</w:t>
                  </w:r>
                  <w:r w:rsidRPr="00C02993">
                    <w:rPr>
                      <w:sz w:val="18"/>
                      <w:szCs w:val="18"/>
                    </w:rPr>
                    <w:t>scale IoT deployments across sectors.</w:t>
                  </w:r>
                </w:p>
              </w:tc>
              <w:tc>
                <w:tcPr>
                  <w:tcW w:w="231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DD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1295C5" w14:textId="6E3FC734" w:rsidR="00145AA9" w:rsidRPr="00596343" w:rsidRDefault="00145AA9" w:rsidP="00E20806">
                  <w:pPr>
                    <w:pStyle w:val="BoxNormalText"/>
                    <w:spacing w:before="40"/>
                    <w:rPr>
                      <w:sz w:val="18"/>
                      <w:szCs w:val="18"/>
                    </w:rPr>
                  </w:pPr>
                  <w:r w:rsidRPr="00596343">
                    <w:rPr>
                      <w:sz w:val="18"/>
                      <w:szCs w:val="18"/>
                    </w:rPr>
                    <w:t>5G is revolutionary</w:t>
                  </w:r>
                  <w:r w:rsidR="00E20806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providing Ultra-reliable and Low Latency Communications (URLLC) that enables applications </w:t>
                  </w:r>
                  <w:r w:rsidR="00E20806">
                    <w:rPr>
                      <w:sz w:val="18"/>
                      <w:szCs w:val="18"/>
                    </w:rPr>
                    <w:t>which</w:t>
                  </w:r>
                  <w:r>
                    <w:rPr>
                      <w:sz w:val="18"/>
                      <w:szCs w:val="18"/>
                    </w:rPr>
                    <w:t xml:space="preserve"> are heavily dependent on low latency and high reliability</w:t>
                  </w:r>
                  <w:r w:rsidR="00E20806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and supports critical applications in transport, healthcare and</w:t>
                  </w:r>
                  <w:r w:rsidR="00E20806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 xml:space="preserve">energy. </w:t>
                  </w:r>
                </w:p>
              </w:tc>
            </w:tr>
            <w:tr w:rsidR="00145AA9" w:rsidRPr="00A7372E" w14:paraId="76A8B42D" w14:textId="77777777" w:rsidTr="00537E08">
              <w:trPr>
                <w:trHeight w:val="1372"/>
              </w:trPr>
              <w:tc>
                <w:tcPr>
                  <w:tcW w:w="16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7F14CF4" w14:textId="77777777" w:rsidR="00145AA9" w:rsidRPr="00596343" w:rsidRDefault="00145AA9" w:rsidP="007C4F75">
                  <w:pPr>
                    <w:pStyle w:val="BoxNormalText"/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596343">
                    <w:rPr>
                      <w:b/>
                      <w:sz w:val="18"/>
                      <w:szCs w:val="18"/>
                    </w:rPr>
                    <w:t>Market reaction to competition restrictions</w:t>
                  </w:r>
                </w:p>
              </w:tc>
              <w:tc>
                <w:tcPr>
                  <w:tcW w:w="23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F22323C" w14:textId="77777777" w:rsidR="00145AA9" w:rsidRPr="00596343" w:rsidRDefault="00145AA9" w:rsidP="007C4F75">
                  <w:pPr>
                    <w:pStyle w:val="BoxNormalText"/>
                    <w:spacing w:before="40" w:after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 assume that the scope for other 5G infrastructure vendors to exercise their market power and increase prices is limited.</w:t>
                  </w:r>
                </w:p>
              </w:tc>
              <w:tc>
                <w:tcPr>
                  <w:tcW w:w="23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DEE22E7" w14:textId="6B5C39BD" w:rsidR="00145AA9" w:rsidRPr="00596343" w:rsidRDefault="00145AA9" w:rsidP="007C4F75">
                  <w:pPr>
                    <w:pStyle w:val="BoxNormalText"/>
                    <w:spacing w:before="40" w:after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Other vendors </w:t>
                  </w:r>
                  <w:proofErr w:type="gramStart"/>
                  <w:r>
                    <w:rPr>
                      <w:sz w:val="18"/>
                      <w:szCs w:val="18"/>
                    </w:rPr>
                    <w:t>are able to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increase their prices to some extent but are not fully able to exercise their market power. </w:t>
                  </w:r>
                </w:p>
              </w:tc>
              <w:tc>
                <w:tcPr>
                  <w:tcW w:w="23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8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3BDE28B" w14:textId="57498446" w:rsidR="00145AA9" w:rsidRPr="00596343" w:rsidRDefault="00145AA9" w:rsidP="007C4F75">
                  <w:pPr>
                    <w:pStyle w:val="BoxNormalText"/>
                    <w:spacing w:before="40" w:after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Given the revolutionary impact of 5G, infrastructure vendors can fully exercise their market power and increase prices to the maximum extent. </w:t>
                  </w:r>
                </w:p>
              </w:tc>
            </w:tr>
          </w:tbl>
          <w:p w14:paraId="41151FB4" w14:textId="77777777" w:rsidR="00145AA9" w:rsidRPr="00596343" w:rsidRDefault="00145AA9" w:rsidP="00DE4CF0">
            <w:pPr>
              <w:pStyle w:val="BoxNormalText"/>
              <w:ind w:left="0"/>
            </w:pPr>
          </w:p>
        </w:tc>
      </w:tr>
    </w:tbl>
    <w:p w14:paraId="01EC1148" w14:textId="77777777" w:rsidR="000A3E29" w:rsidRDefault="00E20806" w:rsidP="00E20806">
      <w:pPr>
        <w:pStyle w:val="BoxHead1"/>
        <w:numPr>
          <w:ilvl w:val="0"/>
          <w:numId w:val="0"/>
        </w:numPr>
      </w:pPr>
      <w:r>
        <w:br/>
      </w:r>
    </w:p>
    <w:p w14:paraId="671991EF" w14:textId="77777777" w:rsidR="000A3E29" w:rsidRDefault="000A3E29" w:rsidP="00E20806">
      <w:pPr>
        <w:pStyle w:val="BoxHead1"/>
        <w:numPr>
          <w:ilvl w:val="0"/>
          <w:numId w:val="0"/>
        </w:numPr>
      </w:pPr>
    </w:p>
    <w:p w14:paraId="375DE45C" w14:textId="77777777" w:rsidR="000A3E29" w:rsidRDefault="000A3E29" w:rsidP="00E20806">
      <w:pPr>
        <w:pStyle w:val="BoxHead1"/>
        <w:numPr>
          <w:ilvl w:val="0"/>
          <w:numId w:val="0"/>
        </w:numPr>
      </w:pPr>
    </w:p>
    <w:p w14:paraId="2BE35CA5" w14:textId="5B0058DC" w:rsidR="007139A9" w:rsidRPr="00596343" w:rsidRDefault="001F4FD9" w:rsidP="00E20806">
      <w:pPr>
        <w:pStyle w:val="BoxHead1"/>
        <w:numPr>
          <w:ilvl w:val="0"/>
          <w:numId w:val="0"/>
        </w:numPr>
        <w:rPr>
          <w:sz w:val="24"/>
          <w:szCs w:val="24"/>
        </w:rPr>
      </w:pPr>
      <w:r w:rsidRPr="00596343">
        <w:t>NOTES ON OUR METHODOLOGY</w:t>
      </w:r>
    </w:p>
    <w:p w14:paraId="573A7345" w14:textId="08CD03A4" w:rsidR="00DC6E9C" w:rsidRPr="00E20806" w:rsidRDefault="00DC6E9C" w:rsidP="00E20806">
      <w:pPr>
        <w:rPr>
          <w:rFonts w:ascii="Arial" w:hAnsi="Arial" w:cs="Arial"/>
          <w:sz w:val="20"/>
          <w:szCs w:val="20"/>
        </w:rPr>
      </w:pPr>
      <w:r w:rsidRPr="00E20806">
        <w:rPr>
          <w:rFonts w:ascii="Arial" w:hAnsi="Arial" w:cs="Arial"/>
          <w:sz w:val="20"/>
          <w:szCs w:val="20"/>
        </w:rPr>
        <w:t>We</w:t>
      </w:r>
      <w:r w:rsidR="001F4FD9" w:rsidRPr="00E20806">
        <w:rPr>
          <w:rFonts w:ascii="Arial" w:hAnsi="Arial" w:cs="Arial"/>
          <w:sz w:val="20"/>
          <w:szCs w:val="20"/>
        </w:rPr>
        <w:t xml:space="preserve"> used </w:t>
      </w:r>
      <w:r w:rsidRPr="00E20806">
        <w:rPr>
          <w:rFonts w:ascii="Arial" w:hAnsi="Arial" w:cs="Arial"/>
          <w:sz w:val="20"/>
          <w:szCs w:val="20"/>
        </w:rPr>
        <w:t>a</w:t>
      </w:r>
      <w:r w:rsidR="001F4FD9" w:rsidRPr="00E20806">
        <w:rPr>
          <w:rFonts w:ascii="Arial" w:hAnsi="Arial" w:cs="Arial"/>
          <w:sz w:val="20"/>
          <w:szCs w:val="20"/>
        </w:rPr>
        <w:t xml:space="preserve"> three-stage modelling framework to</w:t>
      </w:r>
      <w:r w:rsidRPr="00E20806">
        <w:rPr>
          <w:rFonts w:ascii="Arial" w:hAnsi="Arial" w:cs="Arial"/>
          <w:sz w:val="20"/>
          <w:szCs w:val="20"/>
        </w:rPr>
        <w:t xml:space="preserve"> assess the economic impact of restricting competition in the</w:t>
      </w:r>
      <w:r w:rsidR="001F4FD9" w:rsidRPr="00E20806">
        <w:rPr>
          <w:rFonts w:ascii="Arial" w:hAnsi="Arial" w:cs="Arial"/>
          <w:sz w:val="20"/>
          <w:szCs w:val="20"/>
        </w:rPr>
        <w:t xml:space="preserve"> provision of</w:t>
      </w:r>
      <w:r w:rsidRPr="00E20806">
        <w:rPr>
          <w:rFonts w:ascii="Arial" w:hAnsi="Arial" w:cs="Arial"/>
          <w:sz w:val="20"/>
          <w:szCs w:val="20"/>
        </w:rPr>
        <w:t xml:space="preserve"> 5G network equipment.  </w:t>
      </w:r>
    </w:p>
    <w:p w14:paraId="25343006" w14:textId="3229BA67" w:rsidR="00DC6E9C" w:rsidRPr="00617A16" w:rsidRDefault="00E20806">
      <w:pPr>
        <w:rPr>
          <w:rFonts w:ascii="Arial" w:hAnsi="Arial" w:cs="Arial"/>
          <w:sz w:val="20"/>
          <w:szCs w:val="20"/>
        </w:rPr>
      </w:pPr>
      <w:r w:rsidRPr="00E20806">
        <w:rPr>
          <w:rFonts w:ascii="Arial" w:hAnsi="Arial" w:cs="Arial"/>
          <w:b/>
          <w:sz w:val="20"/>
          <w:szCs w:val="20"/>
        </w:rPr>
        <w:t xml:space="preserve">STAGE 1: </w:t>
      </w:r>
      <w:r w:rsidR="00DC6E9C" w:rsidRPr="00617A16">
        <w:rPr>
          <w:rFonts w:ascii="Arial" w:hAnsi="Arial" w:cs="Arial"/>
          <w:sz w:val="20"/>
          <w:szCs w:val="20"/>
        </w:rPr>
        <w:t xml:space="preserve">To calculate the economic impact of restricting competition, we started by estimating the increase in mobile network operators’ investment costs when </w:t>
      </w:r>
      <w:r w:rsidR="00537E08">
        <w:rPr>
          <w:rFonts w:ascii="Arial" w:hAnsi="Arial" w:cs="Arial"/>
          <w:sz w:val="20"/>
          <w:szCs w:val="20"/>
        </w:rPr>
        <w:t>major infrastructure provider</w:t>
      </w:r>
      <w:r w:rsidR="00DC6E9C" w:rsidRPr="00617A16">
        <w:rPr>
          <w:rFonts w:ascii="Arial" w:hAnsi="Arial" w:cs="Arial"/>
          <w:sz w:val="20"/>
          <w:szCs w:val="20"/>
        </w:rPr>
        <w:t xml:space="preserve"> is restricted from the market. We did this using a range of techniques developed in collaboration with </w:t>
      </w:r>
      <w:r w:rsidR="00DC6E9C" w:rsidRPr="00537E08">
        <w:rPr>
          <w:rFonts w:ascii="Arial" w:hAnsi="Arial" w:cs="Arial"/>
          <w:bCs/>
          <w:sz w:val="20"/>
          <w:szCs w:val="20"/>
        </w:rPr>
        <w:t xml:space="preserve">Dr Martin Pesendorfer </w:t>
      </w:r>
      <w:r w:rsidR="00537E08">
        <w:rPr>
          <w:rFonts w:ascii="Arial" w:hAnsi="Arial" w:cs="Arial"/>
          <w:bCs/>
          <w:sz w:val="20"/>
          <w:szCs w:val="20"/>
        </w:rPr>
        <w:t xml:space="preserve">from the </w:t>
      </w:r>
      <w:r w:rsidR="00DC6E9C" w:rsidRPr="00537E08">
        <w:rPr>
          <w:rFonts w:ascii="Arial" w:hAnsi="Arial" w:cs="Arial"/>
          <w:bCs/>
          <w:sz w:val="20"/>
          <w:szCs w:val="20"/>
        </w:rPr>
        <w:t>London School of Economics.</w:t>
      </w:r>
      <w:r w:rsidR="00DC6E9C" w:rsidRPr="00E2080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B1D9D7" w14:textId="2AFC9814" w:rsidR="00DC6E9C" w:rsidRPr="00596343" w:rsidRDefault="00E20806" w:rsidP="00596343">
      <w:pPr>
        <w:rPr>
          <w:rFonts w:ascii="Arial" w:hAnsi="Arial" w:cs="Arial"/>
          <w:sz w:val="20"/>
          <w:szCs w:val="20"/>
        </w:rPr>
      </w:pPr>
      <w:r w:rsidRPr="00E20806">
        <w:rPr>
          <w:rFonts w:ascii="Arial" w:hAnsi="Arial" w:cs="Arial"/>
          <w:b/>
          <w:sz w:val="20"/>
          <w:szCs w:val="20"/>
        </w:rPr>
        <w:t>STAGE 2:</w:t>
      </w:r>
      <w:r>
        <w:rPr>
          <w:rFonts w:ascii="Arial" w:hAnsi="Arial" w:cs="Arial"/>
          <w:sz w:val="20"/>
          <w:szCs w:val="20"/>
        </w:rPr>
        <w:t xml:space="preserve"> </w:t>
      </w:r>
      <w:r w:rsidR="00DC6E9C" w:rsidRPr="00596343">
        <w:rPr>
          <w:rFonts w:ascii="Arial" w:hAnsi="Arial" w:cs="Arial"/>
          <w:sz w:val="20"/>
          <w:szCs w:val="20"/>
        </w:rPr>
        <w:t>We translate</w:t>
      </w:r>
      <w:r w:rsidR="00537E08">
        <w:rPr>
          <w:rFonts w:ascii="Arial" w:hAnsi="Arial" w:cs="Arial"/>
          <w:sz w:val="20"/>
          <w:szCs w:val="20"/>
        </w:rPr>
        <w:t>d</w:t>
      </w:r>
      <w:r w:rsidR="00DC6E9C" w:rsidRPr="00596343">
        <w:rPr>
          <w:rFonts w:ascii="Arial" w:hAnsi="Arial" w:cs="Arial"/>
          <w:sz w:val="20"/>
          <w:szCs w:val="20"/>
        </w:rPr>
        <w:t xml:space="preserve"> the increase in investment costs to delays in rollout using a network rollout model built in collaboration with </w:t>
      </w:r>
      <w:r w:rsidR="00DC6E9C" w:rsidRPr="00537E08">
        <w:rPr>
          <w:rFonts w:ascii="Arial" w:hAnsi="Arial" w:cs="Arial"/>
          <w:bCs/>
          <w:sz w:val="20"/>
          <w:szCs w:val="20"/>
        </w:rPr>
        <w:t xml:space="preserve">Dr Edward Oughton (Cambridge Judge Business School). </w:t>
      </w:r>
      <w:r w:rsidR="00DC6E9C" w:rsidRPr="00537E08">
        <w:rPr>
          <w:rFonts w:ascii="Arial" w:hAnsi="Arial" w:cs="Arial"/>
          <w:sz w:val="20"/>
          <w:szCs w:val="20"/>
        </w:rPr>
        <w:t xml:space="preserve">This </w:t>
      </w:r>
      <w:r w:rsidR="00DC6E9C" w:rsidRPr="00596343">
        <w:rPr>
          <w:rFonts w:ascii="Arial" w:hAnsi="Arial" w:cs="Arial"/>
          <w:sz w:val="20"/>
          <w:szCs w:val="20"/>
        </w:rPr>
        <w:t xml:space="preserve">model translates an increase in investment costs to a reduction in the share of the population covered for each country and scenario by assuming that the overall operators’ capex remains the same. </w:t>
      </w:r>
      <w:r w:rsidR="009859CA">
        <w:rPr>
          <w:rFonts w:ascii="Arial" w:hAnsi="Arial" w:cs="Arial"/>
          <w:sz w:val="20"/>
          <w:szCs w:val="20"/>
        </w:rPr>
        <w:t>Our</w:t>
      </w:r>
      <w:r w:rsidR="00DC6E9C" w:rsidRPr="00596343">
        <w:rPr>
          <w:rFonts w:ascii="Arial" w:hAnsi="Arial" w:cs="Arial"/>
          <w:sz w:val="20"/>
          <w:szCs w:val="20"/>
        </w:rPr>
        <w:t xml:space="preserve"> baseline</w:t>
      </w:r>
      <w:r w:rsidR="009859CA">
        <w:rPr>
          <w:rFonts w:ascii="Arial" w:hAnsi="Arial" w:cs="Arial"/>
          <w:sz w:val="20"/>
          <w:szCs w:val="20"/>
        </w:rPr>
        <w:t>—i.e. with n</w:t>
      </w:r>
      <w:r w:rsidR="00DC6E9C" w:rsidRPr="00596343">
        <w:rPr>
          <w:rFonts w:ascii="Arial" w:hAnsi="Arial" w:cs="Arial"/>
          <w:sz w:val="20"/>
          <w:szCs w:val="20"/>
        </w:rPr>
        <w:t>o competition restrictions</w:t>
      </w:r>
      <w:r w:rsidR="009859CA">
        <w:rPr>
          <w:rFonts w:ascii="Arial" w:hAnsi="Arial" w:cs="Arial"/>
          <w:sz w:val="20"/>
          <w:szCs w:val="20"/>
        </w:rPr>
        <w:t>—</w:t>
      </w:r>
      <w:r w:rsidR="00DC6E9C" w:rsidRPr="00596343">
        <w:rPr>
          <w:rFonts w:ascii="Arial" w:hAnsi="Arial" w:cs="Arial"/>
          <w:sz w:val="20"/>
          <w:szCs w:val="20"/>
        </w:rPr>
        <w:t xml:space="preserve">forecasts for 5G rollout and capex </w:t>
      </w:r>
      <w:r w:rsidR="00537E08">
        <w:rPr>
          <w:rFonts w:ascii="Arial" w:hAnsi="Arial" w:cs="Arial"/>
          <w:sz w:val="20"/>
          <w:szCs w:val="20"/>
        </w:rPr>
        <w:t>we</w:t>
      </w:r>
      <w:r w:rsidR="00DC6E9C" w:rsidRPr="00596343">
        <w:rPr>
          <w:rFonts w:ascii="Arial" w:hAnsi="Arial" w:cs="Arial"/>
          <w:sz w:val="20"/>
          <w:szCs w:val="20"/>
        </w:rPr>
        <w:t xml:space="preserve">re sourced from </w:t>
      </w:r>
      <w:r w:rsidR="00537E08">
        <w:rPr>
          <w:rFonts w:ascii="Arial" w:hAnsi="Arial" w:cs="Arial"/>
          <w:sz w:val="20"/>
          <w:szCs w:val="20"/>
        </w:rPr>
        <w:t xml:space="preserve">the </w:t>
      </w:r>
      <w:r w:rsidR="00DC6E9C" w:rsidRPr="00596343">
        <w:rPr>
          <w:rFonts w:ascii="Arial" w:hAnsi="Arial" w:cs="Arial"/>
          <w:sz w:val="20"/>
          <w:szCs w:val="20"/>
        </w:rPr>
        <w:t>GSM</w:t>
      </w:r>
      <w:r w:rsidR="00537E08">
        <w:rPr>
          <w:rFonts w:ascii="Arial" w:hAnsi="Arial" w:cs="Arial"/>
          <w:sz w:val="20"/>
          <w:szCs w:val="20"/>
        </w:rPr>
        <w:t xml:space="preserve"> </w:t>
      </w:r>
      <w:r w:rsidR="00DC6E9C" w:rsidRPr="00596343">
        <w:rPr>
          <w:rFonts w:ascii="Arial" w:hAnsi="Arial" w:cs="Arial"/>
          <w:sz w:val="20"/>
          <w:szCs w:val="20"/>
        </w:rPr>
        <w:t>A</w:t>
      </w:r>
      <w:r w:rsidR="00537E08">
        <w:rPr>
          <w:rFonts w:ascii="Arial" w:hAnsi="Arial" w:cs="Arial"/>
          <w:sz w:val="20"/>
          <w:szCs w:val="20"/>
        </w:rPr>
        <w:t>ssociation</w:t>
      </w:r>
      <w:r w:rsidR="00DC6E9C" w:rsidRPr="00596343">
        <w:rPr>
          <w:rFonts w:ascii="Arial" w:hAnsi="Arial" w:cs="Arial"/>
          <w:sz w:val="20"/>
          <w:szCs w:val="20"/>
        </w:rPr>
        <w:t>.</w:t>
      </w:r>
    </w:p>
    <w:p w14:paraId="2940C755" w14:textId="0D55AB5D" w:rsidR="009859CA" w:rsidRDefault="00E20806" w:rsidP="00596343">
      <w:pPr>
        <w:rPr>
          <w:rFonts w:ascii="Arial" w:hAnsi="Arial" w:cs="Arial"/>
          <w:sz w:val="20"/>
          <w:szCs w:val="20"/>
        </w:rPr>
      </w:pPr>
      <w:r w:rsidRPr="00E20806">
        <w:rPr>
          <w:rFonts w:ascii="Arial" w:hAnsi="Arial" w:cs="Arial"/>
          <w:b/>
          <w:sz w:val="20"/>
          <w:szCs w:val="20"/>
        </w:rPr>
        <w:t>STAGE 3:</w:t>
      </w:r>
      <w:r>
        <w:rPr>
          <w:rFonts w:ascii="Arial" w:hAnsi="Arial" w:cs="Arial"/>
          <w:sz w:val="20"/>
          <w:szCs w:val="20"/>
        </w:rPr>
        <w:t xml:space="preserve"> </w:t>
      </w:r>
      <w:r w:rsidR="00DC6E9C" w:rsidRPr="00596343">
        <w:rPr>
          <w:rFonts w:ascii="Arial" w:hAnsi="Arial" w:cs="Arial"/>
          <w:sz w:val="20"/>
          <w:szCs w:val="20"/>
        </w:rPr>
        <w:t xml:space="preserve">The increase in investment costs and delays in rollout </w:t>
      </w:r>
      <w:r w:rsidR="009859CA">
        <w:rPr>
          <w:rFonts w:ascii="Arial" w:hAnsi="Arial" w:cs="Arial"/>
          <w:sz w:val="20"/>
          <w:szCs w:val="20"/>
        </w:rPr>
        <w:t>we</w:t>
      </w:r>
      <w:r w:rsidR="00DC6E9C" w:rsidRPr="00596343">
        <w:rPr>
          <w:rFonts w:ascii="Arial" w:hAnsi="Arial" w:cs="Arial"/>
          <w:sz w:val="20"/>
          <w:szCs w:val="20"/>
        </w:rPr>
        <w:t>re translated into lower productivity growth using estimates of the productivity benefits of 5G from various academic and industry studies.</w:t>
      </w:r>
      <w:r>
        <w:rPr>
          <w:rFonts w:ascii="Arial" w:hAnsi="Arial" w:cs="Arial"/>
          <w:sz w:val="20"/>
          <w:szCs w:val="20"/>
        </w:rPr>
        <w:t xml:space="preserve"> </w:t>
      </w:r>
      <w:r w:rsidR="00DC6E9C" w:rsidRPr="00596343">
        <w:rPr>
          <w:rFonts w:ascii="Arial" w:hAnsi="Arial" w:cs="Arial"/>
          <w:sz w:val="20"/>
          <w:szCs w:val="20"/>
        </w:rPr>
        <w:t xml:space="preserve">These </w:t>
      </w:r>
      <w:r w:rsidR="009859CA">
        <w:rPr>
          <w:rFonts w:ascii="Arial" w:hAnsi="Arial" w:cs="Arial"/>
          <w:sz w:val="20"/>
          <w:szCs w:val="20"/>
        </w:rPr>
        <w:t>we</w:t>
      </w:r>
      <w:r w:rsidR="00DC6E9C" w:rsidRPr="00596343">
        <w:rPr>
          <w:rFonts w:ascii="Arial" w:hAnsi="Arial" w:cs="Arial"/>
          <w:sz w:val="20"/>
          <w:szCs w:val="20"/>
        </w:rPr>
        <w:t>re then fed into the Oxford Economics Global Economic Model to estimate the impact on a range of macroeconomic indicators such as GDP and household consumer spending.</w:t>
      </w:r>
    </w:p>
    <w:p w14:paraId="0EF2D61E" w14:textId="35CFF6C2" w:rsidR="009859CA" w:rsidRPr="009859CA" w:rsidRDefault="009859CA" w:rsidP="009859CA">
      <w:pPr>
        <w:spacing w:after="1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A369D" wp14:editId="1B63ADEC">
                <wp:simplePos x="0" y="0"/>
                <wp:positionH relativeFrom="column">
                  <wp:posOffset>1</wp:posOffset>
                </wp:positionH>
                <wp:positionV relativeFrom="paragraph">
                  <wp:posOffset>109855</wp:posOffset>
                </wp:positionV>
                <wp:extent cx="5715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1345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5pt" to="45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" strokecolor="black [3213]" strokeweight="1.5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br/>
      </w:r>
      <w:r w:rsidRPr="009859CA">
        <w:rPr>
          <w:rFonts w:ascii="Arial" w:hAnsi="Arial" w:cs="Arial"/>
          <w:b/>
          <w:sz w:val="28"/>
          <w:szCs w:val="28"/>
        </w:rPr>
        <w:t>Read the full report at www.oxfordeconomics.com/consulting</w:t>
      </w:r>
    </w:p>
    <w:p w14:paraId="362943C7" w14:textId="15734511" w:rsidR="00596343" w:rsidRDefault="009859CA" w:rsidP="00596343">
      <w:pPr>
        <w:rPr>
          <w:rFonts w:ascii="Arial" w:eastAsia="SimSun" w:hAnsi="Arial" w:cs="Arial"/>
          <w:color w:val="36363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for more information, contact </w:t>
      </w:r>
      <w:r w:rsidRPr="00537E08">
        <w:rPr>
          <w:rFonts w:ascii="Arial" w:hAnsi="Arial" w:cs="Arial"/>
          <w:b/>
          <w:sz w:val="20"/>
          <w:szCs w:val="20"/>
        </w:rPr>
        <w:t>Henry Worthington</w:t>
      </w:r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537E08">
          <w:rPr>
            <w:rStyle w:val="Hyperlink"/>
            <w:rFonts w:ascii="Arial" w:hAnsi="Arial" w:cs="Arial"/>
            <w:color w:val="auto"/>
            <w:sz w:val="20"/>
            <w:szCs w:val="20"/>
          </w:rPr>
          <w:t>hworthington@oxfordeconomics.com</w:t>
        </w:r>
      </w:hyperlink>
    </w:p>
    <w:sectPr w:rsidR="00596343" w:rsidSect="00704996">
      <w:headerReference w:type="default" r:id="rId9"/>
      <w:footerReference w:type="default" r:id="rId10"/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5DFB2" w14:textId="77777777" w:rsidR="00265F8A" w:rsidRDefault="00265F8A" w:rsidP="00704996">
      <w:pPr>
        <w:spacing w:after="0" w:line="240" w:lineRule="auto"/>
      </w:pPr>
      <w:r>
        <w:separator/>
      </w:r>
    </w:p>
  </w:endnote>
  <w:endnote w:type="continuationSeparator" w:id="0">
    <w:p w14:paraId="0D0BE47C" w14:textId="77777777" w:rsidR="00265F8A" w:rsidRDefault="00265F8A" w:rsidP="0070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728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674E7" w14:textId="45823BB4" w:rsidR="006975EA" w:rsidRDefault="006975EA" w:rsidP="006975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929AF" w14:textId="77777777" w:rsidR="00265F8A" w:rsidRDefault="00265F8A" w:rsidP="00704996">
      <w:pPr>
        <w:spacing w:after="0" w:line="240" w:lineRule="auto"/>
      </w:pPr>
      <w:r>
        <w:separator/>
      </w:r>
    </w:p>
  </w:footnote>
  <w:footnote w:type="continuationSeparator" w:id="0">
    <w:p w14:paraId="6855510A" w14:textId="77777777" w:rsidR="00265F8A" w:rsidRDefault="00265F8A" w:rsidP="0070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FF07" w14:textId="1F6C5879" w:rsidR="00E1452F" w:rsidRPr="00596343" w:rsidRDefault="00E1452F">
    <w:pPr>
      <w:pStyle w:val="Header"/>
      <w:rPr>
        <w:rFonts w:ascii="Arial" w:hAnsi="Arial" w:cs="Arial"/>
        <w:sz w:val="20"/>
        <w:szCs w:val="20"/>
      </w:rPr>
    </w:pPr>
    <w:r w:rsidRPr="00596343">
      <w:rPr>
        <w:rFonts w:ascii="Arial" w:eastAsia="SimSun" w:hAnsi="Arial" w:cs="Times New Roman"/>
        <w:noProof/>
        <w:sz w:val="20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46F92B3" wp14:editId="6BC54A8C">
          <wp:simplePos x="0" y="0"/>
          <wp:positionH relativeFrom="column">
            <wp:posOffset>4573270</wp:posOffset>
          </wp:positionH>
          <wp:positionV relativeFrom="paragraph">
            <wp:posOffset>-115570</wp:posOffset>
          </wp:positionV>
          <wp:extent cx="1160573" cy="295275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573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343">
      <w:rPr>
        <w:rFonts w:ascii="Arial" w:hAnsi="Arial" w:cs="Arial"/>
        <w:sz w:val="20"/>
        <w:szCs w:val="20"/>
      </w:rPr>
      <w:t>R</w:t>
    </w:r>
    <w:r>
      <w:rPr>
        <w:rFonts w:ascii="Arial" w:hAnsi="Arial" w:cs="Arial"/>
        <w:sz w:val="20"/>
        <w:szCs w:val="20"/>
      </w:rPr>
      <w:t>estricting</w:t>
    </w:r>
    <w:r w:rsidRPr="00596343">
      <w:rPr>
        <w:rFonts w:ascii="Arial" w:hAnsi="Arial" w:cs="Arial"/>
        <w:sz w:val="20"/>
        <w:szCs w:val="20"/>
      </w:rPr>
      <w:t xml:space="preserve"> </w:t>
    </w:r>
    <w:r w:rsidRPr="00596343">
      <w:rPr>
        <w:rFonts w:ascii="Arial" w:eastAsia="SimSun" w:hAnsi="Arial" w:cs="Times New Roman"/>
        <w:noProof/>
        <w:sz w:val="20"/>
        <w:szCs w:val="24"/>
        <w:lang w:eastAsia="en-GB"/>
      </w:rPr>
      <w:t>5G</w:t>
    </w:r>
    <w:r>
      <w:rPr>
        <w:rFonts w:ascii="Arial" w:eastAsia="SimSun" w:hAnsi="Arial" w:cs="Times New Roman"/>
        <w:noProof/>
        <w:sz w:val="20"/>
        <w:szCs w:val="24"/>
        <w:lang w:eastAsia="en-GB"/>
      </w:rPr>
      <w:t xml:space="preserve">: </w:t>
    </w:r>
    <w:r w:rsidR="00145AA9">
      <w:rPr>
        <w:rFonts w:ascii="Arial" w:eastAsia="SimSun" w:hAnsi="Arial" w:cs="Times New Roman"/>
        <w:noProof/>
        <w:sz w:val="20"/>
        <w:szCs w:val="24"/>
        <w:lang w:eastAsia="en-GB"/>
      </w:rPr>
      <w:t>W</w:t>
    </w:r>
    <w:r>
      <w:rPr>
        <w:rFonts w:ascii="Arial" w:eastAsia="SimSun" w:hAnsi="Arial" w:cs="Times New Roman"/>
        <w:noProof/>
        <w:sz w:val="20"/>
        <w:szCs w:val="24"/>
        <w:lang w:eastAsia="en-GB"/>
      </w:rPr>
      <w:t xml:space="preserve">hat </w:t>
    </w:r>
    <w:r w:rsidR="00145AA9">
      <w:rPr>
        <w:rFonts w:ascii="Arial" w:eastAsia="SimSun" w:hAnsi="Arial" w:cs="Times New Roman"/>
        <w:noProof/>
        <w:sz w:val="20"/>
        <w:szCs w:val="24"/>
        <w:lang w:eastAsia="en-GB"/>
      </w:rPr>
      <w:t>A</w:t>
    </w:r>
    <w:r>
      <w:rPr>
        <w:rFonts w:ascii="Arial" w:eastAsia="SimSun" w:hAnsi="Arial" w:cs="Times New Roman"/>
        <w:noProof/>
        <w:sz w:val="20"/>
        <w:szCs w:val="24"/>
        <w:lang w:eastAsia="en-GB"/>
      </w:rPr>
      <w:t xml:space="preserve">re </w:t>
    </w:r>
    <w:r w:rsidR="00145AA9">
      <w:rPr>
        <w:rFonts w:ascii="Arial" w:eastAsia="SimSun" w:hAnsi="Arial" w:cs="Times New Roman"/>
        <w:noProof/>
        <w:sz w:val="20"/>
        <w:szCs w:val="24"/>
        <w:lang w:eastAsia="en-GB"/>
      </w:rPr>
      <w:t>T</w:t>
    </w:r>
    <w:r>
      <w:rPr>
        <w:rFonts w:ascii="Arial" w:eastAsia="SimSun" w:hAnsi="Arial" w:cs="Times New Roman"/>
        <w:noProof/>
        <w:sz w:val="20"/>
        <w:szCs w:val="24"/>
        <w:lang w:eastAsia="en-GB"/>
      </w:rPr>
      <w:t xml:space="preserve">he </w:t>
    </w:r>
    <w:r w:rsidR="00145AA9">
      <w:rPr>
        <w:rFonts w:ascii="Arial" w:eastAsia="SimSun" w:hAnsi="Arial" w:cs="Times New Roman"/>
        <w:noProof/>
        <w:sz w:val="20"/>
        <w:szCs w:val="24"/>
        <w:lang w:eastAsia="en-GB"/>
      </w:rPr>
      <w:t>C</w:t>
    </w:r>
    <w:r>
      <w:rPr>
        <w:rFonts w:ascii="Arial" w:eastAsia="SimSun" w:hAnsi="Arial" w:cs="Times New Roman"/>
        <w:noProof/>
        <w:sz w:val="20"/>
        <w:szCs w:val="24"/>
        <w:lang w:eastAsia="en-GB"/>
      </w:rPr>
      <w:t>osts?</w:t>
    </w:r>
    <w:r w:rsidRPr="00596343">
      <w:rPr>
        <w:rFonts w:ascii="Arial" w:eastAsia="SimSun" w:hAnsi="Arial" w:cs="Times New Roman"/>
        <w:noProof/>
        <w:sz w:val="20"/>
        <w:szCs w:val="24"/>
        <w:lang w:eastAsia="en-GB"/>
      </w:rPr>
      <w:t xml:space="preserve"> </w:t>
    </w:r>
    <w:r w:rsidRPr="00596343">
      <w:rPr>
        <w:rFonts w:ascii="Arial" w:hAnsi="Arial" w:cs="Arial"/>
        <w:sz w:val="20"/>
        <w:szCs w:val="20"/>
      </w:rPr>
      <w:t xml:space="preserve"> </w:t>
    </w:r>
  </w:p>
  <w:p w14:paraId="7CF388A1" w14:textId="5C22D60F" w:rsidR="00E1452F" w:rsidRDefault="00E14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5536"/>
    <w:multiLevelType w:val="hybridMultilevel"/>
    <w:tmpl w:val="4C56EFA4"/>
    <w:lvl w:ilvl="0" w:tplc="107CB85A">
      <w:start w:val="1"/>
      <w:numFmt w:val="bullet"/>
      <w:pStyle w:val="ColorfulList-Accent11"/>
      <w:lvlText w:val=""/>
      <w:lvlJc w:val="left"/>
      <w:pPr>
        <w:ind w:left="1440" w:hanging="436"/>
      </w:pPr>
      <w:rPr>
        <w:rFonts w:ascii="Wingdings" w:hAnsi="Wingdings" w:hint="default"/>
        <w:color w:val="82786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2E8"/>
    <w:multiLevelType w:val="multilevel"/>
    <w:tmpl w:val="4DE49A98"/>
    <w:lvl w:ilvl="0">
      <w:start w:val="1"/>
      <w:numFmt w:val="decimal"/>
      <w:pStyle w:val="Header"/>
      <w:suff w:val="space"/>
      <w:lvlText w:val="Fig. %1."/>
      <w:lvlJc w:val="left"/>
      <w:pPr>
        <w:ind w:left="0" w:firstLine="1985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" w:firstLine="1815"/>
      </w:pPr>
      <w:rPr>
        <w:rFonts w:hint="default"/>
      </w:rPr>
    </w:lvl>
  </w:abstractNum>
  <w:abstractNum w:abstractNumId="2" w15:restartNumberingAfterBreak="0">
    <w:nsid w:val="22D91F88"/>
    <w:multiLevelType w:val="multilevel"/>
    <w:tmpl w:val="4DE49A98"/>
    <w:numStyleLink w:val="Figures"/>
  </w:abstractNum>
  <w:abstractNum w:abstractNumId="3" w15:restartNumberingAfterBreak="0">
    <w:nsid w:val="27151CDD"/>
    <w:multiLevelType w:val="hybridMultilevel"/>
    <w:tmpl w:val="F2A09D2C"/>
    <w:lvl w:ilvl="0" w:tplc="4E26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4D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6F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A1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05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802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CD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E7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86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E6C"/>
    <w:multiLevelType w:val="multilevel"/>
    <w:tmpl w:val="4DE49A98"/>
    <w:styleLink w:val="Figures"/>
    <w:lvl w:ilvl="0">
      <w:start w:val="1"/>
      <w:numFmt w:val="decimal"/>
      <w:pStyle w:val="FigureHead"/>
      <w:suff w:val="space"/>
      <w:lvlText w:val="Fig. %1."/>
      <w:lvlJc w:val="left"/>
      <w:pPr>
        <w:ind w:left="0" w:firstLine="1985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" w:firstLine="1815"/>
      </w:pPr>
      <w:rPr>
        <w:rFonts w:hint="default"/>
      </w:rPr>
    </w:lvl>
  </w:abstractNum>
  <w:abstractNum w:abstractNumId="5" w15:restartNumberingAfterBreak="0">
    <w:nsid w:val="7C977BBA"/>
    <w:multiLevelType w:val="multilevel"/>
    <w:tmpl w:val="670CD242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32"/>
        <w:position w:val="0"/>
        <w:sz w:val="31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ESHead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suff w:val="space"/>
      <w:lvlText w:val="Appendix %6 - "/>
      <w:lvlJc w:val="center"/>
      <w:pPr>
        <w:ind w:left="0" w:firstLine="288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lvl w:ilvl="0">
        <w:start w:val="1"/>
        <w:numFmt w:val="decimal"/>
        <w:pStyle w:val="Header"/>
        <w:suff w:val="space"/>
        <w:lvlText w:val="Fig. %1."/>
        <w:lvlJc w:val="left"/>
        <w:pPr>
          <w:ind w:left="0" w:firstLine="1985"/>
        </w:pPr>
        <w:rPr>
          <w:rFonts w:ascii="Helvetica" w:hAnsi="Helvetica" w:hint="default"/>
          <w:b/>
          <w:i w:val="0"/>
          <w:caps w:val="0"/>
          <w:strike w:val="0"/>
          <w:dstrike w:val="0"/>
          <w:vanish w:val="0"/>
          <w:color w:val="auto"/>
          <w:sz w:val="20"/>
          <w:vertAlign w:val="baseline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170" w:firstLine="1815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2B"/>
    <w:rsid w:val="000313EE"/>
    <w:rsid w:val="00052640"/>
    <w:rsid w:val="000A3E29"/>
    <w:rsid w:val="000C4D56"/>
    <w:rsid w:val="000E4C0D"/>
    <w:rsid w:val="000E5935"/>
    <w:rsid w:val="00107738"/>
    <w:rsid w:val="00117457"/>
    <w:rsid w:val="001274C4"/>
    <w:rsid w:val="0013522E"/>
    <w:rsid w:val="001412C8"/>
    <w:rsid w:val="00145AA9"/>
    <w:rsid w:val="001D4611"/>
    <w:rsid w:val="001E765C"/>
    <w:rsid w:val="001F4FD9"/>
    <w:rsid w:val="00200153"/>
    <w:rsid w:val="0024040D"/>
    <w:rsid w:val="00265F8A"/>
    <w:rsid w:val="002C7450"/>
    <w:rsid w:val="002D1C68"/>
    <w:rsid w:val="002D3C2A"/>
    <w:rsid w:val="002D4845"/>
    <w:rsid w:val="002E22FD"/>
    <w:rsid w:val="002F453F"/>
    <w:rsid w:val="002F5CEF"/>
    <w:rsid w:val="00321BF3"/>
    <w:rsid w:val="00334F13"/>
    <w:rsid w:val="00344EFE"/>
    <w:rsid w:val="00345092"/>
    <w:rsid w:val="00357D0C"/>
    <w:rsid w:val="00393886"/>
    <w:rsid w:val="00394DDA"/>
    <w:rsid w:val="003F2978"/>
    <w:rsid w:val="004254F9"/>
    <w:rsid w:val="00452BC6"/>
    <w:rsid w:val="00462105"/>
    <w:rsid w:val="00495AF8"/>
    <w:rsid w:val="00497D8A"/>
    <w:rsid w:val="004A2139"/>
    <w:rsid w:val="004A4901"/>
    <w:rsid w:val="004B66D3"/>
    <w:rsid w:val="004D557A"/>
    <w:rsid w:val="00515DA9"/>
    <w:rsid w:val="00530553"/>
    <w:rsid w:val="00532A8F"/>
    <w:rsid w:val="00537E08"/>
    <w:rsid w:val="00541A57"/>
    <w:rsid w:val="00562F52"/>
    <w:rsid w:val="00563F85"/>
    <w:rsid w:val="00595109"/>
    <w:rsid w:val="00596343"/>
    <w:rsid w:val="005B7457"/>
    <w:rsid w:val="005C063E"/>
    <w:rsid w:val="005E194A"/>
    <w:rsid w:val="00617A16"/>
    <w:rsid w:val="006222FA"/>
    <w:rsid w:val="006438A1"/>
    <w:rsid w:val="0065312A"/>
    <w:rsid w:val="00661DB0"/>
    <w:rsid w:val="006975EA"/>
    <w:rsid w:val="00697E39"/>
    <w:rsid w:val="006A55D0"/>
    <w:rsid w:val="006C1187"/>
    <w:rsid w:val="006D7541"/>
    <w:rsid w:val="00702A3F"/>
    <w:rsid w:val="00704996"/>
    <w:rsid w:val="007139A9"/>
    <w:rsid w:val="00713BBB"/>
    <w:rsid w:val="00757ED7"/>
    <w:rsid w:val="00762E99"/>
    <w:rsid w:val="0077662B"/>
    <w:rsid w:val="0078565B"/>
    <w:rsid w:val="00790BEC"/>
    <w:rsid w:val="00791E51"/>
    <w:rsid w:val="007A59C2"/>
    <w:rsid w:val="007A6FF7"/>
    <w:rsid w:val="007C4F75"/>
    <w:rsid w:val="007D1516"/>
    <w:rsid w:val="007E05DB"/>
    <w:rsid w:val="008161C7"/>
    <w:rsid w:val="00825E5C"/>
    <w:rsid w:val="00851E71"/>
    <w:rsid w:val="00877134"/>
    <w:rsid w:val="00891B82"/>
    <w:rsid w:val="008C0E9B"/>
    <w:rsid w:val="008D07D8"/>
    <w:rsid w:val="008D1092"/>
    <w:rsid w:val="008F1B4D"/>
    <w:rsid w:val="00910415"/>
    <w:rsid w:val="0094775C"/>
    <w:rsid w:val="00972533"/>
    <w:rsid w:val="00972E86"/>
    <w:rsid w:val="009859CA"/>
    <w:rsid w:val="00994BE4"/>
    <w:rsid w:val="009A10E7"/>
    <w:rsid w:val="009D6FF6"/>
    <w:rsid w:val="00A03729"/>
    <w:rsid w:val="00A46820"/>
    <w:rsid w:val="00A65838"/>
    <w:rsid w:val="00A728CB"/>
    <w:rsid w:val="00A7372E"/>
    <w:rsid w:val="00AB0679"/>
    <w:rsid w:val="00AC6907"/>
    <w:rsid w:val="00AD59AC"/>
    <w:rsid w:val="00AE37F9"/>
    <w:rsid w:val="00AE51E3"/>
    <w:rsid w:val="00AF2532"/>
    <w:rsid w:val="00B1643E"/>
    <w:rsid w:val="00B17590"/>
    <w:rsid w:val="00B5037A"/>
    <w:rsid w:val="00B5758E"/>
    <w:rsid w:val="00B641AE"/>
    <w:rsid w:val="00B851B1"/>
    <w:rsid w:val="00BA739E"/>
    <w:rsid w:val="00BD7B90"/>
    <w:rsid w:val="00BE6B83"/>
    <w:rsid w:val="00BE7899"/>
    <w:rsid w:val="00C02993"/>
    <w:rsid w:val="00C454C4"/>
    <w:rsid w:val="00C4660B"/>
    <w:rsid w:val="00C5186E"/>
    <w:rsid w:val="00C566C8"/>
    <w:rsid w:val="00C63176"/>
    <w:rsid w:val="00C73229"/>
    <w:rsid w:val="00C82011"/>
    <w:rsid w:val="00C838F9"/>
    <w:rsid w:val="00C83F4B"/>
    <w:rsid w:val="00C96F21"/>
    <w:rsid w:val="00CE07BD"/>
    <w:rsid w:val="00CE1C8F"/>
    <w:rsid w:val="00CF7F69"/>
    <w:rsid w:val="00D428EA"/>
    <w:rsid w:val="00D95B37"/>
    <w:rsid w:val="00DC6E9C"/>
    <w:rsid w:val="00DD5AA6"/>
    <w:rsid w:val="00E04547"/>
    <w:rsid w:val="00E05F8A"/>
    <w:rsid w:val="00E11CFE"/>
    <w:rsid w:val="00E1452F"/>
    <w:rsid w:val="00E20806"/>
    <w:rsid w:val="00E46FA0"/>
    <w:rsid w:val="00E7719A"/>
    <w:rsid w:val="00E870B1"/>
    <w:rsid w:val="00E95B5F"/>
    <w:rsid w:val="00EA3C72"/>
    <w:rsid w:val="00ED6251"/>
    <w:rsid w:val="00EE78BE"/>
    <w:rsid w:val="00EF607E"/>
    <w:rsid w:val="00F04D8A"/>
    <w:rsid w:val="00F1429B"/>
    <w:rsid w:val="00F36E5A"/>
    <w:rsid w:val="00F5247D"/>
    <w:rsid w:val="00F624E0"/>
    <w:rsid w:val="00F6452B"/>
    <w:rsid w:val="00F65FFC"/>
    <w:rsid w:val="00F67377"/>
    <w:rsid w:val="00F871A5"/>
    <w:rsid w:val="00F8792D"/>
    <w:rsid w:val="00F92DF0"/>
    <w:rsid w:val="00F96EBF"/>
    <w:rsid w:val="00F97AE5"/>
    <w:rsid w:val="00FD07E7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68F81"/>
  <w15:docId w15:val="{46A4970A-41C4-42C6-AFBE-139B75E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rsid w:val="00A7372E"/>
    <w:pPr>
      <w:numPr>
        <w:ilvl w:val="4"/>
        <w:numId w:val="2"/>
      </w:numPr>
      <w:tabs>
        <w:tab w:val="left" w:pos="1985"/>
      </w:tabs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A7372E"/>
    <w:pPr>
      <w:numPr>
        <w:ilvl w:val="5"/>
        <w:numId w:val="2"/>
      </w:numPr>
      <w:tabs>
        <w:tab w:val="left" w:pos="1985"/>
      </w:tabs>
      <w:spacing w:before="240" w:after="60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rsid w:val="00A7372E"/>
    <w:pPr>
      <w:numPr>
        <w:ilvl w:val="6"/>
        <w:numId w:val="2"/>
      </w:numPr>
      <w:tabs>
        <w:tab w:val="left" w:pos="1985"/>
      </w:tabs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rsid w:val="00A7372E"/>
    <w:pPr>
      <w:numPr>
        <w:ilvl w:val="7"/>
        <w:numId w:val="2"/>
      </w:numPr>
      <w:tabs>
        <w:tab w:val="left" w:pos="1985"/>
      </w:tabs>
      <w:spacing w:before="240" w:after="60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rsid w:val="00A7372E"/>
    <w:pPr>
      <w:numPr>
        <w:ilvl w:val="8"/>
        <w:numId w:val="2"/>
      </w:numPr>
      <w:tabs>
        <w:tab w:val="left" w:pos="1985"/>
      </w:tabs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96"/>
  </w:style>
  <w:style w:type="paragraph" w:styleId="Footer">
    <w:name w:val="footer"/>
    <w:basedOn w:val="Normal"/>
    <w:link w:val="FooterChar"/>
    <w:uiPriority w:val="99"/>
    <w:unhideWhenUsed/>
    <w:rsid w:val="00704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96"/>
  </w:style>
  <w:style w:type="paragraph" w:styleId="BalloonText">
    <w:name w:val="Balloon Text"/>
    <w:basedOn w:val="Normal"/>
    <w:link w:val="BalloonTextChar"/>
    <w:uiPriority w:val="99"/>
    <w:semiHidden/>
    <w:unhideWhenUsed/>
    <w:rsid w:val="0070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A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5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4C4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EE78BE"/>
    <w:pPr>
      <w:numPr>
        <w:numId w:val="1"/>
      </w:numPr>
      <w:spacing w:after="140" w:line="280" w:lineRule="exact"/>
      <w:ind w:left="2069" w:right="2495" w:hanging="255"/>
      <w:contextualSpacing/>
    </w:pPr>
    <w:rPr>
      <w:rFonts w:ascii="Arial" w:eastAsiaTheme="minorEastAsia" w:hAnsi="Arial" w:cs="Times New Roman"/>
      <w:color w:val="363636"/>
      <w:sz w:val="20"/>
      <w:szCs w:val="24"/>
    </w:rPr>
  </w:style>
  <w:style w:type="paragraph" w:customStyle="1" w:styleId="boxbullets">
    <w:name w:val="box bullets"/>
    <w:basedOn w:val="ColorfulList-Accent11"/>
    <w:qFormat/>
    <w:rsid w:val="00EE78BE"/>
    <w:pPr>
      <w:pBdr>
        <w:top w:val="single" w:sz="4" w:space="2" w:color="E6E1DC"/>
        <w:left w:val="single" w:sz="4" w:space="6" w:color="E6E1DC"/>
        <w:bottom w:val="single" w:sz="4" w:space="5" w:color="E6E1DC"/>
        <w:right w:val="single" w:sz="4" w:space="5" w:color="E6E1DC"/>
      </w:pBdr>
      <w:shd w:val="clear" w:color="auto" w:fill="E6E1DC"/>
      <w:ind w:left="454" w:right="2665" w:hanging="284"/>
      <w:contextualSpacing w:val="0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A7372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7372E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A7372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A7372E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7372E"/>
    <w:rPr>
      <w:rFonts w:ascii="Arial" w:eastAsia="Times New Roman" w:hAnsi="Arial" w:cs="Arial"/>
    </w:rPr>
  </w:style>
  <w:style w:type="table" w:styleId="TableGrid">
    <w:name w:val="Table Grid"/>
    <w:basedOn w:val="TableNormal"/>
    <w:rsid w:val="00A7372E"/>
    <w:pPr>
      <w:spacing w:before="240" w:after="160"/>
      <w:ind w:left="1985"/>
    </w:pPr>
    <w:rPr>
      <w:rFonts w:ascii="Helvetica" w:eastAsia="Times New Roman" w:hAnsi="Helvetic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Head2">
    <w:name w:val="ES Head 2"/>
    <w:next w:val="Normal"/>
    <w:uiPriority w:val="2"/>
    <w:qFormat/>
    <w:rsid w:val="00A7372E"/>
    <w:pPr>
      <w:numPr>
        <w:ilvl w:val="2"/>
        <w:numId w:val="2"/>
      </w:numPr>
      <w:tabs>
        <w:tab w:val="left" w:pos="1985"/>
      </w:tabs>
      <w:spacing w:before="240" w:after="160" w:line="280" w:lineRule="exact"/>
      <w:ind w:left="1985"/>
    </w:pPr>
    <w:rPr>
      <w:rFonts w:ascii="Arial" w:eastAsia="Times New Roman" w:hAnsi="Arial" w:cs="Arial"/>
      <w:b/>
      <w:bCs/>
      <w:iCs/>
      <w:caps/>
      <w:sz w:val="20"/>
      <w:szCs w:val="28"/>
    </w:rPr>
  </w:style>
  <w:style w:type="paragraph" w:customStyle="1" w:styleId="FigureHead">
    <w:name w:val="Figure Head"/>
    <w:next w:val="Normal"/>
    <w:link w:val="FigureHeadChar"/>
    <w:qFormat/>
    <w:rsid w:val="00A7372E"/>
    <w:pPr>
      <w:keepNext/>
      <w:numPr>
        <w:numId w:val="4"/>
      </w:numPr>
      <w:tabs>
        <w:tab w:val="left" w:pos="1985"/>
      </w:tabs>
      <w:spacing w:before="240" w:after="160"/>
      <w:ind w:left="1985" w:firstLine="0"/>
    </w:pPr>
    <w:rPr>
      <w:rFonts w:ascii="Arial" w:eastAsia="Times New Roman" w:hAnsi="Arial" w:cs="Arial"/>
      <w:b/>
      <w:bCs/>
      <w:sz w:val="20"/>
      <w:szCs w:val="26"/>
    </w:rPr>
  </w:style>
  <w:style w:type="numbering" w:customStyle="1" w:styleId="Figures">
    <w:name w:val="Figures"/>
    <w:uiPriority w:val="99"/>
    <w:locked/>
    <w:rsid w:val="00A7372E"/>
    <w:pPr>
      <w:numPr>
        <w:numId w:val="3"/>
      </w:numPr>
    </w:pPr>
  </w:style>
  <w:style w:type="paragraph" w:customStyle="1" w:styleId="BoxHead1">
    <w:name w:val="Box Head 1"/>
    <w:basedOn w:val="ESHead2"/>
    <w:next w:val="BoxNormalText"/>
    <w:link w:val="BoxHead1Char"/>
    <w:uiPriority w:val="1"/>
    <w:qFormat/>
    <w:rsid w:val="00A7372E"/>
    <w:pPr>
      <w:spacing w:before="0" w:line="276" w:lineRule="auto"/>
      <w:ind w:left="0"/>
      <w:contextualSpacing/>
    </w:pPr>
  </w:style>
  <w:style w:type="paragraph" w:customStyle="1" w:styleId="BoxNormalText">
    <w:name w:val="Box Normal Text"/>
    <w:basedOn w:val="Normal"/>
    <w:link w:val="BoxNormalTextChar"/>
    <w:uiPriority w:val="1"/>
    <w:qFormat/>
    <w:rsid w:val="00A7372E"/>
    <w:pPr>
      <w:tabs>
        <w:tab w:val="left" w:pos="1985"/>
      </w:tabs>
      <w:spacing w:after="160"/>
    </w:pPr>
    <w:rPr>
      <w:rFonts w:ascii="Arial" w:eastAsia="Times New Roman" w:hAnsi="Arial" w:cs="Times New Roman"/>
      <w:sz w:val="20"/>
      <w:szCs w:val="20"/>
    </w:rPr>
  </w:style>
  <w:style w:type="character" w:customStyle="1" w:styleId="BoxHead1Char">
    <w:name w:val="Box Head 1 Char"/>
    <w:basedOn w:val="DefaultParagraphFont"/>
    <w:link w:val="BoxHead1"/>
    <w:uiPriority w:val="1"/>
    <w:rsid w:val="00A7372E"/>
    <w:rPr>
      <w:rFonts w:ascii="Arial" w:eastAsia="Times New Roman" w:hAnsi="Arial" w:cs="Arial"/>
      <w:b/>
      <w:bCs/>
      <w:iCs/>
      <w:caps/>
      <w:sz w:val="20"/>
      <w:szCs w:val="28"/>
    </w:rPr>
  </w:style>
  <w:style w:type="character" w:customStyle="1" w:styleId="BoxNormalTextChar">
    <w:name w:val="Box Normal Text Char"/>
    <w:basedOn w:val="DefaultParagraphFont"/>
    <w:link w:val="BoxNormalText"/>
    <w:uiPriority w:val="1"/>
    <w:rsid w:val="00A7372E"/>
    <w:rPr>
      <w:rFonts w:ascii="Arial" w:eastAsia="Times New Roman" w:hAnsi="Arial" w:cs="Times New Roman"/>
      <w:sz w:val="20"/>
      <w:szCs w:val="20"/>
    </w:rPr>
  </w:style>
  <w:style w:type="paragraph" w:customStyle="1" w:styleId="BoxFigHead">
    <w:name w:val="Box Fig Head"/>
    <w:basedOn w:val="FigureHead"/>
    <w:next w:val="BoxNormalText"/>
    <w:link w:val="BoxFigHeadChar"/>
    <w:uiPriority w:val="1"/>
    <w:qFormat/>
    <w:rsid w:val="00A7372E"/>
    <w:pPr>
      <w:ind w:left="0"/>
    </w:pPr>
    <w:rPr>
      <w:bCs w:val="0"/>
    </w:rPr>
  </w:style>
  <w:style w:type="character" w:customStyle="1" w:styleId="BoxFigHeadChar">
    <w:name w:val="Box Fig Head Char"/>
    <w:basedOn w:val="DefaultParagraphFont"/>
    <w:link w:val="BoxFigHead"/>
    <w:uiPriority w:val="1"/>
    <w:rsid w:val="00A7372E"/>
    <w:rPr>
      <w:rFonts w:ascii="Arial" w:eastAsia="Times New Roman" w:hAnsi="Arial" w:cs="Arial"/>
      <w:b/>
      <w:sz w:val="20"/>
      <w:szCs w:val="26"/>
    </w:rPr>
  </w:style>
  <w:style w:type="character" w:styleId="IntenseEmphasis">
    <w:name w:val="Intense Emphasis"/>
    <w:basedOn w:val="DefaultParagraphFont"/>
    <w:uiPriority w:val="21"/>
    <w:qFormat/>
    <w:rsid w:val="00DC6E9C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3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975EA"/>
    <w:pPr>
      <w:spacing w:after="0" w:line="240" w:lineRule="auto"/>
    </w:pPr>
  </w:style>
  <w:style w:type="paragraph" w:styleId="NoSpacing">
    <w:name w:val="No Spacing"/>
    <w:uiPriority w:val="1"/>
    <w:qFormat/>
    <w:rsid w:val="007C4F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E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E08"/>
    <w:rPr>
      <w:color w:val="605E5C"/>
      <w:shd w:val="clear" w:color="auto" w:fill="E1DFDD"/>
    </w:rPr>
  </w:style>
  <w:style w:type="character" w:customStyle="1" w:styleId="FigureHeadChar">
    <w:name w:val="Figure Head Char"/>
    <w:basedOn w:val="DefaultParagraphFont"/>
    <w:link w:val="FigureHead"/>
    <w:rsid w:val="00357D0C"/>
    <w:rPr>
      <w:rFonts w:ascii="Arial" w:eastAsia="Times New Roman" w:hAnsi="Arial" w:cs="Arial"/>
      <w:b/>
      <w:bCs/>
      <w:sz w:val="20"/>
      <w:szCs w:val="26"/>
    </w:rPr>
  </w:style>
  <w:style w:type="paragraph" w:customStyle="1" w:styleId="Source">
    <w:name w:val="Source"/>
    <w:basedOn w:val="Normal"/>
    <w:link w:val="SourceChar"/>
    <w:uiPriority w:val="1"/>
    <w:qFormat/>
    <w:rsid w:val="00357D0C"/>
    <w:pPr>
      <w:tabs>
        <w:tab w:val="left" w:pos="1985"/>
      </w:tabs>
      <w:spacing w:before="120" w:after="160"/>
      <w:ind w:left="1985"/>
    </w:pPr>
    <w:rPr>
      <w:rFonts w:ascii="Arial" w:eastAsia="Times New Roman" w:hAnsi="Arial" w:cs="Times New Roman"/>
      <w:sz w:val="16"/>
      <w:szCs w:val="16"/>
    </w:rPr>
  </w:style>
  <w:style w:type="character" w:customStyle="1" w:styleId="SourceChar">
    <w:name w:val="Source Char"/>
    <w:basedOn w:val="DefaultParagraphFont"/>
    <w:link w:val="Source"/>
    <w:uiPriority w:val="1"/>
    <w:rsid w:val="00357D0C"/>
    <w:rPr>
      <w:rFonts w:ascii="Arial" w:eastAsia="Times New Roman" w:hAnsi="Arial" w:cs="Times New Roman"/>
      <w:sz w:val="16"/>
      <w:szCs w:val="16"/>
    </w:rPr>
  </w:style>
  <w:style w:type="table" w:customStyle="1" w:styleId="OETable">
    <w:name w:val="OETable"/>
    <w:basedOn w:val="TableNormal"/>
    <w:uiPriority w:val="99"/>
    <w:rsid w:val="00357D0C"/>
    <w:pPr>
      <w:spacing w:before="240" w:after="160"/>
      <w:ind w:left="2098"/>
      <w:jc w:val="center"/>
    </w:pPr>
    <w:rPr>
      <w:rFonts w:ascii="Helvetica" w:eastAsia="Times New Roman" w:hAnsi="Helvetica" w:cs="Times New Roman"/>
      <w:sz w:val="18"/>
      <w:szCs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469"/>
      </w:tcPr>
    </w:tblStylePr>
    <w:tblStylePr w:type="lastRow">
      <w:rPr>
        <w:color w:val="FFFFFF" w:themeColor="background1"/>
      </w:rPr>
      <w:tblPr/>
      <w:tcPr>
        <w:shd w:val="clear" w:color="auto" w:fill="6E91A0"/>
      </w:tcPr>
    </w:tblStylePr>
    <w:tblStylePr w:type="fir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orthington@oxfordeconom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18BA-0E15-4817-8B67-17433A8F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Godden</dc:creator>
  <cp:lastModifiedBy>Anubhav Mohanty</cp:lastModifiedBy>
  <cp:revision>4</cp:revision>
  <cp:lastPrinted>2019-04-29T10:14:00Z</cp:lastPrinted>
  <dcterms:created xsi:type="dcterms:W3CDTF">2019-12-16T13:34:00Z</dcterms:created>
  <dcterms:modified xsi:type="dcterms:W3CDTF">2019-12-16T14:26:00Z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(2)yLjX22spa450vKxWem5/o1eEp76SsR49Dl/AClJtiNOW0kGZ3Eq5KNE/J3TSBi6fwjcxRzL6
hC1+6HDIBzx7aTV+YrRwJkeFtZz9JtdN33woXnrKM9wb3yTh33B2D0pJM+4ITIbTM5nOPkNP
be1dbDlei9FtlN+7pSDPYnYF04gE2/i6BxcB7a+t68mCU8ZaWthJkDKLZ8ddyRzBoRhQSbTV
4tS/pCtSfbbmJZX+AX</vt:lpwstr>
  </property>
  <property fmtid="{D5CDD505-2E9C-101B-9397-08002B2CF9AE}" pid="3" name="_2015_ms_pID_7253431">
    <vt:lpwstr>AN1ANucLhNPnCkHkzL2QexpDalEZqImVsnksviQH9jy4irdKDOrEht
N0IlZJadaPT+1xfXP8PCgA3LqcgTn0ZU7zRR4T49QaFwbmQmBeajmBSSSScTtJ2UehYbdV7y
ba0/YIVC9/TOhTIMz0SPTn6wuiEK+ot0vy3pl0vBV6QFO+JPr/lmoJh6lUIl4PEmtWIxSHwz
PVbdLpWFdKHFdR3C</vt:lpwstr>
  </property>
</Properties>
</file>