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W MEXICO CITY Y TRIVVU, LA TERRAZA DE COCINA Y MIXOLOGÍA MEXICANA, AVIVARÁN SABOR ES POLANCO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Ciudad de México, 14 de marzo de 2023. –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TRIVVU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una de las propuestas gastronómicas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en el corazón de la Ciudad de México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trasladará su imperdible concepto al festival gourmet más importantes de la Ciudad de México,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Sabor Es Polanco 2023. </w:t>
      </w:r>
    </w:p>
    <w:p w:rsidR="00000000" w:rsidDel="00000000" w:rsidP="00000000" w:rsidRDefault="00000000" w:rsidRPr="00000000" w14:paraId="00000005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Este 25 y 26 de marzo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la terraza preferida por los corazones noctámbulos, ubicada en Campos Elíseos seducirá los paladares y despertará los instintos de aquellos amantes de la buena comida y bebidas imperdibles con su cocina de autor que abraza el fuego con un método de cocción perfecto.</w:t>
      </w:r>
    </w:p>
    <w:p w:rsidR="00000000" w:rsidDel="00000000" w:rsidP="00000000" w:rsidRDefault="00000000" w:rsidRPr="00000000" w14:paraId="00000007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Los atributos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TRIVVU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buscan reconectar la pasión por el elemento más incandescente, el fuego. El signo ascendente del restaurante que está inspirado en la mitología de la antigua México-Technotitlán. Rendir tributo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Tezcatlipoca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-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amo de la noche que personifica al jaguar- forma parte de dicho espacio abierto que invita a probar cada corte premium de su carta.</w:t>
      </w:r>
    </w:p>
    <w:p w:rsidR="00000000" w:rsidDel="00000000" w:rsidP="00000000" w:rsidRDefault="00000000" w:rsidRPr="00000000" w14:paraId="0000000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 alta cocina de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l Chef cordobés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Matías Galleguillo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está creada con las más altas licencias en creación de comida contemporánea en piezas top de caza y pesca, y llegará a Sabor Es Polanco con un menú exclusivo para avivar el espíritu degustativo de los comensales con porciones para compartir y disfrutar en pareja o grupo. </w:t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Durante el fin de semana de Sabor Es Polanco 2023, la mano del chef Matías presentará tres menús de su autodefinida cocina b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istro-moderno en diferentes puntos del evento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: zona vip,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stand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y TRIVVU signature. </w:t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En el menú para la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zona vip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la propuesta gastronómica incluirá mini birote de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short rib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aderezado con cebolla caramelizada y mayonesa de pimiento rojo asado, hamachi sachimi acompañado de mango, toronja y vinagreta de jerez, tártara de salmón marinada en jengibre y guacamole, y opera versión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TRIVVU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escenario del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stand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tendrá a la parrilla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short rib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tomahawk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y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rib eye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mientras que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TRIVVU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signature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se disfrutará de puré de camote con clavo de olor y canela, empanada de cabrito, y tartar de salmón marinada en jengibre y guacamole.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Para conocer más sobre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hot spot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más interesante de la capital, se puede visitar la página </w:t>
      </w:r>
      <w:hyperlink r:id="rId6">
        <w:r w:rsidDel="00000000" w:rsidR="00000000" w:rsidRPr="00000000">
          <w:rPr>
            <w:rFonts w:ascii="Archivo" w:cs="Archivo" w:eastAsia="Archivo" w:hAnsi="Archivo"/>
            <w:b w:val="1"/>
            <w:color w:val="1155cc"/>
            <w:u w:val="single"/>
            <w:rtl w:val="0"/>
          </w:rPr>
          <w:t xml:space="preserve">TRIVVU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, y para reservar una entrada a Sabor Es Polanco ingrese a su </w:t>
      </w:r>
      <w:hyperlink r:id="rId7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sitio web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 oficial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###</w:t>
      </w:r>
    </w:p>
    <w:p w:rsidR="00000000" w:rsidDel="00000000" w:rsidP="00000000" w:rsidRDefault="00000000" w:rsidRPr="00000000" w14:paraId="00000016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u w:val="single"/>
          <w:rtl w:val="0"/>
        </w:rPr>
        <w:t xml:space="preserve">Acerca de W Hotels Worldwide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u w:val="single"/>
          <w:rtl w:val="0"/>
        </w:rPr>
        <w:t xml:space="preserve"> </w:t>
      </w:r>
      <w:hyperlink r:id="rId8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whotels.com/theangle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 o síguenos en </w:t>
      </w:r>
      <w:hyperlink r:id="rId9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y </w:t>
      </w:r>
      <w:hyperlink r:id="rId11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 W Hotels Worldwide se enorgullece de participar en Marriott Bonvoy®, el programa global de viajes de Marriott International. El programa les ofrece a sus socios un extraordinario portafolio de marcas globales, experiencias exclusivas en </w:t>
      </w:r>
      <w:hyperlink r:id="rId12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Marriott Bonvoy Moments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y beneficios inigualables,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incluyendo noches gratuitas y reconocimiento de la categoría Élite. Para inscribirse gratuitamente o para más información sobre el programa, visite </w:t>
      </w:r>
      <w:hyperlink r:id="rId13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marriottbonvoy.com.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rtl w:val="0"/>
        </w:rPr>
        <w:t xml:space="preserve">Marriott International, Inc. 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(NASDAQ: MAR) tiene su sede en Bethesda, Maryland, EE.UU., y cuenta con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 </w:t>
      </w:r>
      <w:hyperlink r:id="rId14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www.marriott.com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, y para las últimas noticias de la compañía, visite </w:t>
      </w:r>
      <w:hyperlink r:id="rId15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www.marriottnewscenter.com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 Además, conéctese con nosotros en </w:t>
      </w:r>
      <w:hyperlink r:id="rId16">
        <w:r w:rsidDel="00000000" w:rsidR="00000000" w:rsidRPr="00000000">
          <w:rPr>
            <w:rFonts w:ascii="Archivo" w:cs="Archivo" w:eastAsia="Archivo" w:hAnsi="Archivo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 y @MarriottIntl en </w:t>
      </w:r>
      <w:hyperlink r:id="rId17">
        <w:r w:rsidDel="00000000" w:rsidR="00000000" w:rsidRPr="00000000">
          <w:rPr>
            <w:rFonts w:ascii="Archivo" w:cs="Archivo" w:eastAsia="Archivo" w:hAnsi="Archivo"/>
            <w:color w:val="0000ff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 e </w:t>
      </w:r>
      <w:hyperlink r:id="rId18">
        <w:r w:rsidDel="00000000" w:rsidR="00000000" w:rsidRPr="00000000">
          <w:rPr>
            <w:rFonts w:ascii="Archivo" w:cs="Archivo" w:eastAsia="Archivo" w:hAnsi="Archivo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u w:val="single"/>
          <w:rtl w:val="0"/>
        </w:rPr>
        <w:t xml:space="preserve">Acerca de Marriott Bonvoy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u w:val="single"/>
          <w:rtl w:val="0"/>
        </w:rPr>
        <w:t xml:space="preserve">®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u w:val="single"/>
          <w:rtl w:val="0"/>
        </w:rPr>
        <w:t xml:space="preserve">marriottbonvoy.com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22">
      <w:pPr>
        <w:spacing w:line="276.0005454545455" w:lineRule="auto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chivo" w:cs="Archivo" w:eastAsia="Archivo" w:hAnsi="Archivo"/>
          <w:color w:val="666666"/>
          <w:sz w:val="18"/>
          <w:szCs w:val="18"/>
        </w:rPr>
      </w:pPr>
      <w:hyperlink r:id="rId19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Melissa Aladro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chivo" w:cs="Archivo" w:eastAsia="Archivo" w:hAnsi="Archivo"/>
          <w:b w:val="1"/>
        </w:rPr>
      </w:pPr>
      <w:hyperlink r:id="rId20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sectPr>
      <w:headerReference r:id="rId2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267685</wp:posOffset>
          </wp:positionH>
          <wp:positionV relativeFrom="paragraph">
            <wp:posOffset>-228599</wp:posOffset>
          </wp:positionV>
          <wp:extent cx="1018190" cy="714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8190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-114299</wp:posOffset>
          </wp:positionV>
          <wp:extent cx="747713" cy="48562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4856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elissa.aladro@another.co" TargetMode="External"/><Relationship Id="rId11" Type="http://schemas.openxmlformats.org/officeDocument/2006/relationships/hyperlink" Target="https://www.facebook.com/WHotels" TargetMode="External"/><Relationship Id="rId10" Type="http://schemas.openxmlformats.org/officeDocument/2006/relationships/hyperlink" Target="https://www.instagram.com/whotels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marriott.com/loyalty.mi?redirectFrom=marriottbonvoy.com" TargetMode="External"/><Relationship Id="rId12" Type="http://schemas.openxmlformats.org/officeDocument/2006/relationships/hyperlink" Target="https://www.moments.marriottbonvoy.com/en-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WHotels" TargetMode="External"/><Relationship Id="rId15" Type="http://schemas.openxmlformats.org/officeDocument/2006/relationships/hyperlink" Target="http://www.marriottnewscenter.com" TargetMode="External"/><Relationship Id="rId14" Type="http://schemas.openxmlformats.org/officeDocument/2006/relationships/hyperlink" Target="http://www.marriott.com" TargetMode="External"/><Relationship Id="rId17" Type="http://schemas.openxmlformats.org/officeDocument/2006/relationships/hyperlink" Target="https://twitter.com/MarriottIntl" TargetMode="External"/><Relationship Id="rId16" Type="http://schemas.openxmlformats.org/officeDocument/2006/relationships/hyperlink" Target="https://www.facebook.com/marriottinternational" TargetMode="External"/><Relationship Id="rId5" Type="http://schemas.openxmlformats.org/officeDocument/2006/relationships/styles" Target="styles.xml"/><Relationship Id="rId19" Type="http://schemas.openxmlformats.org/officeDocument/2006/relationships/hyperlink" Target="mailto:mariana.espiritu@another.co" TargetMode="External"/><Relationship Id="rId6" Type="http://schemas.openxmlformats.org/officeDocument/2006/relationships/hyperlink" Target="https://www.trivvu.mx/" TargetMode="External"/><Relationship Id="rId18" Type="http://schemas.openxmlformats.org/officeDocument/2006/relationships/hyperlink" Target="https://www.instagram.com/marriottintl/" TargetMode="External"/><Relationship Id="rId7" Type="http://schemas.openxmlformats.org/officeDocument/2006/relationships/hyperlink" Target="https://saborespolanco.mx/" TargetMode="External"/><Relationship Id="rId8" Type="http://schemas.openxmlformats.org/officeDocument/2006/relationships/hyperlink" Target="http://whotels.com/theang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