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40" w:rsidRPr="00842CFA" w:rsidRDefault="00412E40" w:rsidP="00412E40">
      <w:pPr>
        <w:pStyle w:val="En-tte"/>
        <w:tabs>
          <w:tab w:val="left" w:pos="2800"/>
          <w:tab w:val="right" w:pos="8300"/>
        </w:tabs>
        <w:rPr>
          <w:rFonts w:ascii="Verdana" w:hAnsi="Verdana" w:cs="Arial"/>
          <w:b/>
          <w:noProof/>
          <w:color w:val="00B0F0"/>
          <w:sz w:val="22"/>
          <w:szCs w:val="36"/>
          <w:lang w:val="fr-BE"/>
        </w:rPr>
      </w:pPr>
      <w:r w:rsidRPr="00842CFA">
        <w:rPr>
          <w:rFonts w:ascii="Verdana" w:hAnsi="Verdana"/>
          <w:noProof/>
          <w:sz w:val="12"/>
          <w:lang w:eastAsia="fr-FR"/>
        </w:rPr>
        <w:drawing>
          <wp:anchor distT="0" distB="0" distL="114300" distR="114300" simplePos="0" relativeHeight="251659264" behindDoc="0" locked="0" layoutInCell="1" allowOverlap="1" wp14:anchorId="02A42137" wp14:editId="6D9AF75F">
            <wp:simplePos x="0" y="0"/>
            <wp:positionH relativeFrom="margin">
              <wp:align>right</wp:align>
            </wp:positionH>
            <wp:positionV relativeFrom="paragraph">
              <wp:posOffset>346</wp:posOffset>
            </wp:positionV>
            <wp:extent cx="995045" cy="64897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5045"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2CFA">
        <w:rPr>
          <w:rFonts w:ascii="Verdana" w:hAnsi="Verdana" w:cs="Arial"/>
          <w:b/>
          <w:noProof/>
          <w:color w:val="00B0F0"/>
          <w:sz w:val="22"/>
          <w:szCs w:val="36"/>
          <w:lang w:val="fr-BE"/>
        </w:rPr>
        <w:t>Carte blanche  - Bernard Keppenne</w:t>
      </w:r>
    </w:p>
    <w:p w:rsidR="00412E40" w:rsidRDefault="00412E40" w:rsidP="00412E40">
      <w:pPr>
        <w:pStyle w:val="En-tte"/>
        <w:tabs>
          <w:tab w:val="left" w:pos="2800"/>
          <w:tab w:val="right" w:pos="8300"/>
        </w:tabs>
      </w:pPr>
      <w:r w:rsidRPr="00842CFA">
        <w:rPr>
          <w:rFonts w:ascii="Verdana" w:hAnsi="Verdana" w:cs="Arial"/>
          <w:b/>
          <w:noProof/>
          <w:color w:val="00B0F0"/>
          <w:sz w:val="22"/>
          <w:szCs w:val="36"/>
          <w:lang w:val="fr-BE"/>
        </w:rPr>
        <w:t>Chief Economist CBC Banque</w:t>
      </w:r>
      <w:r w:rsidRPr="00842CFA">
        <w:rPr>
          <w:rFonts w:ascii="Verdana" w:hAnsi="Verdana" w:cs="Arial"/>
          <w:b/>
          <w:noProof/>
          <w:color w:val="00B0F0"/>
          <w:sz w:val="12"/>
          <w:lang w:val="fr-BE"/>
        </w:rPr>
        <w:t xml:space="preserve">   </w:t>
      </w:r>
      <w:r w:rsidRPr="00C34332">
        <w:rPr>
          <w:rFonts w:ascii="Verdana" w:hAnsi="Verdana" w:cs="Arial"/>
          <w:b/>
          <w:noProof/>
          <w:color w:val="00B0F0"/>
          <w:sz w:val="16"/>
          <w:lang w:val="fr-BE"/>
        </w:rPr>
        <w:t xml:space="preserve">      </w:t>
      </w:r>
      <w:r w:rsidRPr="00C34332">
        <w:rPr>
          <w:rFonts w:ascii="Verdana" w:hAnsi="Verdana"/>
          <w:color w:val="00B0F0"/>
          <w:sz w:val="16"/>
          <w:lang w:val="fr-BE"/>
        </w:rPr>
        <w:t xml:space="preserve"> </w:t>
      </w:r>
      <w:r>
        <w:tab/>
      </w:r>
    </w:p>
    <w:p w:rsidR="00412E40" w:rsidRDefault="00412E40" w:rsidP="00412E40">
      <w:pPr>
        <w:pStyle w:val="Titre1"/>
        <w:jc w:val="center"/>
        <w:rPr>
          <w:lang w:val="fr-BE"/>
        </w:rPr>
      </w:pPr>
    </w:p>
    <w:p w:rsidR="00412E40" w:rsidRDefault="00412E40" w:rsidP="00412E40">
      <w:pPr>
        <w:pStyle w:val="Titre1"/>
        <w:jc w:val="center"/>
        <w:rPr>
          <w:lang w:val="fr-BE"/>
        </w:rPr>
      </w:pPr>
    </w:p>
    <w:p w:rsidR="00412E40" w:rsidRDefault="00412E40" w:rsidP="00412E40">
      <w:pPr>
        <w:pStyle w:val="Titre1"/>
        <w:jc w:val="center"/>
        <w:rPr>
          <w:lang w:val="fr-BE"/>
        </w:rPr>
      </w:pPr>
    </w:p>
    <w:p w:rsidR="00412E40" w:rsidRPr="00C34332" w:rsidRDefault="00412E40" w:rsidP="00412E40">
      <w:pPr>
        <w:pStyle w:val="Titre"/>
        <w:jc w:val="center"/>
        <w:rPr>
          <w:color w:val="00B0F0"/>
          <w:sz w:val="44"/>
          <w:lang w:val="fr-BE"/>
        </w:rPr>
      </w:pPr>
    </w:p>
    <w:p w:rsidR="00412E40" w:rsidRPr="00622C9C" w:rsidRDefault="005B4C9C" w:rsidP="00412E40">
      <w:pPr>
        <w:pStyle w:val="NormalWeb"/>
        <w:spacing w:after="200"/>
        <w:jc w:val="center"/>
        <w:rPr>
          <w:rFonts w:ascii="Calibri" w:eastAsiaTheme="majorEastAsia" w:hAnsi="Calibri" w:cstheme="majorBidi"/>
          <w:color w:val="00B0F0"/>
          <w:spacing w:val="-10"/>
          <w:kern w:val="28"/>
          <w:sz w:val="44"/>
          <w:szCs w:val="56"/>
          <w:lang w:val="fr-BE" w:eastAsia="en-US"/>
        </w:rPr>
      </w:pPr>
      <w:r>
        <w:rPr>
          <w:rFonts w:ascii="Calibri" w:eastAsiaTheme="majorEastAsia" w:hAnsi="Calibri" w:cstheme="majorBidi"/>
          <w:color w:val="00B0F0"/>
          <w:spacing w:val="-10"/>
          <w:kern w:val="28"/>
          <w:sz w:val="44"/>
          <w:szCs w:val="56"/>
          <w:lang w:val="fr-BE" w:eastAsia="en-US"/>
        </w:rPr>
        <w:t>Le baril bientôt orphelin de l’OPEP</w:t>
      </w:r>
      <w:r w:rsidR="00412E40">
        <w:rPr>
          <w:rFonts w:ascii="Calibri" w:eastAsiaTheme="majorEastAsia" w:hAnsi="Calibri" w:cstheme="majorBidi"/>
          <w:color w:val="00B0F0"/>
          <w:spacing w:val="-10"/>
          <w:kern w:val="28"/>
          <w:sz w:val="44"/>
          <w:szCs w:val="56"/>
          <w:lang w:val="fr-BE" w:eastAsia="en-US"/>
        </w:rPr>
        <w:t xml:space="preserve"> ? </w:t>
      </w:r>
    </w:p>
    <w:p w:rsidR="00412E40" w:rsidRDefault="00412E40" w:rsidP="00AA232A">
      <w:pPr>
        <w:pStyle w:val="NormalWeb"/>
        <w:spacing w:after="200"/>
        <w:jc w:val="both"/>
        <w:rPr>
          <w:rFonts w:ascii="Verdana" w:hAnsi="Verdana"/>
          <w:color w:val="000000"/>
          <w:sz w:val="20"/>
          <w:szCs w:val="20"/>
          <w:lang w:val="fr-BE"/>
        </w:rPr>
      </w:pPr>
    </w:p>
    <w:p w:rsidR="00134E4C" w:rsidRPr="00AA232A" w:rsidRDefault="00134E4C" w:rsidP="00AA232A">
      <w:pPr>
        <w:pStyle w:val="NormalWeb"/>
        <w:spacing w:after="200"/>
        <w:jc w:val="both"/>
        <w:rPr>
          <w:rFonts w:ascii="Calibri" w:hAnsi="Calibri"/>
          <w:color w:val="000000"/>
          <w:sz w:val="20"/>
          <w:szCs w:val="20"/>
          <w:lang w:val="fr-BE"/>
        </w:rPr>
      </w:pPr>
      <w:r w:rsidRPr="00AA232A">
        <w:rPr>
          <w:rFonts w:ascii="Verdana" w:hAnsi="Verdana"/>
          <w:color w:val="000000"/>
          <w:sz w:val="20"/>
          <w:szCs w:val="20"/>
          <w:lang w:val="fr-BE"/>
        </w:rPr>
        <w:t xml:space="preserve">En dépit du renouvellement de l’accord de l’OPEP </w:t>
      </w:r>
      <w:r w:rsidR="005B4C9C">
        <w:rPr>
          <w:rFonts w:ascii="Verdana" w:hAnsi="Verdana"/>
          <w:color w:val="000000"/>
          <w:sz w:val="20"/>
          <w:szCs w:val="20"/>
          <w:lang w:val="fr-BE"/>
        </w:rPr>
        <w:t>de</w:t>
      </w:r>
      <w:r w:rsidR="0059444E">
        <w:rPr>
          <w:rFonts w:ascii="Verdana" w:hAnsi="Verdana"/>
          <w:color w:val="000000"/>
          <w:sz w:val="20"/>
          <w:szCs w:val="20"/>
          <w:lang w:val="fr-BE"/>
        </w:rPr>
        <w:t xml:space="preserve"> novembre 2016</w:t>
      </w:r>
      <w:r w:rsidR="007F4A8E">
        <w:rPr>
          <w:rFonts w:ascii="Verdana" w:hAnsi="Verdana"/>
          <w:color w:val="000000"/>
          <w:sz w:val="20"/>
          <w:szCs w:val="20"/>
          <w:lang w:val="fr-BE"/>
        </w:rPr>
        <w:t xml:space="preserve"> </w:t>
      </w:r>
      <w:r w:rsidR="005B4C9C">
        <w:rPr>
          <w:rFonts w:ascii="Verdana" w:hAnsi="Verdana"/>
          <w:color w:val="000000"/>
          <w:sz w:val="20"/>
          <w:szCs w:val="20"/>
          <w:lang w:val="fr-BE"/>
        </w:rPr>
        <w:t xml:space="preserve">conduisant à </w:t>
      </w:r>
      <w:r w:rsidR="00AD4B4F">
        <w:rPr>
          <w:rFonts w:ascii="Verdana" w:hAnsi="Verdana"/>
          <w:color w:val="000000"/>
          <w:sz w:val="20"/>
          <w:szCs w:val="20"/>
          <w:lang w:val="fr-BE"/>
        </w:rPr>
        <w:t>une</w:t>
      </w:r>
      <w:r w:rsidRPr="00AA232A">
        <w:rPr>
          <w:rFonts w:ascii="Verdana" w:hAnsi="Verdana"/>
          <w:color w:val="000000"/>
          <w:sz w:val="20"/>
          <w:szCs w:val="20"/>
          <w:lang w:val="fr-BE"/>
        </w:rPr>
        <w:t xml:space="preserve"> réduction de la production </w:t>
      </w:r>
      <w:r w:rsidR="007F4A8E">
        <w:rPr>
          <w:rFonts w:ascii="Verdana" w:hAnsi="Verdana"/>
          <w:color w:val="000000"/>
          <w:sz w:val="20"/>
          <w:szCs w:val="20"/>
          <w:lang w:val="fr-BE"/>
        </w:rPr>
        <w:t xml:space="preserve">de pétrole </w:t>
      </w:r>
      <w:r w:rsidRPr="00AA232A">
        <w:rPr>
          <w:rFonts w:ascii="Verdana" w:hAnsi="Verdana"/>
          <w:color w:val="000000"/>
          <w:sz w:val="20"/>
          <w:szCs w:val="20"/>
          <w:lang w:val="fr-BE"/>
        </w:rPr>
        <w:t xml:space="preserve">jusqu’en mars 2018, le prix du baril a </w:t>
      </w:r>
      <w:r w:rsidR="0059444E">
        <w:rPr>
          <w:rFonts w:ascii="Verdana" w:hAnsi="Verdana"/>
          <w:color w:val="000000"/>
          <w:sz w:val="20"/>
          <w:szCs w:val="20"/>
          <w:lang w:val="fr-BE"/>
        </w:rPr>
        <w:t xml:space="preserve">inexorablement </w:t>
      </w:r>
      <w:r w:rsidRPr="00AA232A">
        <w:rPr>
          <w:rFonts w:ascii="Verdana" w:hAnsi="Verdana"/>
          <w:color w:val="000000"/>
          <w:sz w:val="20"/>
          <w:szCs w:val="20"/>
          <w:lang w:val="fr-BE"/>
        </w:rPr>
        <w:t>reculé de 20% depuis son pic de cette année.</w:t>
      </w:r>
    </w:p>
    <w:p w:rsidR="00D54083" w:rsidRPr="00412E40" w:rsidRDefault="00D54083" w:rsidP="00D54083">
      <w:pPr>
        <w:pStyle w:val="NormalWeb"/>
        <w:spacing w:after="200"/>
        <w:jc w:val="both"/>
        <w:rPr>
          <w:rFonts w:ascii="Calibri" w:hAnsi="Calibri"/>
          <w:color w:val="00B0F0"/>
          <w:sz w:val="22"/>
          <w:szCs w:val="20"/>
          <w:lang w:val="fr-BE"/>
        </w:rPr>
      </w:pPr>
      <w:r>
        <w:rPr>
          <w:rFonts w:ascii="Verdana" w:hAnsi="Verdana"/>
          <w:color w:val="00B0F0"/>
          <w:sz w:val="22"/>
          <w:szCs w:val="20"/>
          <w:lang w:val="fr-BE"/>
        </w:rPr>
        <w:t xml:space="preserve">Un </w:t>
      </w:r>
      <w:r w:rsidR="009004A7">
        <w:rPr>
          <w:rFonts w:ascii="Verdana" w:hAnsi="Verdana"/>
          <w:color w:val="00B0F0"/>
          <w:sz w:val="22"/>
          <w:szCs w:val="20"/>
          <w:lang w:val="fr-BE"/>
        </w:rPr>
        <w:t xml:space="preserve">simple </w:t>
      </w:r>
      <w:r>
        <w:rPr>
          <w:rFonts w:ascii="Verdana" w:hAnsi="Verdana"/>
          <w:color w:val="00B0F0"/>
          <w:sz w:val="22"/>
          <w:szCs w:val="20"/>
          <w:lang w:val="fr-BE"/>
        </w:rPr>
        <w:t>feu de paille</w:t>
      </w:r>
    </w:p>
    <w:p w:rsidR="00134E4C" w:rsidRPr="00AA232A" w:rsidRDefault="004A2B38" w:rsidP="00AA232A">
      <w:pPr>
        <w:pStyle w:val="NormalWeb"/>
        <w:spacing w:after="200"/>
        <w:jc w:val="both"/>
        <w:rPr>
          <w:rFonts w:ascii="Calibri" w:hAnsi="Calibri"/>
          <w:color w:val="000000"/>
          <w:sz w:val="20"/>
          <w:szCs w:val="20"/>
          <w:lang w:val="fr-BE"/>
        </w:rPr>
      </w:pPr>
      <w:r>
        <w:rPr>
          <w:rFonts w:ascii="Verdana" w:hAnsi="Verdana"/>
          <w:color w:val="000000"/>
          <w:sz w:val="20"/>
          <w:szCs w:val="20"/>
          <w:lang w:val="fr-BE"/>
        </w:rPr>
        <w:t>En</w:t>
      </w:r>
      <w:r w:rsidR="0059444E">
        <w:rPr>
          <w:rFonts w:ascii="Verdana" w:hAnsi="Verdana"/>
          <w:color w:val="000000"/>
          <w:sz w:val="20"/>
          <w:szCs w:val="20"/>
          <w:lang w:val="fr-BE"/>
        </w:rPr>
        <w:t xml:space="preserve"> novembre</w:t>
      </w:r>
      <w:r>
        <w:rPr>
          <w:rFonts w:ascii="Verdana" w:hAnsi="Verdana"/>
          <w:color w:val="000000"/>
          <w:sz w:val="20"/>
          <w:szCs w:val="20"/>
          <w:lang w:val="fr-BE"/>
        </w:rPr>
        <w:t xml:space="preserve"> dernier</w:t>
      </w:r>
      <w:r w:rsidR="0059444E">
        <w:rPr>
          <w:rFonts w:ascii="Verdana" w:hAnsi="Verdana"/>
          <w:color w:val="000000"/>
          <w:sz w:val="20"/>
          <w:szCs w:val="20"/>
          <w:lang w:val="fr-BE"/>
        </w:rPr>
        <w:t xml:space="preserve">, les pays de l’OPEP ainsi que les pays producteurs </w:t>
      </w:r>
      <w:r w:rsidR="007F4A8E">
        <w:rPr>
          <w:rFonts w:ascii="Verdana" w:hAnsi="Verdana"/>
          <w:color w:val="000000"/>
          <w:sz w:val="20"/>
          <w:szCs w:val="20"/>
          <w:lang w:val="fr-BE"/>
        </w:rPr>
        <w:t>non-membre</w:t>
      </w:r>
      <w:r w:rsidR="00134E4C" w:rsidRPr="00AA232A">
        <w:rPr>
          <w:rFonts w:ascii="Verdana" w:hAnsi="Verdana"/>
          <w:color w:val="000000"/>
          <w:sz w:val="20"/>
          <w:szCs w:val="20"/>
          <w:lang w:val="fr-BE"/>
        </w:rPr>
        <w:t xml:space="preserve"> mais proche</w:t>
      </w:r>
      <w:r w:rsidR="00D54083">
        <w:rPr>
          <w:rFonts w:ascii="Verdana" w:hAnsi="Verdana"/>
          <w:color w:val="000000"/>
          <w:sz w:val="20"/>
          <w:szCs w:val="20"/>
          <w:lang w:val="fr-BE"/>
        </w:rPr>
        <w:t xml:space="preserve"> comme la Russie, avaient</w:t>
      </w:r>
      <w:r w:rsidR="00134E4C" w:rsidRPr="00AA232A">
        <w:rPr>
          <w:rFonts w:ascii="Verdana" w:hAnsi="Verdana"/>
          <w:color w:val="000000"/>
          <w:sz w:val="20"/>
          <w:szCs w:val="20"/>
          <w:lang w:val="fr-BE"/>
        </w:rPr>
        <w:t xml:space="preserve"> décidé de réduire </w:t>
      </w:r>
      <w:r w:rsidR="0059444E" w:rsidRPr="00AA232A">
        <w:rPr>
          <w:rFonts w:ascii="Verdana" w:hAnsi="Verdana"/>
          <w:color w:val="000000"/>
          <w:sz w:val="20"/>
          <w:szCs w:val="20"/>
          <w:lang w:val="fr-BE"/>
        </w:rPr>
        <w:t>leur production</w:t>
      </w:r>
      <w:r w:rsidR="0059444E">
        <w:rPr>
          <w:rFonts w:ascii="Verdana" w:hAnsi="Verdana"/>
          <w:color w:val="000000"/>
          <w:sz w:val="20"/>
          <w:szCs w:val="20"/>
          <w:lang w:val="fr-BE"/>
        </w:rPr>
        <w:t xml:space="preserve"> quotidienne</w:t>
      </w:r>
      <w:r w:rsidR="0059444E" w:rsidRPr="00AA232A">
        <w:rPr>
          <w:rFonts w:ascii="Verdana" w:hAnsi="Verdana"/>
          <w:color w:val="000000"/>
          <w:sz w:val="20"/>
          <w:szCs w:val="20"/>
          <w:lang w:val="fr-BE"/>
        </w:rPr>
        <w:t xml:space="preserve"> </w:t>
      </w:r>
      <w:r w:rsidR="00134E4C" w:rsidRPr="00AA232A">
        <w:rPr>
          <w:rFonts w:ascii="Verdana" w:hAnsi="Verdana"/>
          <w:color w:val="000000"/>
          <w:sz w:val="20"/>
          <w:szCs w:val="20"/>
          <w:lang w:val="fr-BE"/>
        </w:rPr>
        <w:t>de 1.8 million de baril</w:t>
      </w:r>
      <w:r w:rsidR="0059444E">
        <w:rPr>
          <w:rFonts w:ascii="Verdana" w:hAnsi="Verdana"/>
          <w:color w:val="000000"/>
          <w:sz w:val="20"/>
          <w:szCs w:val="20"/>
          <w:lang w:val="fr-BE"/>
        </w:rPr>
        <w:t>s</w:t>
      </w:r>
      <w:r w:rsidR="007F4A8E">
        <w:rPr>
          <w:rFonts w:ascii="Verdana" w:hAnsi="Verdana"/>
          <w:color w:val="000000"/>
          <w:sz w:val="20"/>
          <w:szCs w:val="20"/>
          <w:lang w:val="fr-BE"/>
        </w:rPr>
        <w:t xml:space="preserve"> et ce pour une période de 6 mois. Cette</w:t>
      </w:r>
      <w:r w:rsidR="00134E4C" w:rsidRPr="00AA232A">
        <w:rPr>
          <w:rFonts w:ascii="Verdana" w:hAnsi="Verdana"/>
          <w:color w:val="000000"/>
          <w:sz w:val="20"/>
          <w:szCs w:val="20"/>
          <w:lang w:val="fr-BE"/>
        </w:rPr>
        <w:t xml:space="preserve"> décision quasi historique</w:t>
      </w:r>
      <w:r w:rsidR="007F4A8E">
        <w:rPr>
          <w:rFonts w:ascii="Verdana" w:hAnsi="Verdana"/>
          <w:color w:val="000000"/>
          <w:sz w:val="20"/>
          <w:szCs w:val="20"/>
          <w:lang w:val="fr-BE"/>
        </w:rPr>
        <w:t xml:space="preserve"> </w:t>
      </w:r>
      <w:r w:rsidR="00AD4B4F">
        <w:rPr>
          <w:rFonts w:ascii="Verdana" w:hAnsi="Verdana"/>
          <w:color w:val="000000"/>
          <w:sz w:val="20"/>
          <w:szCs w:val="20"/>
          <w:lang w:val="fr-BE"/>
        </w:rPr>
        <w:t>dans la mesure où</w:t>
      </w:r>
      <w:r w:rsidR="00134E4C" w:rsidRPr="00AA232A">
        <w:rPr>
          <w:rFonts w:ascii="Verdana" w:hAnsi="Verdana"/>
          <w:color w:val="000000"/>
          <w:sz w:val="20"/>
          <w:szCs w:val="20"/>
          <w:lang w:val="fr-BE"/>
        </w:rPr>
        <w:t xml:space="preserve"> un tel accord n’avait plus été obtenu </w:t>
      </w:r>
      <w:r w:rsidR="007F4A8E">
        <w:rPr>
          <w:rFonts w:ascii="Verdana" w:hAnsi="Verdana"/>
          <w:color w:val="000000"/>
          <w:sz w:val="20"/>
          <w:szCs w:val="20"/>
          <w:lang w:val="fr-BE"/>
        </w:rPr>
        <w:t xml:space="preserve">depuis 2001, </w:t>
      </w:r>
      <w:r w:rsidR="00AD4B4F">
        <w:rPr>
          <w:rFonts w:ascii="Verdana" w:hAnsi="Verdana"/>
          <w:color w:val="000000"/>
          <w:sz w:val="20"/>
          <w:szCs w:val="20"/>
          <w:lang w:val="fr-BE"/>
        </w:rPr>
        <w:t>représentait</w:t>
      </w:r>
      <w:r w:rsidR="00134E4C" w:rsidRPr="00AA232A">
        <w:rPr>
          <w:rFonts w:ascii="Verdana" w:hAnsi="Verdana"/>
          <w:color w:val="000000"/>
          <w:sz w:val="20"/>
          <w:szCs w:val="20"/>
          <w:lang w:val="fr-BE"/>
        </w:rPr>
        <w:t xml:space="preserve"> une grande</w:t>
      </w:r>
      <w:r w:rsidR="007F4A8E">
        <w:rPr>
          <w:rFonts w:ascii="Verdana" w:hAnsi="Verdana"/>
          <w:color w:val="000000"/>
          <w:sz w:val="20"/>
          <w:szCs w:val="20"/>
          <w:lang w:val="fr-BE"/>
        </w:rPr>
        <w:t xml:space="preserve"> victoire après une guerre de</w:t>
      </w:r>
      <w:r w:rsidR="00BC25EA">
        <w:rPr>
          <w:rFonts w:ascii="Verdana" w:hAnsi="Verdana"/>
          <w:color w:val="000000"/>
          <w:sz w:val="20"/>
          <w:szCs w:val="20"/>
          <w:lang w:val="fr-BE"/>
        </w:rPr>
        <w:t xml:space="preserve"> production</w:t>
      </w:r>
      <w:r w:rsidR="00134E4C" w:rsidRPr="00AA232A">
        <w:rPr>
          <w:rFonts w:ascii="Verdana" w:hAnsi="Verdana"/>
          <w:color w:val="000000"/>
          <w:sz w:val="20"/>
          <w:szCs w:val="20"/>
          <w:lang w:val="fr-BE"/>
        </w:rPr>
        <w:t xml:space="preserve"> menée </w:t>
      </w:r>
      <w:r w:rsidR="00BC25EA">
        <w:rPr>
          <w:rFonts w:ascii="Verdana" w:hAnsi="Verdana"/>
          <w:color w:val="000000"/>
          <w:sz w:val="20"/>
          <w:szCs w:val="20"/>
          <w:lang w:val="fr-BE"/>
        </w:rPr>
        <w:t xml:space="preserve">par </w:t>
      </w:r>
      <w:r w:rsidR="00134E4C" w:rsidRPr="00AA232A">
        <w:rPr>
          <w:rFonts w:ascii="Verdana" w:hAnsi="Verdana"/>
          <w:color w:val="000000"/>
          <w:sz w:val="20"/>
          <w:szCs w:val="20"/>
          <w:lang w:val="fr-BE"/>
        </w:rPr>
        <w:t>ces m</w:t>
      </w:r>
      <w:r w:rsidR="007F4A8E">
        <w:rPr>
          <w:rFonts w:ascii="Verdana" w:hAnsi="Verdana"/>
          <w:color w:val="000000"/>
          <w:sz w:val="20"/>
          <w:szCs w:val="20"/>
          <w:lang w:val="fr-BE"/>
        </w:rPr>
        <w:t xml:space="preserve">êmes pays pendant plus d’un an. </w:t>
      </w:r>
      <w:r w:rsidR="00134E4C" w:rsidRPr="00AA232A">
        <w:rPr>
          <w:rFonts w:ascii="Verdana" w:hAnsi="Verdana"/>
          <w:color w:val="000000"/>
          <w:sz w:val="20"/>
          <w:szCs w:val="20"/>
          <w:lang w:val="fr-BE"/>
        </w:rPr>
        <w:t>Les effets s’en étaient fait</w:t>
      </w:r>
      <w:r w:rsidR="007F4A8E">
        <w:rPr>
          <w:rFonts w:ascii="Verdana" w:hAnsi="Verdana"/>
          <w:color w:val="000000"/>
          <w:sz w:val="20"/>
          <w:szCs w:val="20"/>
          <w:lang w:val="fr-BE"/>
        </w:rPr>
        <w:t>s</w:t>
      </w:r>
      <w:r w:rsidR="00134E4C" w:rsidRPr="00AA232A">
        <w:rPr>
          <w:rFonts w:ascii="Verdana" w:hAnsi="Verdana"/>
          <w:color w:val="000000"/>
          <w:sz w:val="20"/>
          <w:szCs w:val="20"/>
          <w:lang w:val="fr-BE"/>
        </w:rPr>
        <w:t xml:space="preserve"> sentir rapidement avec une remontée sensible du prix du baril et une stabilisation autour des 55$ fin 2016 et début 2017.</w:t>
      </w:r>
    </w:p>
    <w:p w:rsidR="00134E4C" w:rsidRPr="00AA232A" w:rsidRDefault="007F4A8E" w:rsidP="00AA232A">
      <w:pPr>
        <w:pStyle w:val="NormalWeb"/>
        <w:spacing w:after="200"/>
        <w:jc w:val="both"/>
        <w:rPr>
          <w:rFonts w:ascii="Calibri" w:hAnsi="Calibri"/>
          <w:color w:val="000000"/>
          <w:sz w:val="20"/>
          <w:szCs w:val="20"/>
          <w:lang w:val="fr-BE"/>
        </w:rPr>
      </w:pPr>
      <w:r>
        <w:rPr>
          <w:rFonts w:ascii="Verdana" w:hAnsi="Verdana"/>
          <w:color w:val="000000"/>
          <w:sz w:val="20"/>
          <w:szCs w:val="20"/>
          <w:lang w:val="fr-BE"/>
        </w:rPr>
        <w:t xml:space="preserve">D’emblée, les pays signataires s’étaient </w:t>
      </w:r>
      <w:r w:rsidR="00134E4C" w:rsidRPr="00AA232A">
        <w:rPr>
          <w:rFonts w:ascii="Verdana" w:hAnsi="Verdana"/>
          <w:color w:val="000000"/>
          <w:sz w:val="20"/>
          <w:szCs w:val="20"/>
          <w:lang w:val="fr-BE"/>
        </w:rPr>
        <w:t>accord</w:t>
      </w:r>
      <w:r>
        <w:rPr>
          <w:rFonts w:ascii="Verdana" w:hAnsi="Verdana"/>
          <w:color w:val="000000"/>
          <w:sz w:val="20"/>
          <w:szCs w:val="20"/>
          <w:lang w:val="fr-BE"/>
        </w:rPr>
        <w:t>és</w:t>
      </w:r>
      <w:r w:rsidR="00134E4C" w:rsidRPr="00AA232A">
        <w:rPr>
          <w:rFonts w:ascii="Verdana" w:hAnsi="Verdana"/>
          <w:color w:val="000000"/>
          <w:sz w:val="20"/>
          <w:szCs w:val="20"/>
          <w:lang w:val="fr-BE"/>
        </w:rPr>
        <w:t xml:space="preserve"> </w:t>
      </w:r>
      <w:r>
        <w:rPr>
          <w:rFonts w:ascii="Verdana" w:hAnsi="Verdana"/>
          <w:color w:val="000000"/>
          <w:sz w:val="20"/>
          <w:szCs w:val="20"/>
          <w:lang w:val="fr-BE"/>
        </w:rPr>
        <w:t>pour un éventuel renouvellement de l’accord</w:t>
      </w:r>
      <w:r w:rsidR="00134E4C" w:rsidRPr="00AA232A">
        <w:rPr>
          <w:rFonts w:ascii="Verdana" w:hAnsi="Verdana"/>
          <w:color w:val="000000"/>
          <w:sz w:val="20"/>
          <w:szCs w:val="20"/>
          <w:lang w:val="fr-BE"/>
        </w:rPr>
        <w:t xml:space="preserve"> en fonction de l’évolution </w:t>
      </w:r>
      <w:r>
        <w:rPr>
          <w:rFonts w:ascii="Verdana" w:hAnsi="Verdana"/>
          <w:color w:val="000000"/>
          <w:sz w:val="20"/>
          <w:szCs w:val="20"/>
          <w:lang w:val="fr-BE"/>
        </w:rPr>
        <w:t>de la situation sur le marché. Et f</w:t>
      </w:r>
      <w:r w:rsidR="00134E4C" w:rsidRPr="00AA232A">
        <w:rPr>
          <w:rFonts w:ascii="Verdana" w:hAnsi="Verdana"/>
          <w:color w:val="000000"/>
          <w:sz w:val="20"/>
          <w:szCs w:val="20"/>
          <w:lang w:val="fr-BE"/>
        </w:rPr>
        <w:t xml:space="preserve">ace à une nouvelle faiblesse des prix, le 25 mai </w:t>
      </w:r>
      <w:r>
        <w:rPr>
          <w:rFonts w:ascii="Verdana" w:hAnsi="Verdana"/>
          <w:color w:val="000000"/>
          <w:sz w:val="20"/>
          <w:szCs w:val="20"/>
          <w:lang w:val="fr-BE"/>
        </w:rPr>
        <w:t>dernier</w:t>
      </w:r>
      <w:r w:rsidR="00134E4C" w:rsidRPr="00AA232A">
        <w:rPr>
          <w:rFonts w:ascii="Verdana" w:hAnsi="Verdana"/>
          <w:color w:val="000000"/>
          <w:sz w:val="20"/>
          <w:szCs w:val="20"/>
          <w:lang w:val="fr-BE"/>
        </w:rPr>
        <w:t xml:space="preserve">, l’OPEP </w:t>
      </w:r>
      <w:r>
        <w:rPr>
          <w:rFonts w:ascii="Verdana" w:hAnsi="Verdana"/>
          <w:color w:val="000000"/>
          <w:sz w:val="20"/>
          <w:szCs w:val="20"/>
          <w:lang w:val="fr-BE"/>
        </w:rPr>
        <w:t>décidait</w:t>
      </w:r>
      <w:r w:rsidR="00134E4C" w:rsidRPr="00AA232A">
        <w:rPr>
          <w:rFonts w:ascii="Verdana" w:hAnsi="Verdana"/>
          <w:color w:val="000000"/>
          <w:sz w:val="20"/>
          <w:szCs w:val="20"/>
          <w:lang w:val="fr-BE"/>
        </w:rPr>
        <w:t xml:space="preserve"> de reconduire cet accord pour 9 mois.</w:t>
      </w:r>
      <w:r w:rsidR="00D54083" w:rsidRPr="00D54083">
        <w:rPr>
          <w:rFonts w:ascii="Verdana" w:hAnsi="Verdana"/>
          <w:color w:val="000000"/>
          <w:sz w:val="20"/>
          <w:szCs w:val="20"/>
          <w:lang w:val="fr-BE"/>
        </w:rPr>
        <w:t xml:space="preserve"> </w:t>
      </w:r>
      <w:r w:rsidR="00D54083" w:rsidRPr="00AA232A">
        <w:rPr>
          <w:rFonts w:ascii="Verdana" w:hAnsi="Verdana"/>
          <w:color w:val="000000"/>
          <w:sz w:val="20"/>
          <w:szCs w:val="20"/>
          <w:lang w:val="fr-BE"/>
        </w:rPr>
        <w:t>On pouvait dès lors s’attendre à une remontée ou à tout le moins à une</w:t>
      </w:r>
      <w:r w:rsidR="00D54083">
        <w:rPr>
          <w:rFonts w:ascii="Verdana" w:hAnsi="Verdana"/>
          <w:color w:val="000000"/>
          <w:sz w:val="20"/>
          <w:szCs w:val="20"/>
          <w:lang w:val="fr-BE"/>
        </w:rPr>
        <w:t xml:space="preserve"> stabilisation du prix du baril. Or, </w:t>
      </w:r>
      <w:r w:rsidR="00D54083" w:rsidRPr="00AA232A">
        <w:rPr>
          <w:rFonts w:ascii="Verdana" w:hAnsi="Verdana"/>
          <w:color w:val="000000"/>
          <w:sz w:val="20"/>
          <w:szCs w:val="20"/>
          <w:lang w:val="fr-BE"/>
        </w:rPr>
        <w:t xml:space="preserve">il faut bien constater que le mouvement </w:t>
      </w:r>
      <w:r w:rsidR="00AD4B4F">
        <w:rPr>
          <w:rFonts w:ascii="Verdana" w:hAnsi="Verdana"/>
          <w:color w:val="000000"/>
          <w:sz w:val="20"/>
          <w:szCs w:val="20"/>
          <w:lang w:val="fr-BE"/>
        </w:rPr>
        <w:t>a pris la direction opposée</w:t>
      </w:r>
      <w:r w:rsidR="00D54083" w:rsidRPr="00AA232A">
        <w:rPr>
          <w:rFonts w:ascii="Verdana" w:hAnsi="Verdana"/>
          <w:color w:val="000000"/>
          <w:sz w:val="20"/>
          <w:szCs w:val="20"/>
          <w:lang w:val="fr-BE"/>
        </w:rPr>
        <w:t>.</w:t>
      </w:r>
      <w:r w:rsidR="00D54083">
        <w:rPr>
          <w:rFonts w:ascii="Calibri" w:hAnsi="Calibri"/>
          <w:color w:val="000000"/>
          <w:sz w:val="20"/>
          <w:szCs w:val="20"/>
          <w:lang w:val="fr-BE"/>
        </w:rPr>
        <w:t xml:space="preserve"> </w:t>
      </w:r>
    </w:p>
    <w:p w:rsidR="00D54083" w:rsidRPr="00D54083" w:rsidRDefault="00D54083" w:rsidP="00AA232A">
      <w:pPr>
        <w:pStyle w:val="NormalWeb"/>
        <w:spacing w:after="200"/>
        <w:jc w:val="both"/>
        <w:rPr>
          <w:rFonts w:ascii="Verdana" w:hAnsi="Verdana"/>
          <w:color w:val="00B0F0"/>
          <w:sz w:val="22"/>
          <w:szCs w:val="20"/>
          <w:lang w:val="fr-BE"/>
        </w:rPr>
      </w:pPr>
      <w:r w:rsidRPr="00D54083">
        <w:rPr>
          <w:rFonts w:ascii="Verdana" w:hAnsi="Verdana"/>
          <w:color w:val="00B0F0"/>
          <w:sz w:val="22"/>
          <w:szCs w:val="20"/>
          <w:lang w:val="fr-BE"/>
        </w:rPr>
        <w:t>L</w:t>
      </w:r>
      <w:r>
        <w:rPr>
          <w:rFonts w:ascii="Verdana" w:hAnsi="Verdana"/>
          <w:color w:val="00B0F0"/>
          <w:sz w:val="22"/>
          <w:szCs w:val="20"/>
          <w:lang w:val="fr-BE"/>
        </w:rPr>
        <w:t>’exception fait</w:t>
      </w:r>
      <w:r w:rsidRPr="00D54083">
        <w:rPr>
          <w:rFonts w:ascii="Verdana" w:hAnsi="Verdana"/>
          <w:color w:val="00B0F0"/>
          <w:sz w:val="22"/>
          <w:szCs w:val="20"/>
          <w:lang w:val="fr-BE"/>
        </w:rPr>
        <w:t xml:space="preserve"> le larron </w:t>
      </w:r>
    </w:p>
    <w:p w:rsidR="00134E4C" w:rsidRPr="00AA232A" w:rsidRDefault="00134E4C" w:rsidP="00AA232A">
      <w:pPr>
        <w:pStyle w:val="NormalWeb"/>
        <w:spacing w:after="200"/>
        <w:jc w:val="both"/>
        <w:rPr>
          <w:rFonts w:ascii="Calibri" w:hAnsi="Calibri"/>
          <w:color w:val="000000"/>
          <w:sz w:val="20"/>
          <w:szCs w:val="20"/>
          <w:lang w:val="fr-BE"/>
        </w:rPr>
      </w:pPr>
      <w:r w:rsidRPr="00AA232A">
        <w:rPr>
          <w:rFonts w:ascii="Verdana" w:hAnsi="Verdana"/>
          <w:color w:val="000000"/>
          <w:sz w:val="20"/>
          <w:szCs w:val="20"/>
          <w:lang w:val="fr-BE"/>
        </w:rPr>
        <w:t>Deux facteurs expliquent essentiellement cette correction dans un contexte où la croissance économique entraine une demande relativement stable.</w:t>
      </w:r>
    </w:p>
    <w:p w:rsidR="00134E4C" w:rsidRDefault="00134E4C" w:rsidP="00AA232A">
      <w:pPr>
        <w:pStyle w:val="NormalWeb"/>
        <w:spacing w:after="200"/>
        <w:jc w:val="both"/>
        <w:rPr>
          <w:rFonts w:ascii="Verdana" w:hAnsi="Verdana"/>
          <w:color w:val="000000"/>
          <w:sz w:val="20"/>
          <w:szCs w:val="20"/>
          <w:lang w:val="fr-BE"/>
        </w:rPr>
      </w:pPr>
      <w:r w:rsidRPr="00AA232A">
        <w:rPr>
          <w:rFonts w:ascii="Verdana" w:hAnsi="Verdana"/>
          <w:color w:val="000000"/>
          <w:sz w:val="20"/>
          <w:szCs w:val="20"/>
          <w:lang w:val="fr-BE"/>
        </w:rPr>
        <w:t>Le premier facteur tient à l’exception qui concerne le Nigéria et la Libye en raison de leur situation intérieure et du chaos qui règne dans ces deux</w:t>
      </w:r>
      <w:r w:rsidR="00BC25EA">
        <w:rPr>
          <w:rFonts w:ascii="Verdana" w:hAnsi="Verdana"/>
          <w:color w:val="000000"/>
          <w:sz w:val="20"/>
          <w:szCs w:val="20"/>
          <w:lang w:val="fr-BE"/>
        </w:rPr>
        <w:t xml:space="preserve"> pays. Alors qu’ils sont membre</w:t>
      </w:r>
      <w:r w:rsidRPr="00AA232A">
        <w:rPr>
          <w:rFonts w:ascii="Verdana" w:hAnsi="Verdana"/>
          <w:color w:val="000000"/>
          <w:sz w:val="20"/>
          <w:szCs w:val="20"/>
          <w:lang w:val="fr-BE"/>
        </w:rPr>
        <w:t xml:space="preserve"> de l’OPEP, l’accord de novembre demande une réduction de la production à tous ses membres, mais autorise ces deux pays à ne pas geler leur production.</w:t>
      </w:r>
      <w:r w:rsidR="00D54083">
        <w:rPr>
          <w:rFonts w:ascii="Calibri" w:hAnsi="Calibri"/>
          <w:color w:val="000000"/>
          <w:sz w:val="20"/>
          <w:szCs w:val="20"/>
          <w:lang w:val="fr-BE"/>
        </w:rPr>
        <w:t xml:space="preserve"> </w:t>
      </w:r>
      <w:r w:rsidRPr="00AA232A">
        <w:rPr>
          <w:rFonts w:ascii="Verdana" w:hAnsi="Verdana"/>
          <w:color w:val="000000"/>
          <w:sz w:val="20"/>
          <w:szCs w:val="20"/>
          <w:lang w:val="fr-BE"/>
        </w:rPr>
        <w:t xml:space="preserve">Conséquence, depuis lors ces deux pays ont augmenté leur production avec un niveau de 800.000 barils par jour pour la Libye, soit son niveau le plus élevé depuis octobre 2014, et de 1.75 million pour le Nigéria, le plus élevé depuis 15 mois. </w:t>
      </w:r>
    </w:p>
    <w:p w:rsidR="005B4C9C" w:rsidRPr="005B4C9C" w:rsidRDefault="005B4C9C" w:rsidP="00AA232A">
      <w:pPr>
        <w:pStyle w:val="NormalWeb"/>
        <w:spacing w:after="200"/>
        <w:jc w:val="both"/>
        <w:rPr>
          <w:rFonts w:ascii="Calibri" w:hAnsi="Calibri"/>
          <w:color w:val="00B0F0"/>
          <w:sz w:val="22"/>
          <w:szCs w:val="20"/>
          <w:lang w:val="fr-BE"/>
        </w:rPr>
      </w:pPr>
      <w:r w:rsidRPr="005B4C9C">
        <w:rPr>
          <w:rFonts w:ascii="Verdana" w:hAnsi="Verdana"/>
          <w:color w:val="00B0F0"/>
          <w:sz w:val="22"/>
          <w:szCs w:val="20"/>
          <w:lang w:val="fr-BE"/>
        </w:rPr>
        <w:t>L’extrême agilité du producteur américain</w:t>
      </w:r>
    </w:p>
    <w:p w:rsidR="00134E4C" w:rsidRPr="00AA232A" w:rsidRDefault="00134E4C" w:rsidP="00AA232A">
      <w:pPr>
        <w:pStyle w:val="NormalWeb"/>
        <w:spacing w:after="200"/>
        <w:jc w:val="both"/>
        <w:rPr>
          <w:rFonts w:ascii="Calibri" w:hAnsi="Calibri"/>
          <w:color w:val="000000"/>
          <w:sz w:val="20"/>
          <w:szCs w:val="20"/>
          <w:lang w:val="fr-BE"/>
        </w:rPr>
      </w:pPr>
      <w:r w:rsidRPr="00AA232A">
        <w:rPr>
          <w:rFonts w:ascii="Verdana" w:hAnsi="Verdana"/>
          <w:color w:val="000000"/>
          <w:sz w:val="20"/>
          <w:szCs w:val="20"/>
          <w:lang w:val="fr-BE"/>
        </w:rPr>
        <w:t>Le deuxième facteur est évidemment la hausse de la production de pétrole de schiste américain.</w:t>
      </w:r>
      <w:r w:rsidR="00D54083">
        <w:rPr>
          <w:rFonts w:ascii="Calibri" w:hAnsi="Calibri"/>
          <w:color w:val="000000"/>
          <w:sz w:val="20"/>
          <w:szCs w:val="20"/>
          <w:lang w:val="fr-BE"/>
        </w:rPr>
        <w:t xml:space="preserve"> </w:t>
      </w:r>
      <w:r w:rsidRPr="00AA232A">
        <w:rPr>
          <w:rFonts w:ascii="Verdana" w:hAnsi="Verdana"/>
          <w:color w:val="000000"/>
          <w:sz w:val="20"/>
          <w:szCs w:val="20"/>
          <w:lang w:val="fr-BE"/>
        </w:rPr>
        <w:t>Depuis le mois de mai 2016, 431 nouvelles plates-formes de forage ont été installées, ce qui représente une augmentation attendue de la production de 780.000 barils par jour en 2017 et 1 million en 2018.</w:t>
      </w:r>
      <w:r w:rsidR="00D54083">
        <w:rPr>
          <w:rFonts w:ascii="Calibri" w:hAnsi="Calibri"/>
          <w:color w:val="000000"/>
          <w:sz w:val="20"/>
          <w:szCs w:val="20"/>
          <w:lang w:val="fr-BE"/>
        </w:rPr>
        <w:t xml:space="preserve"> </w:t>
      </w:r>
      <w:r w:rsidRPr="00AA232A">
        <w:rPr>
          <w:rFonts w:ascii="Verdana" w:hAnsi="Verdana"/>
          <w:color w:val="000000"/>
          <w:sz w:val="20"/>
          <w:szCs w:val="20"/>
          <w:lang w:val="fr-BE"/>
        </w:rPr>
        <w:t>Ce mouvement de nouvelles plates-formes s’est accéléré après l’accord de l’OPEP du mois de novembre et sous l’effet de la hausse du prix du baril.</w:t>
      </w:r>
      <w:r w:rsidR="00D54083">
        <w:rPr>
          <w:rFonts w:ascii="Calibri" w:hAnsi="Calibri"/>
          <w:color w:val="000000"/>
          <w:sz w:val="20"/>
          <w:szCs w:val="20"/>
          <w:lang w:val="fr-BE"/>
        </w:rPr>
        <w:t xml:space="preserve"> </w:t>
      </w:r>
      <w:r w:rsidRPr="00AA232A">
        <w:rPr>
          <w:rFonts w:ascii="Verdana" w:hAnsi="Verdana"/>
          <w:color w:val="000000"/>
          <w:sz w:val="20"/>
          <w:szCs w:val="20"/>
          <w:lang w:val="fr-BE"/>
        </w:rPr>
        <w:t>Comme on sait qu’il faut en moyenne 6 mois entre le début du forage et la livraison, cet afflux de nouvelles plates-formes va encore peser les prochains mois sur l’offre mondiale et venir annihiler la réduction de l’OPEP.</w:t>
      </w:r>
    </w:p>
    <w:p w:rsidR="00134E4C" w:rsidRPr="00AA232A" w:rsidRDefault="00134E4C" w:rsidP="00AA232A">
      <w:pPr>
        <w:pStyle w:val="NormalWeb"/>
        <w:spacing w:after="200"/>
        <w:jc w:val="both"/>
        <w:rPr>
          <w:rFonts w:ascii="Verdana" w:hAnsi="Verdana"/>
          <w:color w:val="000000"/>
          <w:sz w:val="20"/>
          <w:szCs w:val="20"/>
          <w:lang w:val="fr-BE"/>
        </w:rPr>
      </w:pPr>
      <w:r w:rsidRPr="00AA232A">
        <w:rPr>
          <w:rFonts w:ascii="Verdana" w:hAnsi="Verdana"/>
          <w:color w:val="000000"/>
          <w:sz w:val="20"/>
          <w:szCs w:val="20"/>
          <w:lang w:val="fr-BE"/>
        </w:rPr>
        <w:t>Une réduction complémentaire de la part de l’OPEP qui entrainerait une hausse des prix ne ferait qu’accélérer le processus, surtout que les coûts de production se sont fortement rédui</w:t>
      </w:r>
      <w:r w:rsidR="00D54083">
        <w:rPr>
          <w:rFonts w:ascii="Verdana" w:hAnsi="Verdana"/>
          <w:color w:val="000000"/>
          <w:sz w:val="20"/>
          <w:szCs w:val="20"/>
          <w:lang w:val="fr-BE"/>
        </w:rPr>
        <w:t>ts. En fonction des régions, ces derniers</w:t>
      </w:r>
      <w:r w:rsidRPr="00AA232A">
        <w:rPr>
          <w:rFonts w:ascii="Verdana" w:hAnsi="Verdana"/>
          <w:color w:val="000000"/>
          <w:sz w:val="20"/>
          <w:szCs w:val="20"/>
          <w:lang w:val="fr-BE"/>
        </w:rPr>
        <w:t xml:space="preserve"> oscillent entre 45 et 50 dollars. </w:t>
      </w:r>
    </w:p>
    <w:p w:rsidR="00134E4C" w:rsidRPr="00412E40" w:rsidRDefault="009B632E" w:rsidP="00AA232A">
      <w:pPr>
        <w:pStyle w:val="NormalWeb"/>
        <w:spacing w:after="200"/>
        <w:jc w:val="both"/>
        <w:rPr>
          <w:rFonts w:ascii="Calibri" w:hAnsi="Calibri"/>
          <w:color w:val="00B0F0"/>
          <w:sz w:val="22"/>
          <w:szCs w:val="20"/>
          <w:lang w:val="fr-BE"/>
        </w:rPr>
      </w:pPr>
      <w:r>
        <w:rPr>
          <w:rFonts w:ascii="Verdana" w:hAnsi="Verdana"/>
          <w:color w:val="00B0F0"/>
          <w:sz w:val="22"/>
          <w:szCs w:val="20"/>
          <w:lang w:val="fr-BE"/>
        </w:rPr>
        <w:t xml:space="preserve">Le baril </w:t>
      </w:r>
      <w:r w:rsidR="00AD4B4F">
        <w:rPr>
          <w:rFonts w:ascii="Verdana" w:hAnsi="Verdana"/>
          <w:color w:val="00B0F0"/>
          <w:sz w:val="22"/>
          <w:szCs w:val="20"/>
          <w:lang w:val="fr-BE"/>
        </w:rPr>
        <w:t xml:space="preserve">va </w:t>
      </w:r>
      <w:r>
        <w:rPr>
          <w:rFonts w:ascii="Verdana" w:hAnsi="Verdana"/>
          <w:color w:val="00B0F0"/>
          <w:sz w:val="22"/>
          <w:szCs w:val="20"/>
          <w:lang w:val="fr-BE"/>
        </w:rPr>
        <w:t>se mord</w:t>
      </w:r>
      <w:r w:rsidR="00AD4B4F">
        <w:rPr>
          <w:rFonts w:ascii="Verdana" w:hAnsi="Verdana"/>
          <w:color w:val="00B0F0"/>
          <w:sz w:val="22"/>
          <w:szCs w:val="20"/>
          <w:lang w:val="fr-BE"/>
        </w:rPr>
        <w:t>re</w:t>
      </w:r>
      <w:r>
        <w:rPr>
          <w:rFonts w:ascii="Verdana" w:hAnsi="Verdana"/>
          <w:color w:val="00B0F0"/>
          <w:sz w:val="22"/>
          <w:szCs w:val="20"/>
          <w:lang w:val="fr-BE"/>
        </w:rPr>
        <w:t xml:space="preserve"> la queue</w:t>
      </w:r>
    </w:p>
    <w:p w:rsidR="00134E4C" w:rsidRPr="00AA232A" w:rsidRDefault="00134E4C" w:rsidP="00AA232A">
      <w:pPr>
        <w:pStyle w:val="NormalWeb"/>
        <w:spacing w:after="200"/>
        <w:jc w:val="both"/>
        <w:rPr>
          <w:rFonts w:ascii="Calibri" w:hAnsi="Calibri"/>
          <w:color w:val="000000"/>
          <w:sz w:val="20"/>
          <w:szCs w:val="20"/>
          <w:lang w:val="fr-BE"/>
        </w:rPr>
      </w:pPr>
      <w:r w:rsidRPr="00AA232A">
        <w:rPr>
          <w:rFonts w:ascii="Verdana" w:hAnsi="Verdana"/>
          <w:color w:val="000000"/>
          <w:sz w:val="20"/>
          <w:szCs w:val="20"/>
          <w:lang w:val="fr-BE"/>
        </w:rPr>
        <w:t xml:space="preserve">L’OPEP se </w:t>
      </w:r>
      <w:r w:rsidR="009B632E">
        <w:rPr>
          <w:rFonts w:ascii="Verdana" w:hAnsi="Verdana"/>
          <w:color w:val="000000"/>
          <w:sz w:val="20"/>
          <w:szCs w:val="20"/>
          <w:lang w:val="fr-BE"/>
        </w:rPr>
        <w:t xml:space="preserve">situe </w:t>
      </w:r>
      <w:r w:rsidRPr="00AA232A">
        <w:rPr>
          <w:rFonts w:ascii="Verdana" w:hAnsi="Verdana"/>
          <w:color w:val="000000"/>
          <w:sz w:val="20"/>
          <w:szCs w:val="20"/>
          <w:lang w:val="fr-BE"/>
        </w:rPr>
        <w:t xml:space="preserve">à la croisée des chemins et ne </w:t>
      </w:r>
      <w:r w:rsidR="002920D7">
        <w:rPr>
          <w:rFonts w:ascii="Verdana" w:hAnsi="Verdana"/>
          <w:color w:val="000000"/>
          <w:sz w:val="20"/>
          <w:szCs w:val="20"/>
          <w:lang w:val="fr-BE"/>
        </w:rPr>
        <w:t>récupérera probablement plus jamais</w:t>
      </w:r>
      <w:r w:rsidRPr="00AA232A">
        <w:rPr>
          <w:rFonts w:ascii="Verdana" w:hAnsi="Verdana"/>
          <w:color w:val="000000"/>
          <w:sz w:val="20"/>
          <w:szCs w:val="20"/>
          <w:lang w:val="fr-BE"/>
        </w:rPr>
        <w:t xml:space="preserve"> son pouvoir d’influencer durablement l’évolution du prix du baril.</w:t>
      </w:r>
    </w:p>
    <w:p w:rsidR="00134E4C" w:rsidRPr="00AA232A" w:rsidRDefault="00134E4C" w:rsidP="00AA232A">
      <w:pPr>
        <w:pStyle w:val="NormalWeb"/>
        <w:spacing w:after="200"/>
        <w:jc w:val="both"/>
        <w:rPr>
          <w:rFonts w:ascii="Calibri" w:hAnsi="Calibri"/>
          <w:color w:val="000000"/>
          <w:sz w:val="20"/>
          <w:szCs w:val="20"/>
          <w:lang w:val="fr-BE"/>
        </w:rPr>
      </w:pPr>
      <w:r w:rsidRPr="00AA232A">
        <w:rPr>
          <w:rFonts w:ascii="Verdana" w:hAnsi="Verdana"/>
          <w:color w:val="000000"/>
          <w:sz w:val="20"/>
          <w:szCs w:val="20"/>
          <w:lang w:val="fr-BE"/>
        </w:rPr>
        <w:t xml:space="preserve">Après avoir pratiqué la fuite en avant en augmentant sa production pour essayer de casser la production américaine, les membres de l’OPEP ont bien du faire le constat </w:t>
      </w:r>
      <w:r w:rsidR="00AD4B4F">
        <w:rPr>
          <w:rFonts w:ascii="Verdana" w:hAnsi="Verdana"/>
          <w:color w:val="000000"/>
          <w:sz w:val="20"/>
          <w:szCs w:val="20"/>
          <w:lang w:val="fr-BE"/>
        </w:rPr>
        <w:t>de l’inefficacité de cette</w:t>
      </w:r>
      <w:r w:rsidRPr="00AA232A">
        <w:rPr>
          <w:rFonts w:ascii="Verdana" w:hAnsi="Verdana"/>
          <w:color w:val="000000"/>
          <w:sz w:val="20"/>
          <w:szCs w:val="20"/>
          <w:lang w:val="fr-BE"/>
        </w:rPr>
        <w:t xml:space="preserve"> stratégie. Leur</w:t>
      </w:r>
      <w:r w:rsidR="002920D7">
        <w:rPr>
          <w:rFonts w:ascii="Verdana" w:hAnsi="Verdana"/>
          <w:color w:val="000000"/>
          <w:sz w:val="20"/>
          <w:szCs w:val="20"/>
          <w:lang w:val="fr-BE"/>
        </w:rPr>
        <w:t>s</w:t>
      </w:r>
      <w:r w:rsidRPr="00AA232A">
        <w:rPr>
          <w:rFonts w:ascii="Verdana" w:hAnsi="Verdana"/>
          <w:color w:val="000000"/>
          <w:sz w:val="20"/>
          <w:szCs w:val="20"/>
          <w:lang w:val="fr-BE"/>
        </w:rPr>
        <w:t xml:space="preserve"> revenu</w:t>
      </w:r>
      <w:r w:rsidR="002920D7">
        <w:rPr>
          <w:rFonts w:ascii="Verdana" w:hAnsi="Verdana"/>
          <w:color w:val="000000"/>
          <w:sz w:val="20"/>
          <w:szCs w:val="20"/>
          <w:lang w:val="fr-BE"/>
        </w:rPr>
        <w:t>s ont</w:t>
      </w:r>
      <w:r w:rsidRPr="00AA232A">
        <w:rPr>
          <w:rFonts w:ascii="Verdana" w:hAnsi="Verdana"/>
          <w:color w:val="000000"/>
          <w:sz w:val="20"/>
          <w:szCs w:val="20"/>
          <w:lang w:val="fr-BE"/>
        </w:rPr>
        <w:t xml:space="preserve"> lourdement chuté </w:t>
      </w:r>
      <w:r w:rsidR="00BC25EA">
        <w:rPr>
          <w:rFonts w:ascii="Verdana" w:hAnsi="Verdana"/>
          <w:color w:val="000000"/>
          <w:sz w:val="20"/>
          <w:szCs w:val="20"/>
          <w:lang w:val="fr-BE"/>
        </w:rPr>
        <w:t>entraînant dans leur sillage</w:t>
      </w:r>
      <w:r w:rsidR="00AD4B4F">
        <w:rPr>
          <w:rFonts w:ascii="Verdana" w:hAnsi="Verdana"/>
          <w:color w:val="000000"/>
          <w:sz w:val="20"/>
          <w:szCs w:val="20"/>
          <w:lang w:val="fr-BE"/>
        </w:rPr>
        <w:t>,</w:t>
      </w:r>
      <w:r w:rsidRPr="00AA232A">
        <w:rPr>
          <w:rFonts w:ascii="Verdana" w:hAnsi="Verdana"/>
          <w:color w:val="000000"/>
          <w:sz w:val="20"/>
          <w:szCs w:val="20"/>
          <w:lang w:val="fr-BE"/>
        </w:rPr>
        <w:t xml:space="preserve"> pour un certain nombre </w:t>
      </w:r>
      <w:r w:rsidR="00AD4B4F">
        <w:rPr>
          <w:rFonts w:ascii="Verdana" w:hAnsi="Verdana"/>
          <w:color w:val="000000"/>
          <w:sz w:val="20"/>
          <w:szCs w:val="20"/>
          <w:lang w:val="fr-BE"/>
        </w:rPr>
        <w:t>de ces pays,</w:t>
      </w:r>
      <w:r w:rsidRPr="00AA232A">
        <w:rPr>
          <w:rFonts w:ascii="Verdana" w:hAnsi="Verdana"/>
          <w:color w:val="000000"/>
          <w:sz w:val="20"/>
          <w:szCs w:val="20"/>
          <w:lang w:val="fr-BE"/>
        </w:rPr>
        <w:t xml:space="preserve"> un ralenti</w:t>
      </w:r>
      <w:r w:rsidR="00AD4B4F">
        <w:rPr>
          <w:rFonts w:ascii="Verdana" w:hAnsi="Verdana"/>
          <w:color w:val="000000"/>
          <w:sz w:val="20"/>
          <w:szCs w:val="20"/>
          <w:lang w:val="fr-BE"/>
        </w:rPr>
        <w:t>sse</w:t>
      </w:r>
      <w:r w:rsidR="00082846">
        <w:rPr>
          <w:rFonts w:ascii="Verdana" w:hAnsi="Verdana"/>
          <w:color w:val="000000"/>
          <w:sz w:val="20"/>
          <w:szCs w:val="20"/>
          <w:lang w:val="fr-BE"/>
        </w:rPr>
        <w:t>ment sévère de leur économie. Leur</w:t>
      </w:r>
      <w:r w:rsidRPr="00AA232A">
        <w:rPr>
          <w:rFonts w:ascii="Verdana" w:hAnsi="Verdana"/>
          <w:color w:val="000000"/>
          <w:sz w:val="20"/>
          <w:szCs w:val="20"/>
          <w:lang w:val="fr-BE"/>
        </w:rPr>
        <w:t xml:space="preserve"> nouvelle stratégie de gel de la production a aussi montré ses limites, car les producteurs américains ont démontré leur rapidité de réaction et la flexibilité de leur mode d’extraction.</w:t>
      </w:r>
    </w:p>
    <w:p w:rsidR="00BD0635" w:rsidRPr="009004A7" w:rsidRDefault="00082846" w:rsidP="00BD0635">
      <w:pPr>
        <w:pStyle w:val="NormalWeb"/>
        <w:spacing w:after="200"/>
        <w:jc w:val="both"/>
        <w:rPr>
          <w:rFonts w:ascii="Verdana" w:hAnsi="Verdana"/>
          <w:color w:val="000000"/>
          <w:sz w:val="20"/>
          <w:szCs w:val="20"/>
          <w:lang w:val="fr-BE"/>
        </w:rPr>
      </w:pPr>
      <w:r>
        <w:rPr>
          <w:rFonts w:ascii="Verdana" w:hAnsi="Verdana"/>
          <w:color w:val="000000"/>
          <w:sz w:val="20"/>
          <w:szCs w:val="20"/>
          <w:lang w:val="fr-BE"/>
        </w:rPr>
        <w:t xml:space="preserve">Coup de grâce, </w:t>
      </w:r>
      <w:r w:rsidR="009004A7">
        <w:rPr>
          <w:rFonts w:ascii="Verdana" w:hAnsi="Verdana"/>
          <w:color w:val="000000"/>
          <w:sz w:val="20"/>
          <w:szCs w:val="20"/>
          <w:lang w:val="fr-BE"/>
        </w:rPr>
        <w:t>l</w:t>
      </w:r>
      <w:r w:rsidR="00BD0635" w:rsidRPr="00AA232A">
        <w:rPr>
          <w:rFonts w:ascii="Verdana" w:hAnsi="Verdana"/>
          <w:color w:val="000000"/>
          <w:sz w:val="20"/>
          <w:szCs w:val="20"/>
          <w:lang w:val="fr-BE"/>
        </w:rPr>
        <w:t xml:space="preserve">e poids de l’OPEP risque fort d’encore se réduire dans les prochaines années, car le prochain grand défi </w:t>
      </w:r>
      <w:r w:rsidR="00BC25EA">
        <w:rPr>
          <w:rFonts w:ascii="Verdana" w:hAnsi="Verdana"/>
          <w:color w:val="000000"/>
          <w:sz w:val="20"/>
          <w:szCs w:val="20"/>
          <w:lang w:val="fr-BE"/>
        </w:rPr>
        <w:t>à l’agenda</w:t>
      </w:r>
      <w:r w:rsidR="00BD0635" w:rsidRPr="00AA232A">
        <w:rPr>
          <w:rFonts w:ascii="Verdana" w:hAnsi="Verdana"/>
          <w:color w:val="000000"/>
          <w:sz w:val="20"/>
          <w:szCs w:val="20"/>
          <w:lang w:val="fr-BE"/>
        </w:rPr>
        <w:t xml:space="preserve"> sera l’arrivée des énergies renouvelables qui </w:t>
      </w:r>
      <w:r w:rsidR="00235AF7">
        <w:rPr>
          <w:rFonts w:ascii="Verdana" w:hAnsi="Verdana"/>
          <w:color w:val="000000"/>
          <w:sz w:val="20"/>
          <w:szCs w:val="20"/>
          <w:lang w:val="fr-BE"/>
        </w:rPr>
        <w:t>viendront</w:t>
      </w:r>
      <w:r w:rsidR="00BD0635" w:rsidRPr="00AA232A">
        <w:rPr>
          <w:rFonts w:ascii="Verdana" w:hAnsi="Verdana"/>
          <w:color w:val="000000"/>
          <w:sz w:val="20"/>
          <w:szCs w:val="20"/>
          <w:lang w:val="fr-BE"/>
        </w:rPr>
        <w:t xml:space="preserve"> supplanter les énergies fossiles.</w:t>
      </w:r>
      <w:r w:rsidR="009004A7">
        <w:rPr>
          <w:rFonts w:ascii="Verdana" w:hAnsi="Verdana"/>
          <w:color w:val="000000"/>
          <w:sz w:val="20"/>
          <w:szCs w:val="20"/>
          <w:lang w:val="fr-BE"/>
        </w:rPr>
        <w:t xml:space="preserve"> </w:t>
      </w:r>
      <w:r w:rsidR="00BD0635" w:rsidRPr="00AA232A">
        <w:rPr>
          <w:rFonts w:ascii="Verdana" w:hAnsi="Verdana"/>
          <w:color w:val="000000"/>
          <w:sz w:val="20"/>
          <w:szCs w:val="20"/>
          <w:lang w:val="fr-BE"/>
        </w:rPr>
        <w:t xml:space="preserve">L’OPEP ne sera alors plus qu’un </w:t>
      </w:r>
      <w:r w:rsidR="009004A7">
        <w:rPr>
          <w:rFonts w:ascii="Verdana" w:hAnsi="Verdana"/>
          <w:color w:val="000000"/>
          <w:sz w:val="20"/>
          <w:szCs w:val="20"/>
          <w:lang w:val="fr-BE"/>
        </w:rPr>
        <w:t xml:space="preserve">lointain </w:t>
      </w:r>
      <w:r w:rsidR="00BD0635" w:rsidRPr="00AA232A">
        <w:rPr>
          <w:rFonts w:ascii="Verdana" w:hAnsi="Verdana"/>
          <w:color w:val="000000"/>
          <w:sz w:val="20"/>
          <w:szCs w:val="20"/>
          <w:lang w:val="fr-BE"/>
        </w:rPr>
        <w:t xml:space="preserve">souvenir après une fuite en avant en ouvrant les vannes à fond pour </w:t>
      </w:r>
      <w:r w:rsidR="009004A7">
        <w:rPr>
          <w:rFonts w:ascii="Verdana" w:hAnsi="Verdana"/>
          <w:color w:val="000000"/>
          <w:sz w:val="20"/>
          <w:szCs w:val="20"/>
          <w:lang w:val="fr-BE"/>
        </w:rPr>
        <w:t xml:space="preserve">éviter de </w:t>
      </w:r>
      <w:r w:rsidR="00BD0635" w:rsidRPr="00AA232A">
        <w:rPr>
          <w:rFonts w:ascii="Verdana" w:hAnsi="Verdana"/>
          <w:color w:val="000000"/>
          <w:sz w:val="20"/>
          <w:szCs w:val="20"/>
          <w:lang w:val="fr-BE"/>
        </w:rPr>
        <w:t xml:space="preserve">rester assis à tout jamais sur des réserves de pétrole dont plus personne ne voudra. </w:t>
      </w:r>
    </w:p>
    <w:p w:rsidR="00134E4C" w:rsidRPr="00AA232A" w:rsidRDefault="00BD0635" w:rsidP="00AA232A">
      <w:pPr>
        <w:pStyle w:val="NormalWeb"/>
        <w:spacing w:after="200"/>
        <w:jc w:val="both"/>
        <w:rPr>
          <w:rFonts w:ascii="Calibri" w:hAnsi="Calibri"/>
          <w:color w:val="000000"/>
          <w:sz w:val="20"/>
          <w:szCs w:val="20"/>
          <w:lang w:val="fr-BE"/>
        </w:rPr>
      </w:pPr>
      <w:r>
        <w:rPr>
          <w:rFonts w:ascii="Verdana" w:hAnsi="Verdana"/>
          <w:color w:val="000000"/>
          <w:sz w:val="20"/>
          <w:szCs w:val="20"/>
          <w:lang w:val="fr-BE"/>
        </w:rPr>
        <w:t>Quant au principal intéressé, le</w:t>
      </w:r>
      <w:r w:rsidR="009B632E">
        <w:rPr>
          <w:rFonts w:ascii="Verdana" w:hAnsi="Verdana"/>
          <w:color w:val="000000"/>
          <w:sz w:val="20"/>
          <w:szCs w:val="20"/>
          <w:lang w:val="fr-BE"/>
        </w:rPr>
        <w:t xml:space="preserve"> baril</w:t>
      </w:r>
      <w:r>
        <w:rPr>
          <w:rFonts w:ascii="Verdana" w:hAnsi="Verdana"/>
          <w:color w:val="000000"/>
          <w:sz w:val="20"/>
          <w:szCs w:val="20"/>
          <w:lang w:val="fr-BE"/>
        </w:rPr>
        <w:t>, ce dernier sera</w:t>
      </w:r>
      <w:r w:rsidR="009B632E">
        <w:rPr>
          <w:rFonts w:ascii="Verdana" w:hAnsi="Verdana"/>
          <w:color w:val="000000"/>
          <w:sz w:val="20"/>
          <w:szCs w:val="20"/>
          <w:lang w:val="fr-BE"/>
        </w:rPr>
        <w:t xml:space="preserve"> donc </w:t>
      </w:r>
      <w:r w:rsidR="009B632E">
        <w:rPr>
          <w:rFonts w:ascii="Verdana" w:hAnsi="Verdana"/>
          <w:color w:val="000000"/>
          <w:sz w:val="20"/>
          <w:szCs w:val="20"/>
          <w:lang w:val="fr-BE"/>
        </w:rPr>
        <w:t>de plus en plus</w:t>
      </w:r>
      <w:r w:rsidR="009B632E">
        <w:rPr>
          <w:rFonts w:ascii="Verdana" w:hAnsi="Verdana"/>
          <w:color w:val="000000"/>
          <w:sz w:val="20"/>
          <w:szCs w:val="20"/>
          <w:lang w:val="fr-BE"/>
        </w:rPr>
        <w:t xml:space="preserve"> livré à lui-même</w:t>
      </w:r>
      <w:r>
        <w:rPr>
          <w:rFonts w:ascii="Verdana" w:hAnsi="Verdana"/>
          <w:color w:val="000000"/>
          <w:sz w:val="20"/>
          <w:szCs w:val="20"/>
          <w:lang w:val="fr-BE"/>
        </w:rPr>
        <w:t xml:space="preserve"> et à une volatilité extrême. Dans un </w:t>
      </w:r>
      <w:r w:rsidR="009B632E">
        <w:rPr>
          <w:rFonts w:ascii="Verdana" w:hAnsi="Verdana"/>
          <w:color w:val="000000"/>
          <w:sz w:val="20"/>
          <w:szCs w:val="20"/>
          <w:lang w:val="fr-BE"/>
        </w:rPr>
        <w:t>avenir proche</w:t>
      </w:r>
      <w:r>
        <w:rPr>
          <w:rFonts w:ascii="Verdana" w:hAnsi="Verdana"/>
          <w:color w:val="000000"/>
          <w:sz w:val="20"/>
          <w:szCs w:val="20"/>
          <w:lang w:val="fr-BE"/>
        </w:rPr>
        <w:t>,</w:t>
      </w:r>
      <w:r w:rsidR="009B632E">
        <w:rPr>
          <w:rFonts w:ascii="Verdana" w:hAnsi="Verdana"/>
          <w:color w:val="000000"/>
          <w:sz w:val="20"/>
          <w:szCs w:val="20"/>
          <w:lang w:val="fr-BE"/>
        </w:rPr>
        <w:t xml:space="preserve"> </w:t>
      </w:r>
      <w:r w:rsidR="009E476B">
        <w:rPr>
          <w:rFonts w:ascii="Verdana" w:hAnsi="Verdana"/>
          <w:color w:val="000000"/>
          <w:sz w:val="20"/>
          <w:szCs w:val="20"/>
          <w:lang w:val="fr-BE"/>
        </w:rPr>
        <w:t>son prix</w:t>
      </w:r>
      <w:r>
        <w:rPr>
          <w:rFonts w:ascii="Verdana" w:hAnsi="Verdana"/>
          <w:color w:val="000000"/>
          <w:sz w:val="20"/>
          <w:szCs w:val="20"/>
          <w:lang w:val="fr-BE"/>
        </w:rPr>
        <w:t xml:space="preserve"> est vu</w:t>
      </w:r>
      <w:r w:rsidR="002920D7">
        <w:rPr>
          <w:rFonts w:ascii="Verdana" w:hAnsi="Verdana"/>
          <w:color w:val="000000"/>
          <w:sz w:val="20"/>
          <w:szCs w:val="20"/>
          <w:lang w:val="fr-BE"/>
        </w:rPr>
        <w:t xml:space="preserve"> i</w:t>
      </w:r>
      <w:r w:rsidR="009B632E">
        <w:rPr>
          <w:rFonts w:ascii="Verdana" w:hAnsi="Verdana"/>
          <w:color w:val="000000"/>
          <w:sz w:val="20"/>
          <w:szCs w:val="20"/>
          <w:lang w:val="fr-BE"/>
        </w:rPr>
        <w:t>néluctablement à</w:t>
      </w:r>
      <w:r w:rsidR="009E476B">
        <w:rPr>
          <w:rFonts w:ascii="Verdana" w:hAnsi="Verdana"/>
          <w:color w:val="000000"/>
          <w:sz w:val="20"/>
          <w:szCs w:val="20"/>
          <w:lang w:val="fr-BE"/>
        </w:rPr>
        <w:t xml:space="preserve"> la baisse</w:t>
      </w:r>
      <w:r w:rsidR="00134E4C" w:rsidRPr="00AA232A">
        <w:rPr>
          <w:rFonts w:ascii="Verdana" w:hAnsi="Verdana"/>
          <w:color w:val="000000"/>
          <w:sz w:val="20"/>
          <w:szCs w:val="20"/>
          <w:lang w:val="fr-BE"/>
        </w:rPr>
        <w:t xml:space="preserve">, </w:t>
      </w:r>
      <w:r w:rsidR="009B632E">
        <w:rPr>
          <w:rFonts w:ascii="Verdana" w:hAnsi="Verdana"/>
          <w:color w:val="000000"/>
          <w:sz w:val="20"/>
          <w:szCs w:val="20"/>
          <w:lang w:val="fr-BE"/>
        </w:rPr>
        <w:t>une diminution accentuée par les spéculateurs</w:t>
      </w:r>
      <w:r w:rsidR="00134E4C" w:rsidRPr="00AA232A">
        <w:rPr>
          <w:rFonts w:ascii="Verdana" w:hAnsi="Verdana"/>
          <w:color w:val="000000"/>
          <w:sz w:val="20"/>
          <w:szCs w:val="20"/>
          <w:lang w:val="fr-BE"/>
        </w:rPr>
        <w:t xml:space="preserve"> </w:t>
      </w:r>
      <w:r>
        <w:rPr>
          <w:rFonts w:ascii="Verdana" w:hAnsi="Verdana"/>
          <w:color w:val="000000"/>
          <w:sz w:val="20"/>
          <w:szCs w:val="20"/>
          <w:lang w:val="fr-BE"/>
        </w:rPr>
        <w:t xml:space="preserve">qui </w:t>
      </w:r>
      <w:r w:rsidR="00134E4C" w:rsidRPr="00AA232A">
        <w:rPr>
          <w:rFonts w:ascii="Verdana" w:hAnsi="Verdana"/>
          <w:color w:val="000000"/>
          <w:sz w:val="20"/>
          <w:szCs w:val="20"/>
          <w:lang w:val="fr-BE"/>
        </w:rPr>
        <w:t>entraine</w:t>
      </w:r>
      <w:r w:rsidR="002920D7">
        <w:rPr>
          <w:rFonts w:ascii="Verdana" w:hAnsi="Verdana"/>
          <w:color w:val="000000"/>
          <w:sz w:val="20"/>
          <w:szCs w:val="20"/>
          <w:lang w:val="fr-BE"/>
        </w:rPr>
        <w:t>r</w:t>
      </w:r>
      <w:r w:rsidR="009B632E">
        <w:rPr>
          <w:rFonts w:ascii="Verdana" w:hAnsi="Verdana"/>
          <w:color w:val="000000"/>
          <w:sz w:val="20"/>
          <w:szCs w:val="20"/>
          <w:lang w:val="fr-BE"/>
        </w:rPr>
        <w:t>a</w:t>
      </w:r>
      <w:r w:rsidR="00134E4C" w:rsidRPr="00AA232A">
        <w:rPr>
          <w:rFonts w:ascii="Verdana" w:hAnsi="Verdana"/>
          <w:color w:val="000000"/>
          <w:sz w:val="20"/>
          <w:szCs w:val="20"/>
          <w:lang w:val="fr-BE"/>
        </w:rPr>
        <w:t xml:space="preserve"> un arrêt de  l’implantation de nouvelles plates-formes et donc une diminution de la production de pétrole de schiste</w:t>
      </w:r>
      <w:r>
        <w:rPr>
          <w:rFonts w:ascii="Verdana" w:hAnsi="Verdana"/>
          <w:color w:val="000000"/>
          <w:sz w:val="20"/>
          <w:szCs w:val="20"/>
          <w:lang w:val="fr-BE"/>
        </w:rPr>
        <w:t xml:space="preserve">. Et </w:t>
      </w:r>
      <w:r w:rsidR="009B632E">
        <w:rPr>
          <w:rFonts w:ascii="Verdana" w:hAnsi="Verdana"/>
          <w:color w:val="000000"/>
          <w:sz w:val="20"/>
          <w:szCs w:val="20"/>
          <w:lang w:val="fr-BE"/>
        </w:rPr>
        <w:t>à son tour</w:t>
      </w:r>
      <w:r>
        <w:rPr>
          <w:rFonts w:ascii="Verdana" w:hAnsi="Verdana"/>
          <w:color w:val="000000"/>
          <w:sz w:val="20"/>
          <w:szCs w:val="20"/>
          <w:lang w:val="fr-BE"/>
        </w:rPr>
        <w:t>, ce</w:t>
      </w:r>
      <w:r w:rsidR="005B4C9C">
        <w:rPr>
          <w:rFonts w:ascii="Verdana" w:hAnsi="Verdana"/>
          <w:color w:val="000000"/>
          <w:sz w:val="20"/>
          <w:szCs w:val="20"/>
          <w:lang w:val="fr-BE"/>
        </w:rPr>
        <w:t>tte</w:t>
      </w:r>
      <w:r>
        <w:rPr>
          <w:rFonts w:ascii="Verdana" w:hAnsi="Verdana"/>
          <w:color w:val="000000"/>
          <w:sz w:val="20"/>
          <w:szCs w:val="20"/>
          <w:lang w:val="fr-BE"/>
        </w:rPr>
        <w:t xml:space="preserve"> dernière</w:t>
      </w:r>
      <w:r w:rsidR="00134E4C" w:rsidRPr="00AA232A">
        <w:rPr>
          <w:rFonts w:ascii="Verdana" w:hAnsi="Verdana"/>
          <w:color w:val="000000"/>
          <w:sz w:val="20"/>
          <w:szCs w:val="20"/>
          <w:lang w:val="fr-BE"/>
        </w:rPr>
        <w:t xml:space="preserve"> </w:t>
      </w:r>
      <w:r w:rsidR="002920D7">
        <w:rPr>
          <w:rFonts w:ascii="Verdana" w:hAnsi="Verdana"/>
          <w:color w:val="000000"/>
          <w:sz w:val="20"/>
          <w:szCs w:val="20"/>
          <w:lang w:val="fr-BE"/>
        </w:rPr>
        <w:t>entraîner</w:t>
      </w:r>
      <w:r w:rsidR="009B632E">
        <w:rPr>
          <w:rFonts w:ascii="Verdana" w:hAnsi="Verdana"/>
          <w:color w:val="000000"/>
          <w:sz w:val="20"/>
          <w:szCs w:val="20"/>
          <w:lang w:val="fr-BE"/>
        </w:rPr>
        <w:t>a</w:t>
      </w:r>
      <w:r w:rsidR="00134E4C" w:rsidRPr="00AA232A">
        <w:rPr>
          <w:rFonts w:ascii="Verdana" w:hAnsi="Verdana"/>
          <w:color w:val="000000"/>
          <w:sz w:val="20"/>
          <w:szCs w:val="20"/>
          <w:lang w:val="fr-BE"/>
        </w:rPr>
        <w:t xml:space="preserve"> à</w:t>
      </w:r>
      <w:r w:rsidR="002920D7">
        <w:rPr>
          <w:rFonts w:ascii="Verdana" w:hAnsi="Verdana"/>
          <w:color w:val="000000"/>
          <w:sz w:val="20"/>
          <w:szCs w:val="20"/>
          <w:lang w:val="fr-BE"/>
        </w:rPr>
        <w:t xml:space="preserve"> nouveau</w:t>
      </w:r>
      <w:r w:rsidR="00134E4C" w:rsidRPr="00AA232A">
        <w:rPr>
          <w:rFonts w:ascii="Verdana" w:hAnsi="Verdana"/>
          <w:color w:val="000000"/>
          <w:sz w:val="20"/>
          <w:szCs w:val="20"/>
          <w:lang w:val="fr-BE"/>
        </w:rPr>
        <w:t xml:space="preserve"> une hausse du prix du baril.</w:t>
      </w:r>
      <w:r w:rsidR="002920D7">
        <w:rPr>
          <w:rFonts w:ascii="Calibri" w:hAnsi="Calibri"/>
          <w:color w:val="000000"/>
          <w:sz w:val="20"/>
          <w:szCs w:val="20"/>
          <w:lang w:val="fr-BE"/>
        </w:rPr>
        <w:t xml:space="preserve"> </w:t>
      </w:r>
      <w:r w:rsidR="00134E4C" w:rsidRPr="00AA232A">
        <w:rPr>
          <w:rFonts w:ascii="Verdana" w:hAnsi="Verdana"/>
          <w:color w:val="000000"/>
          <w:sz w:val="20"/>
          <w:szCs w:val="20"/>
          <w:lang w:val="fr-BE"/>
        </w:rPr>
        <w:t xml:space="preserve">Cette hausse provoquera alors une nouvelle vague de construction de nouvelles plates-formes et un nouveau rééquilibrage des prix. Un prix du baril qui se stabiliserait autour des 55 dollars pour les deux prochaines années semble le scénario le plus probable dans ce contexte. </w:t>
      </w:r>
    </w:p>
    <w:p w:rsidR="00134E4C" w:rsidRPr="00134E4C" w:rsidRDefault="00134E4C" w:rsidP="00134E4C">
      <w:pPr>
        <w:pStyle w:val="NormalWeb"/>
        <w:rPr>
          <w:rFonts w:ascii="Calibri" w:hAnsi="Calibri"/>
          <w:color w:val="000000"/>
          <w:lang w:val="fr-BE"/>
        </w:rPr>
      </w:pPr>
    </w:p>
    <w:p w:rsidR="00826F7B" w:rsidRPr="00134E4C" w:rsidRDefault="00753F95">
      <w:pPr>
        <w:rPr>
          <w:lang w:val="fr-BE"/>
        </w:rPr>
      </w:pPr>
    </w:p>
    <w:sectPr w:rsidR="00826F7B" w:rsidRPr="00134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4C"/>
    <w:rsid w:val="00082846"/>
    <w:rsid w:val="00134E4C"/>
    <w:rsid w:val="00235AF7"/>
    <w:rsid w:val="002920D7"/>
    <w:rsid w:val="003910DA"/>
    <w:rsid w:val="00412E40"/>
    <w:rsid w:val="004A2B38"/>
    <w:rsid w:val="00537DB3"/>
    <w:rsid w:val="0059444E"/>
    <w:rsid w:val="005B4C9C"/>
    <w:rsid w:val="00767EB2"/>
    <w:rsid w:val="007F4A8E"/>
    <w:rsid w:val="009004A7"/>
    <w:rsid w:val="009757A8"/>
    <w:rsid w:val="009B632E"/>
    <w:rsid w:val="009E476B"/>
    <w:rsid w:val="00AA232A"/>
    <w:rsid w:val="00AD4B4F"/>
    <w:rsid w:val="00BC25EA"/>
    <w:rsid w:val="00BD0635"/>
    <w:rsid w:val="00C60233"/>
    <w:rsid w:val="00D4781A"/>
    <w:rsid w:val="00D54083"/>
    <w:rsid w:val="00FC5F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4E718-C687-4271-A90F-4967349F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12E40"/>
    <w:pPr>
      <w:spacing w:after="0" w:line="240" w:lineRule="auto"/>
      <w:outlineLvl w:val="0"/>
    </w:pPr>
    <w:rPr>
      <w:rFonts w:ascii="Times New Roman" w:eastAsia="Times New Roman" w:hAnsi="Times New Roman" w:cs="Times New Roman"/>
      <w:b/>
      <w:bCs/>
      <w:kern w:val="36"/>
      <w:sz w:val="24"/>
      <w:szCs w:val="24"/>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34E4C"/>
    <w:pPr>
      <w:spacing w:after="0" w:line="240" w:lineRule="auto"/>
    </w:pPr>
    <w:rPr>
      <w:rFonts w:ascii="Times New Roman" w:hAnsi="Times New Roman" w:cs="Times New Roman"/>
      <w:sz w:val="24"/>
      <w:szCs w:val="24"/>
      <w:lang w:eastAsia="nl-BE"/>
    </w:rPr>
  </w:style>
  <w:style w:type="character" w:customStyle="1" w:styleId="Titre1Car">
    <w:name w:val="Titre 1 Car"/>
    <w:basedOn w:val="Policepardfaut"/>
    <w:link w:val="Titre1"/>
    <w:uiPriority w:val="9"/>
    <w:rsid w:val="00412E40"/>
    <w:rPr>
      <w:rFonts w:ascii="Times New Roman" w:eastAsia="Times New Roman" w:hAnsi="Times New Roman" w:cs="Times New Roman"/>
      <w:b/>
      <w:bCs/>
      <w:kern w:val="36"/>
      <w:sz w:val="24"/>
      <w:szCs w:val="24"/>
      <w:lang w:eastAsia="nl-BE"/>
    </w:rPr>
  </w:style>
  <w:style w:type="paragraph" w:styleId="En-tte">
    <w:name w:val="header"/>
    <w:basedOn w:val="Normal"/>
    <w:link w:val="En-tteCar"/>
    <w:uiPriority w:val="99"/>
    <w:unhideWhenUsed/>
    <w:rsid w:val="00412E40"/>
    <w:pPr>
      <w:tabs>
        <w:tab w:val="center" w:pos="4513"/>
        <w:tab w:val="right" w:pos="9026"/>
      </w:tabs>
      <w:spacing w:after="0" w:line="240" w:lineRule="auto"/>
    </w:pPr>
    <w:rPr>
      <w:rFonts w:ascii="Times New Roman" w:eastAsiaTheme="minorEastAsia" w:hAnsi="Times New Roman" w:cs="Times New Roman"/>
      <w:sz w:val="24"/>
      <w:szCs w:val="24"/>
      <w:lang w:val="fr-FR"/>
    </w:rPr>
  </w:style>
  <w:style w:type="character" w:customStyle="1" w:styleId="En-tteCar">
    <w:name w:val="En-tête Car"/>
    <w:basedOn w:val="Policepardfaut"/>
    <w:link w:val="En-tte"/>
    <w:uiPriority w:val="99"/>
    <w:rsid w:val="00412E40"/>
    <w:rPr>
      <w:rFonts w:ascii="Times New Roman" w:eastAsiaTheme="minorEastAsia" w:hAnsi="Times New Roman" w:cs="Times New Roman"/>
      <w:sz w:val="24"/>
      <w:szCs w:val="24"/>
      <w:lang w:val="fr-FR"/>
    </w:rPr>
  </w:style>
  <w:style w:type="paragraph" w:styleId="Titre">
    <w:name w:val="Title"/>
    <w:basedOn w:val="Normal"/>
    <w:next w:val="Normal"/>
    <w:link w:val="TitreCar"/>
    <w:uiPriority w:val="10"/>
    <w:qFormat/>
    <w:rsid w:val="00412E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2E40"/>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BC25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4222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KBC Group</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Keppenne</dc:creator>
  <cp:keywords/>
  <dc:description/>
  <cp:lastModifiedBy>Tyteca Fabien</cp:lastModifiedBy>
  <cp:revision>14</cp:revision>
  <cp:lastPrinted>2017-06-22T14:29:00Z</cp:lastPrinted>
  <dcterms:created xsi:type="dcterms:W3CDTF">2017-06-22T08:22:00Z</dcterms:created>
  <dcterms:modified xsi:type="dcterms:W3CDTF">2017-06-22T14:43:00Z</dcterms:modified>
</cp:coreProperties>
</file>