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ind w:left="0" w:firstLine="0"/>
        <w:jc w:val="center"/>
        <w:rPr>
          <w:b w:val="1"/>
          <w:sz w:val="28"/>
          <w:szCs w:val="28"/>
        </w:rPr>
      </w:pPr>
      <w:r w:rsidDel="00000000" w:rsidR="00000000" w:rsidRPr="00000000">
        <w:rPr>
          <w:b w:val="1"/>
          <w:sz w:val="28"/>
          <w:szCs w:val="28"/>
          <w:rtl w:val="0"/>
        </w:rPr>
        <w:t xml:space="preserve">Cinco familias de criminales luchan por el poder en </w:t>
      </w:r>
      <w:r w:rsidDel="00000000" w:rsidR="00000000" w:rsidRPr="00000000">
        <w:rPr>
          <w:b w:val="1"/>
          <w:i w:val="1"/>
          <w:sz w:val="28"/>
          <w:szCs w:val="28"/>
          <w:rtl w:val="0"/>
        </w:rPr>
        <w:t xml:space="preserve">Calles de Nueva Capenna</w:t>
      </w:r>
      <w:r w:rsidDel="00000000" w:rsidR="00000000" w:rsidRPr="00000000">
        <w:rPr>
          <w:b w:val="1"/>
          <w:sz w:val="28"/>
          <w:szCs w:val="28"/>
          <w:rtl w:val="0"/>
        </w:rPr>
        <w:t xml:space="preserve">, la última colección de Magic: The Gathering </w:t>
      </w:r>
    </w:p>
    <w:p w:rsidR="00000000" w:rsidDel="00000000" w:rsidP="00000000" w:rsidRDefault="00000000" w:rsidRPr="00000000" w14:paraId="00000003">
      <w:pPr>
        <w:ind w:left="0" w:firstLine="0"/>
        <w:jc w:val="left"/>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rPr>
          <w:b w:val="1"/>
        </w:rPr>
      </w:pPr>
      <w:r w:rsidDel="00000000" w:rsidR="00000000" w:rsidRPr="00000000">
        <w:rPr>
          <w:sz w:val="20"/>
          <w:szCs w:val="20"/>
          <w:rtl w:val="0"/>
        </w:rPr>
        <w:t xml:space="preserve">El </w:t>
      </w:r>
      <w:r w:rsidDel="00000000" w:rsidR="00000000" w:rsidRPr="00000000">
        <w:rPr>
          <w:sz w:val="20"/>
          <w:szCs w:val="20"/>
          <w:rtl w:val="0"/>
        </w:rPr>
        <w:t xml:space="preserve">icónico</w:t>
      </w:r>
      <w:r w:rsidDel="00000000" w:rsidR="00000000" w:rsidRPr="00000000">
        <w:rPr>
          <w:sz w:val="20"/>
          <w:szCs w:val="20"/>
          <w:rtl w:val="0"/>
        </w:rPr>
        <w:t xml:space="preserve"> juego de cartas </w:t>
      </w:r>
      <w:r w:rsidDel="00000000" w:rsidR="00000000" w:rsidRPr="00000000">
        <w:rPr>
          <w:sz w:val="20"/>
          <w:szCs w:val="20"/>
          <w:rtl w:val="0"/>
        </w:rPr>
        <w:t xml:space="preserve">col</w:t>
      </w:r>
      <w:r w:rsidDel="00000000" w:rsidR="00000000" w:rsidRPr="00000000">
        <w:rPr>
          <w:sz w:val="20"/>
          <w:szCs w:val="20"/>
          <w:rtl w:val="0"/>
        </w:rPr>
        <w:t xml:space="preserve">eccionables transportará a sus seguidores hasta lo más profundo de una ciudad sin reglas en donde el po</w:t>
      </w:r>
      <w:r w:rsidDel="00000000" w:rsidR="00000000" w:rsidRPr="00000000">
        <w:rPr>
          <w:sz w:val="20"/>
          <w:szCs w:val="20"/>
          <w:rtl w:val="0"/>
        </w:rPr>
        <w:t xml:space="preserve">der es lo más deseado</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5">
      <w:pPr>
        <w:jc w:val="center"/>
        <w:rPr>
          <w:b w:val="1"/>
          <w:sz w:val="20"/>
          <w:szCs w:val="20"/>
        </w:rPr>
      </w:pPr>
      <w:r w:rsidDel="00000000" w:rsidR="00000000" w:rsidRPr="00000000">
        <w:rPr>
          <w:rtl w:val="0"/>
        </w:rPr>
      </w:r>
    </w:p>
    <w:p w:rsidR="00000000" w:rsidDel="00000000" w:rsidP="00000000" w:rsidRDefault="00000000" w:rsidRPr="00000000" w14:paraId="00000006">
      <w:pPr>
        <w:ind w:left="0" w:firstLine="0"/>
        <w:jc w:val="both"/>
        <w:rPr>
          <w:sz w:val="20"/>
          <w:szCs w:val="20"/>
        </w:rPr>
      </w:pPr>
      <w:r w:rsidDel="00000000" w:rsidR="00000000" w:rsidRPr="00000000">
        <w:rPr>
          <w:b w:val="1"/>
          <w:i w:val="1"/>
          <w:sz w:val="20"/>
          <w:szCs w:val="20"/>
          <w:rtl w:val="0"/>
        </w:rPr>
        <w:t xml:space="preserve">Santiago de Chile, 29 de abril de 2022.-</w:t>
      </w:r>
      <w:r w:rsidDel="00000000" w:rsidR="00000000" w:rsidRPr="00000000">
        <w:rPr>
          <w:sz w:val="20"/>
          <w:szCs w:val="20"/>
          <w:rtl w:val="0"/>
        </w:rPr>
        <w:t xml:space="preserve">  Wizards of the Coast, compañía subsidiaria de Hasbro, Inc., desarrolladora y editora galardonada de juegos de mesa y digitales, anuncia el lanzamiento de la nueva expansión de </w:t>
      </w:r>
      <w:r w:rsidDel="00000000" w:rsidR="00000000" w:rsidRPr="00000000">
        <w:rPr>
          <w:b w:val="1"/>
          <w:sz w:val="20"/>
          <w:szCs w:val="20"/>
          <w:rtl w:val="0"/>
        </w:rPr>
        <w:t xml:space="preserve">Magic: The Gathering</w:t>
      </w:r>
      <w:r w:rsidDel="00000000" w:rsidR="00000000" w:rsidRPr="00000000">
        <w:rPr>
          <w:b w:val="1"/>
          <w:sz w:val="20"/>
          <w:szCs w:val="20"/>
          <w:rtl w:val="0"/>
        </w:rPr>
        <w:t xml:space="preserve"> (MTG) con el nombre de </w:t>
      </w:r>
      <w:r w:rsidDel="00000000" w:rsidR="00000000" w:rsidRPr="00000000">
        <w:rPr>
          <w:b w:val="1"/>
          <w:i w:val="1"/>
          <w:sz w:val="20"/>
          <w:szCs w:val="20"/>
          <w:rtl w:val="0"/>
        </w:rPr>
        <w:t xml:space="preserve">Calles de Nueva Capenna</w:t>
      </w:r>
      <w:r w:rsidDel="00000000" w:rsidR="00000000" w:rsidRPr="00000000">
        <w:rPr>
          <w:b w:val="1"/>
          <w:sz w:val="20"/>
          <w:szCs w:val="20"/>
          <w:rtl w:val="0"/>
        </w:rPr>
        <w:t xml:space="preserve">, </w:t>
      </w:r>
      <w:r w:rsidDel="00000000" w:rsidR="00000000" w:rsidRPr="00000000">
        <w:rPr>
          <w:sz w:val="20"/>
          <w:szCs w:val="20"/>
          <w:rtl w:val="0"/>
        </w:rPr>
        <w:t xml:space="preserve">la cual estará disponible a partir del 29 de abril en tiendas y MTG Arena. </w:t>
      </w:r>
    </w:p>
    <w:p w:rsidR="00000000" w:rsidDel="00000000" w:rsidP="00000000" w:rsidRDefault="00000000" w:rsidRPr="00000000" w14:paraId="00000007">
      <w:pPr>
        <w:ind w:left="0" w:firstLine="0"/>
        <w:jc w:val="both"/>
        <w:rPr>
          <w:sz w:val="20"/>
          <w:szCs w:val="20"/>
        </w:rPr>
      </w:pPr>
      <w:r w:rsidDel="00000000" w:rsidR="00000000" w:rsidRPr="00000000">
        <w:rPr>
          <w:rtl w:val="0"/>
        </w:rPr>
      </w:r>
    </w:p>
    <w:p w:rsidR="00000000" w:rsidDel="00000000" w:rsidP="00000000" w:rsidRDefault="00000000" w:rsidRPr="00000000" w14:paraId="00000008">
      <w:pPr>
        <w:ind w:left="0" w:firstLine="0"/>
        <w:jc w:val="both"/>
        <w:rPr>
          <w:sz w:val="20"/>
          <w:szCs w:val="20"/>
        </w:rPr>
      </w:pPr>
      <w:r w:rsidDel="00000000" w:rsidR="00000000" w:rsidRPr="00000000">
        <w:rPr>
          <w:sz w:val="20"/>
          <w:szCs w:val="20"/>
          <w:rtl w:val="0"/>
        </w:rPr>
        <w:t xml:space="preserve">La nueva colección narra el conflicto entre cinco enigmáticas familias de criminales que compiten para dominar Nueva Capenna, una corrupta metrópolis que fue construida por ángeles pero que es gobernada por demonios. La expansión consta de 281 cartas y la estética en las ilustraciones de </w:t>
      </w:r>
      <w:r w:rsidDel="00000000" w:rsidR="00000000" w:rsidRPr="00000000">
        <w:rPr>
          <w:sz w:val="20"/>
          <w:szCs w:val="20"/>
          <w:rtl w:val="0"/>
        </w:rPr>
        <w:t xml:space="preserve">los </w:t>
      </w:r>
      <w:r w:rsidDel="00000000" w:rsidR="00000000" w:rsidRPr="00000000">
        <w:rPr>
          <w:i w:val="1"/>
          <w:sz w:val="20"/>
          <w:szCs w:val="20"/>
          <w:rtl w:val="0"/>
        </w:rPr>
        <w:t xml:space="preserve">planeswalkers</w:t>
      </w:r>
      <w:r w:rsidDel="00000000" w:rsidR="00000000" w:rsidRPr="00000000">
        <w:rPr>
          <w:sz w:val="20"/>
          <w:szCs w:val="20"/>
          <w:rtl w:val="0"/>
        </w:rPr>
        <w:t xml:space="preserve">, </w:t>
      </w:r>
      <w:r w:rsidDel="00000000" w:rsidR="00000000" w:rsidRPr="00000000">
        <w:rPr>
          <w:sz w:val="20"/>
          <w:szCs w:val="20"/>
          <w:rtl w:val="0"/>
        </w:rPr>
        <w:t xml:space="preserve">criaturas, hechizos, artículos y escenografía están fuertemente inspirados en el movimiento </w:t>
      </w:r>
      <w:r w:rsidDel="00000000" w:rsidR="00000000" w:rsidRPr="00000000">
        <w:rPr>
          <w:i w:val="1"/>
          <w:sz w:val="20"/>
          <w:szCs w:val="20"/>
          <w:rtl w:val="0"/>
        </w:rPr>
        <w:t xml:space="preserve">art déco</w:t>
      </w:r>
      <w:r w:rsidDel="00000000" w:rsidR="00000000" w:rsidRPr="00000000">
        <w:rPr>
          <w:sz w:val="20"/>
          <w:szCs w:val="20"/>
          <w:rtl w:val="0"/>
        </w:rPr>
        <w:t xml:space="preserve">. </w:t>
      </w:r>
    </w:p>
    <w:p w:rsidR="00000000" w:rsidDel="00000000" w:rsidP="00000000" w:rsidRDefault="00000000" w:rsidRPr="00000000" w14:paraId="00000009">
      <w:pPr>
        <w:ind w:left="0" w:firstLine="0"/>
        <w:jc w:val="both"/>
        <w:rPr>
          <w:sz w:val="20"/>
          <w:szCs w:val="20"/>
        </w:rPr>
      </w:pPr>
      <w:r w:rsidDel="00000000" w:rsidR="00000000" w:rsidRPr="00000000">
        <w:rPr>
          <w:rtl w:val="0"/>
        </w:rPr>
      </w:r>
    </w:p>
    <w:p w:rsidR="00000000" w:rsidDel="00000000" w:rsidP="00000000" w:rsidRDefault="00000000" w:rsidRPr="00000000" w14:paraId="0000000A">
      <w:pPr>
        <w:ind w:left="0" w:firstLine="0"/>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Gran parte del encanto de la colección está en que aprovechamos lo misterioso que hay detrás de los géneros narrativos criminales. Pasamos mucho tiempo hablando de todas las ramas del género criminal y el objetivo fue dividirlo de tal forma que cada una de las cinco familias tuvieran suficiente trasfondo con el cual trabajar. Además, una de las decisiones que tomamos desde el principio junto con el equipo creativo fue alinear las ideas gráficas con la ambientación que existía en Estados Unidos durante los años 20</w:t>
      </w:r>
      <w:r w:rsidDel="00000000" w:rsidR="00000000" w:rsidRPr="00000000">
        <w:rPr>
          <w:sz w:val="20"/>
          <w:szCs w:val="20"/>
          <w:rtl w:val="0"/>
        </w:rPr>
        <w:t xml:space="preserve">”, comentó </w:t>
      </w:r>
      <w:r w:rsidDel="00000000" w:rsidR="00000000" w:rsidRPr="00000000">
        <w:rPr>
          <w:sz w:val="20"/>
          <w:szCs w:val="20"/>
          <w:rtl w:val="0"/>
        </w:rPr>
        <w:t xml:space="preserve">Mark Rosewater</w:t>
      </w:r>
      <w:r w:rsidDel="00000000" w:rsidR="00000000" w:rsidRPr="00000000">
        <w:rPr>
          <w:sz w:val="20"/>
          <w:szCs w:val="20"/>
          <w:rtl w:val="0"/>
        </w:rPr>
        <w:t xml:space="preserve">, Head Designer de Magic: The Gathering. </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Los seguidores podrán encontrar </w:t>
      </w:r>
      <w:r w:rsidDel="00000000" w:rsidR="00000000" w:rsidRPr="00000000">
        <w:rPr>
          <w:i w:val="1"/>
          <w:sz w:val="20"/>
          <w:szCs w:val="20"/>
          <w:rtl w:val="0"/>
        </w:rPr>
        <w:t xml:space="preserve">Calles de Nueva Capenna</w:t>
      </w:r>
      <w:r w:rsidDel="00000000" w:rsidR="00000000" w:rsidRPr="00000000">
        <w:rPr>
          <w:sz w:val="20"/>
          <w:szCs w:val="20"/>
          <w:rtl w:val="0"/>
        </w:rPr>
        <w:t xml:space="preserve"> en los formatos de Sobres de </w:t>
      </w:r>
      <w:r w:rsidDel="00000000" w:rsidR="00000000" w:rsidRPr="00000000">
        <w:rPr>
          <w:i w:val="1"/>
          <w:sz w:val="20"/>
          <w:szCs w:val="20"/>
          <w:rtl w:val="0"/>
        </w:rPr>
        <w:t xml:space="preserve">Draft</w:t>
      </w:r>
      <w:r w:rsidDel="00000000" w:rsidR="00000000" w:rsidRPr="00000000">
        <w:rPr>
          <w:sz w:val="20"/>
          <w:szCs w:val="20"/>
          <w:rtl w:val="0"/>
        </w:rPr>
        <w:t xml:space="preserve">, Sobres de Edición y Sobres de Coleccionista</w:t>
      </w:r>
      <w:r w:rsidDel="00000000" w:rsidR="00000000" w:rsidRPr="00000000">
        <w:rPr>
          <w:sz w:val="20"/>
          <w:szCs w:val="20"/>
          <w:rtl w:val="0"/>
        </w:rPr>
        <w:t xml:space="preserve">.</w:t>
      </w:r>
      <w:r w:rsidDel="00000000" w:rsidR="00000000" w:rsidRPr="00000000">
        <w:rPr>
          <w:sz w:val="20"/>
          <w:szCs w:val="20"/>
          <w:rtl w:val="0"/>
        </w:rPr>
        <w:t xml:space="preserve"> Además, dependiendo de la familia criminal que escoja el jugador, también contará con sobres temáticos y mazos de </w:t>
      </w:r>
      <w:r w:rsidDel="00000000" w:rsidR="00000000" w:rsidRPr="00000000">
        <w:rPr>
          <w:i w:val="1"/>
          <w:sz w:val="20"/>
          <w:szCs w:val="20"/>
          <w:rtl w:val="0"/>
        </w:rPr>
        <w:t xml:space="preserve">commander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Quienes</w:t>
      </w:r>
      <w:r w:rsidDel="00000000" w:rsidR="00000000" w:rsidRPr="00000000">
        <w:rPr>
          <w:sz w:val="20"/>
          <w:szCs w:val="20"/>
          <w:rtl w:val="0"/>
        </w:rPr>
        <w:t xml:space="preserve"> decidan comprar una caja de sobres de Draft, de edición o de coleccionista en su tienda local en la modalidad </w:t>
      </w:r>
      <w:r w:rsidDel="00000000" w:rsidR="00000000" w:rsidRPr="00000000">
        <w:rPr>
          <w:i w:val="1"/>
          <w:sz w:val="20"/>
          <w:szCs w:val="20"/>
          <w:rtl w:val="0"/>
        </w:rPr>
        <w:t xml:space="preserve">buy-a-box,</w:t>
      </w:r>
      <w:r w:rsidDel="00000000" w:rsidR="00000000" w:rsidRPr="00000000">
        <w:rPr>
          <w:sz w:val="20"/>
          <w:szCs w:val="20"/>
          <w:rtl w:val="0"/>
        </w:rPr>
        <w:t xml:space="preserve"> tendrán la posibilidad de obtener la carta promocional de “Jaxis, la Alborotadora” con arte extendido de la colección</w:t>
      </w:r>
      <w:r w:rsidDel="00000000" w:rsidR="00000000" w:rsidRPr="00000000">
        <w:rPr>
          <w:sz w:val="20"/>
          <w:szCs w:val="20"/>
          <w:rtl w:val="0"/>
        </w:rPr>
        <w:t xml:space="preserve">. Además, por primera vez, Wizards ha lanzado su carta Box Topper con un arte especial para cada región, así que no importa dónde estés, la carta siempre será "Saludadores de la Gala", pero el arte será especial para cada idioma.</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Para conocer más sobre el </w:t>
      </w:r>
      <w:r w:rsidDel="00000000" w:rsidR="00000000" w:rsidRPr="00000000">
        <w:rPr>
          <w:i w:val="1"/>
          <w:sz w:val="20"/>
          <w:szCs w:val="20"/>
          <w:rtl w:val="0"/>
        </w:rPr>
        <w:t xml:space="preserve">lore </w:t>
      </w:r>
      <w:r w:rsidDel="00000000" w:rsidR="00000000" w:rsidRPr="00000000">
        <w:rPr>
          <w:sz w:val="20"/>
          <w:szCs w:val="20"/>
          <w:rtl w:val="0"/>
        </w:rPr>
        <w:t xml:space="preserve">de </w:t>
      </w:r>
      <w:r w:rsidDel="00000000" w:rsidR="00000000" w:rsidRPr="00000000">
        <w:rPr>
          <w:i w:val="1"/>
          <w:sz w:val="20"/>
          <w:szCs w:val="20"/>
          <w:rtl w:val="0"/>
        </w:rPr>
        <w:t xml:space="preserve">Calles de Nueva Capenna</w:t>
      </w:r>
      <w:r w:rsidDel="00000000" w:rsidR="00000000" w:rsidRPr="00000000">
        <w:rPr>
          <w:sz w:val="20"/>
          <w:szCs w:val="20"/>
          <w:rtl w:val="0"/>
        </w:rPr>
        <w:t xml:space="preserve"> se puede visitar el siguiente</w:t>
      </w:r>
      <w:r w:rsidDel="00000000" w:rsidR="00000000" w:rsidRPr="00000000">
        <w:rPr>
          <w:b w:val="1"/>
          <w:sz w:val="20"/>
          <w:szCs w:val="20"/>
          <w:rtl w:val="0"/>
        </w:rPr>
        <w:t xml:space="preserve"> </w:t>
      </w:r>
      <w:hyperlink r:id="rId6">
        <w:r w:rsidDel="00000000" w:rsidR="00000000" w:rsidRPr="00000000">
          <w:rPr>
            <w:b w:val="1"/>
            <w:color w:val="1155cc"/>
            <w:sz w:val="20"/>
            <w:szCs w:val="20"/>
            <w:u w:val="single"/>
            <w:rtl w:val="0"/>
          </w:rPr>
          <w:t xml:space="preserve">enlace</w:t>
        </w:r>
      </w:hyperlink>
      <w:r w:rsidDel="00000000" w:rsidR="00000000" w:rsidRPr="00000000">
        <w:rPr>
          <w:sz w:val="20"/>
          <w:szCs w:val="20"/>
          <w:rtl w:val="0"/>
        </w:rPr>
        <w:t xml:space="preserve">. Del mismo modo, el canal oficial de YouTube de Magic: The Gathering en español publicó dos videos titulados: </w:t>
      </w:r>
      <w:hyperlink r:id="rId7">
        <w:r w:rsidDel="00000000" w:rsidR="00000000" w:rsidRPr="00000000">
          <w:rPr>
            <w:b w:val="1"/>
            <w:color w:val="1155cc"/>
            <w:sz w:val="20"/>
            <w:szCs w:val="20"/>
            <w:u w:val="single"/>
            <w:rtl w:val="0"/>
          </w:rPr>
          <w:t xml:space="preserve">Crónicas: Nueva Capenna</w:t>
        </w:r>
      </w:hyperlink>
      <w:r w:rsidDel="00000000" w:rsidR="00000000" w:rsidRPr="00000000">
        <w:rPr>
          <w:sz w:val="20"/>
          <w:szCs w:val="20"/>
          <w:rtl w:val="0"/>
        </w:rPr>
        <w:t xml:space="preserve"> y </w:t>
      </w:r>
      <w:hyperlink r:id="rId8">
        <w:r w:rsidDel="00000000" w:rsidR="00000000" w:rsidRPr="00000000">
          <w:rPr>
            <w:b w:val="1"/>
            <w:color w:val="1155cc"/>
            <w:sz w:val="20"/>
            <w:szCs w:val="20"/>
            <w:u w:val="single"/>
            <w:rtl w:val="0"/>
          </w:rPr>
          <w:t xml:space="preserve">Mecánicas en Calles de Nueva Capenna</w:t>
        </w:r>
      </w:hyperlink>
      <w:r w:rsidDel="00000000" w:rsidR="00000000" w:rsidRPr="00000000">
        <w:rPr>
          <w:b w:val="1"/>
          <w:sz w:val="20"/>
          <w:szCs w:val="20"/>
          <w:rtl w:val="0"/>
        </w:rPr>
        <w:t xml:space="preserve"> </w:t>
      </w:r>
      <w:r w:rsidDel="00000000" w:rsidR="00000000" w:rsidRPr="00000000">
        <w:rPr>
          <w:sz w:val="20"/>
          <w:szCs w:val="20"/>
          <w:rtl w:val="0"/>
        </w:rPr>
        <w:t xml:space="preserve">en donde explican más detalles sobre el nuevo plano. </w:t>
      </w: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spacing w:line="342.85714285714283" w:lineRule="auto"/>
        <w:jc w:val="both"/>
        <w:rPr>
          <w:b w:val="1"/>
          <w:color w:val="2b2b2b"/>
          <w:sz w:val="20"/>
          <w:szCs w:val="20"/>
          <w:u w:val="single"/>
        </w:rPr>
      </w:pPr>
      <w:r w:rsidDel="00000000" w:rsidR="00000000" w:rsidRPr="00000000">
        <w:rPr>
          <w:b w:val="1"/>
          <w:color w:val="2b2b2b"/>
          <w:sz w:val="20"/>
          <w:szCs w:val="20"/>
          <w:u w:val="single"/>
          <w:rtl w:val="0"/>
        </w:rPr>
        <w:t xml:space="preserve">Acerca de Wizards of the Coast</w:t>
      </w:r>
    </w:p>
    <w:p w:rsidR="00000000" w:rsidDel="00000000" w:rsidP="00000000" w:rsidRDefault="00000000" w:rsidRPr="00000000" w14:paraId="00000013">
      <w:pPr>
        <w:spacing w:line="240" w:lineRule="auto"/>
        <w:jc w:val="both"/>
        <w:rPr>
          <w:color w:val="2b2b2b"/>
          <w:sz w:val="20"/>
          <w:szCs w:val="20"/>
          <w:highlight w:val="white"/>
        </w:rPr>
      </w:pPr>
      <w:r w:rsidDel="00000000" w:rsidR="00000000" w:rsidRPr="00000000">
        <w:rPr>
          <w:color w:val="2b2b2b"/>
          <w:sz w:val="20"/>
          <w:szCs w:val="20"/>
          <w:rtl w:val="0"/>
        </w:rPr>
        <w:t xml:space="preserve">Wizards of the Coast, compañía subsidiaria de Hasbro, Inc., es desarrolladora y editora galardonada de juegos de mesa y digitales que despierta un sentido de aventura en jugadores apasionados de todo el mundo. Más conocida por publicar las franquicias de fantasía innovadoras, MAGIC: THE GATHERING® y DUNGEONS &amp; DRAGONS®, Wizards se dedica a reunir talentos de primera clase para crear experiencias de juego inolvidables en su sede en Washington y sus estudios en Austin y Montreal. Más información en </w:t>
      </w:r>
      <w:hyperlink r:id="rId9">
        <w:r w:rsidDel="00000000" w:rsidR="00000000" w:rsidRPr="00000000">
          <w:rPr>
            <w:b w:val="1"/>
            <w:color w:val="6e64da"/>
            <w:sz w:val="20"/>
            <w:szCs w:val="20"/>
            <w:rtl w:val="0"/>
          </w:rPr>
          <w:t xml:space="preserve">www.wizards.com</w:t>
        </w:r>
      </w:hyperlink>
      <w:r w:rsidDel="00000000" w:rsidR="00000000" w:rsidRPr="00000000">
        <w:rPr>
          <w:color w:val="2b2b2b"/>
          <w:sz w:val="20"/>
          <w:szCs w:val="20"/>
          <w:highlight w:val="white"/>
          <w:rtl w:val="0"/>
        </w:rPr>
        <w:t xml:space="preserve">.</w:t>
      </w:r>
    </w:p>
    <w:p w:rsidR="00000000" w:rsidDel="00000000" w:rsidP="00000000" w:rsidRDefault="00000000" w:rsidRPr="00000000" w14:paraId="00000014">
      <w:pPr>
        <w:spacing w:line="342.85714285714283" w:lineRule="auto"/>
        <w:jc w:val="both"/>
        <w:rPr>
          <w:color w:val="2b2b2b"/>
          <w:sz w:val="18"/>
          <w:szCs w:val="18"/>
          <w:highlight w:val="white"/>
        </w:rPr>
      </w:pPr>
      <w:r w:rsidDel="00000000" w:rsidR="00000000" w:rsidRPr="00000000">
        <w:rPr>
          <w:rtl w:val="0"/>
        </w:rPr>
      </w:r>
    </w:p>
    <w:p w:rsidR="00000000" w:rsidDel="00000000" w:rsidP="00000000" w:rsidRDefault="00000000" w:rsidRPr="00000000" w14:paraId="00000015">
      <w:pPr>
        <w:spacing w:line="342.85714285714283" w:lineRule="auto"/>
        <w:jc w:val="both"/>
        <w:rPr>
          <w:b w:val="1"/>
          <w:sz w:val="20"/>
          <w:szCs w:val="20"/>
          <w:u w:val="single"/>
        </w:rPr>
      </w:pPr>
      <w:r w:rsidDel="00000000" w:rsidR="00000000" w:rsidRPr="00000000">
        <w:rPr>
          <w:b w:val="1"/>
          <w:sz w:val="20"/>
          <w:szCs w:val="20"/>
          <w:u w:val="single"/>
          <w:rtl w:val="0"/>
        </w:rPr>
        <w:t xml:space="preserve">Acerca de HASBRO</w:t>
      </w:r>
    </w:p>
    <w:p w:rsidR="00000000" w:rsidDel="00000000" w:rsidP="00000000" w:rsidRDefault="00000000" w:rsidRPr="00000000" w14:paraId="00000016">
      <w:pPr>
        <w:spacing w:line="240" w:lineRule="auto"/>
        <w:jc w:val="both"/>
        <w:rPr>
          <w:b w:val="1"/>
          <w:sz w:val="20"/>
          <w:szCs w:val="20"/>
          <w:u w:val="single"/>
        </w:rPr>
      </w:pPr>
      <w:r w:rsidDel="00000000" w:rsidR="00000000" w:rsidRPr="00000000">
        <w:rPr>
          <w:sz w:val="20"/>
          <w:szCs w:val="20"/>
          <w:rtl w:val="0"/>
        </w:rPr>
        <w:t xml:space="preserve">Hasbro (NASDAQ: HAS) es una compañía global de juego y entretenimiento dedicada a crear las Mejores experiencias de Juego y entretenimiento del mundo. Desde juguetes y juegos hasta televisión, películas, juegos digitales y productos de consumo, Hasbro ofrece una variedad de formas para que el público disfrute de sus marcas emblemáticas, incluyendo NERF, MY LITTLE PONY, TRANSFORMERS, PLAY-DOH, MONOPOLY, BABY ALIVE, MAGIC: THE GATHERING y POWER RANGERS, así como sus principales marcas asociadas. A través de su sello de entretenimiento eOne, la Compañía está consolidando sus marcas a nivel mundial mediante grandes historias y contenidos para todas las pantallas. Hasbro está comprometida a hacer del mundo un lugar mejor para los niños y sus familias a través de la responsabilidad social corporativa y la filantropía. Hasbro ocupó la posición nº 13 en la lista de los "100 Mejores Ciudadanos Corporativos" de 2019 de la revista CR Magazine, y ha sido nombrada una de las Compañías Más Éticas del Mundo por el Ethisphere Institute durante los últimos ocho años. Más información en </w:t>
      </w:r>
      <w:hyperlink r:id="rId10">
        <w:r w:rsidDel="00000000" w:rsidR="00000000" w:rsidRPr="00000000">
          <w:rPr>
            <w:b w:val="1"/>
            <w:color w:val="6e64da"/>
            <w:sz w:val="20"/>
            <w:szCs w:val="20"/>
            <w:rtl w:val="0"/>
          </w:rPr>
          <w:t xml:space="preserve">www.hasbro.com</w:t>
        </w:r>
      </w:hyperlink>
      <w:r w:rsidDel="00000000" w:rsidR="00000000" w:rsidRPr="00000000">
        <w:rPr>
          <w:sz w:val="20"/>
          <w:szCs w:val="20"/>
          <w:rtl w:val="0"/>
        </w:rPr>
        <w:t xml:space="preserve">.</w:t>
      </w:r>
      <w:r w:rsidDel="00000000" w:rsidR="00000000" w:rsidRPr="00000000">
        <w:rPr>
          <w:b w:val="1"/>
          <w:sz w:val="20"/>
          <w:szCs w:val="20"/>
          <w:u w:val="single"/>
          <w:rtl w:val="0"/>
        </w:rPr>
        <w:t xml:space="preserve"> </w:t>
      </w:r>
    </w:p>
    <w:p w:rsidR="00000000" w:rsidDel="00000000" w:rsidP="00000000" w:rsidRDefault="00000000" w:rsidRPr="00000000" w14:paraId="00000017">
      <w:pPr>
        <w:spacing w:line="240" w:lineRule="auto"/>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A">
      <w:pPr>
        <w:spacing w:line="240" w:lineRule="auto"/>
        <w:ind w:right="140"/>
        <w:jc w:val="both"/>
        <w:rPr>
          <w:sz w:val="20"/>
          <w:szCs w:val="20"/>
          <w:highlight w:val="white"/>
        </w:rPr>
      </w:pPr>
      <w:r w:rsidDel="00000000" w:rsidR="00000000" w:rsidRPr="00000000">
        <w:rPr>
          <w:sz w:val="20"/>
          <w:szCs w:val="20"/>
          <w:highlight w:val="white"/>
          <w:rtl w:val="0"/>
        </w:rPr>
        <w:t xml:space="preserve">Rosa Torres,</w:t>
      </w:r>
      <w:r w:rsidDel="00000000" w:rsidR="00000000" w:rsidRPr="00000000">
        <w:rPr>
          <w:sz w:val="20"/>
          <w:szCs w:val="20"/>
          <w:highlight w:val="white"/>
          <w:rtl w:val="0"/>
        </w:rPr>
        <w:t xml:space="preserve"> Account Executive </w:t>
      </w:r>
    </w:p>
    <w:p w:rsidR="00000000" w:rsidDel="00000000" w:rsidP="00000000" w:rsidRDefault="00000000" w:rsidRPr="00000000" w14:paraId="0000001B">
      <w:pPr>
        <w:spacing w:line="240" w:lineRule="auto"/>
        <w:ind w:right="140"/>
        <w:jc w:val="both"/>
        <w:rPr>
          <w:sz w:val="20"/>
          <w:szCs w:val="20"/>
          <w:highlight w:val="white"/>
        </w:rPr>
      </w:pPr>
      <w:r w:rsidDel="00000000" w:rsidR="00000000" w:rsidRPr="00000000">
        <w:rPr>
          <w:sz w:val="20"/>
          <w:szCs w:val="20"/>
          <w:highlight w:val="white"/>
          <w:rtl w:val="0"/>
        </w:rPr>
        <w:t xml:space="preserve">55 54 53 82 77</w:t>
        <w:tab/>
        <w:t xml:space="preserve">| </w:t>
      </w:r>
      <w:hyperlink r:id="rId11">
        <w:r w:rsidDel="00000000" w:rsidR="00000000" w:rsidRPr="00000000">
          <w:rPr>
            <w:color w:val="1155cc"/>
            <w:sz w:val="20"/>
            <w:szCs w:val="20"/>
            <w:u w:val="single"/>
            <w:rtl w:val="0"/>
          </w:rPr>
          <w:t xml:space="preserve">rosa.torres@another.co</w:t>
        </w:r>
      </w:hyperlink>
      <w:r w:rsidDel="00000000" w:rsidR="00000000" w:rsidRPr="00000000">
        <w:rPr>
          <w:sz w:val="20"/>
          <w:szCs w:val="20"/>
          <w:rtl w:val="0"/>
        </w:rPr>
        <w:t xml:space="preserve"> </w:t>
      </w:r>
      <w:r w:rsidDel="00000000" w:rsidR="00000000" w:rsidRPr="00000000">
        <w:rPr>
          <w:sz w:val="20"/>
          <w:szCs w:val="20"/>
          <w:highlight w:val="white"/>
          <w:rtl w:val="0"/>
        </w:rPr>
        <w:t xml:space="preserve">  </w:t>
      </w:r>
    </w:p>
    <w:p w:rsidR="00000000" w:rsidDel="00000000" w:rsidP="00000000" w:rsidRDefault="00000000" w:rsidRPr="00000000" w14:paraId="0000001C">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ind w:right="140"/>
        <w:jc w:val="both"/>
        <w:rPr>
          <w:sz w:val="20"/>
          <w:szCs w:val="20"/>
          <w:highlight w:val="white"/>
        </w:rPr>
      </w:pPr>
      <w:r w:rsidDel="00000000" w:rsidR="00000000" w:rsidRPr="00000000">
        <w:rPr>
          <w:sz w:val="20"/>
          <w:szCs w:val="20"/>
          <w:highlight w:val="white"/>
          <w:rtl w:val="0"/>
        </w:rPr>
        <w:t xml:space="preserve">Brenda Ricaño, PR Manager</w:t>
      </w:r>
    </w:p>
    <w:p w:rsidR="00000000" w:rsidDel="00000000" w:rsidP="00000000" w:rsidRDefault="00000000" w:rsidRPr="00000000" w14:paraId="0000001E">
      <w:pPr>
        <w:spacing w:line="240" w:lineRule="auto"/>
        <w:ind w:right="140"/>
        <w:jc w:val="both"/>
        <w:rPr>
          <w:color w:val="1155cc"/>
          <w:sz w:val="20"/>
          <w:szCs w:val="20"/>
          <w:u w:val="single"/>
        </w:rPr>
      </w:pPr>
      <w:r w:rsidDel="00000000" w:rsidR="00000000" w:rsidRPr="00000000">
        <w:rPr>
          <w:sz w:val="20"/>
          <w:szCs w:val="20"/>
          <w:highlight w:val="white"/>
          <w:rtl w:val="0"/>
        </w:rPr>
        <w:t xml:space="preserve">55 44 77 64 23|</w:t>
      </w:r>
      <w:r w:rsidDel="00000000" w:rsidR="00000000" w:rsidRPr="00000000">
        <w:rPr>
          <w:color w:val="263238"/>
          <w:sz w:val="20"/>
          <w:szCs w:val="20"/>
          <w:rtl w:val="0"/>
        </w:rPr>
        <w:t xml:space="preserve"> </w:t>
      </w:r>
      <w:hyperlink r:id="rId12">
        <w:r w:rsidDel="00000000" w:rsidR="00000000" w:rsidRPr="00000000">
          <w:rPr>
            <w:color w:val="1155cc"/>
            <w:sz w:val="20"/>
            <w:szCs w:val="20"/>
            <w:u w:val="single"/>
            <w:rtl w:val="0"/>
          </w:rPr>
          <w:t xml:space="preserve">brenda.ricano@another.co</w:t>
        </w:r>
      </w:hyperlink>
      <w:r w:rsidDel="00000000" w:rsidR="00000000" w:rsidRPr="00000000">
        <w:rPr>
          <w:color w:val="263238"/>
          <w:sz w:val="20"/>
          <w:szCs w:val="20"/>
          <w:rtl w:val="0"/>
        </w:rPr>
        <w:t xml:space="preserve"> </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40" w:lineRule="auto"/>
      <w:jc w:val="both"/>
      <w:rPr/>
    </w:pPr>
    <w:r w:rsidDel="00000000" w:rsidR="00000000" w:rsidRPr="00000000">
      <w:rPr/>
      <w:drawing>
        <wp:inline distB="114300" distT="114300" distL="114300" distR="114300">
          <wp:extent cx="1728788" cy="86677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8788" cy="86677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3448050</wp:posOffset>
          </wp:positionH>
          <wp:positionV relativeFrom="paragraph">
            <wp:posOffset>-19049</wp:posOffset>
          </wp:positionV>
          <wp:extent cx="2564582" cy="866775"/>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564582" cy="8667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rosa.torres@another.co" TargetMode="External"/><Relationship Id="rId10" Type="http://schemas.openxmlformats.org/officeDocument/2006/relationships/hyperlink" Target="https://nam11.safelinks.protection.outlook.com/?url=http%3A%2F%2Fwww.hasbro.com%2F&amp;data=04%7C01%7Cannette.escalante%40hasbro.com%7C2d65d774d80a40afda0e08d9a9ebb5af%7C701edd3ec7a84789b1ce8a243620d68f%7C0%7C0%7C637727652097853728%7CUnknown%7CTWFpbGZsb3d8eyJWIjoiMC4wLjAwMDAiLCJQIjoiV2luMzIiLCJBTiI6Ik1haWwiLCJXVCI6Mn0%3D%7C3000&amp;sdata=y22V5M28w%2F3rmqAng5KezOB2UOYCjM7h%2F18pchKvnOI%3D&amp;reserved=0" TargetMode="External"/><Relationship Id="rId13" Type="http://schemas.openxmlformats.org/officeDocument/2006/relationships/header" Target="header1.xml"/><Relationship Id="rId12" Type="http://schemas.openxmlformats.org/officeDocument/2006/relationships/hyperlink" Target="mailto:brenda.rican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11.safelinks.protection.outlook.com/?url=http%3A%2F%2Fwww.wizards.com%2F&amp;data=05%7C01%7Cannette.escalante%40hasbro.com%7C5c30f1c85dfc432b9db608da23b86174%7C701edd3ec7a84789b1ce8a243620d68f%7C0%7C0%7C637861572089428257%7CUnknown%7CTWFpbGZsb3d8eyJWIjoiMC4wLjAwMDAiLCJQIjoiV2luMzIiLCJBTiI6Ik1haWwiLCJXVCI6Mn0%3D%7C3000%7C%7C%7C&amp;sdata=g4kzIVdU2GwC1KW%2BGDTUMuTYpsGI%2FSUfAt91BWRiLy8%3D&amp;reserved=0" TargetMode="External"/><Relationship Id="rId5" Type="http://schemas.openxmlformats.org/officeDocument/2006/relationships/styles" Target="styles.xml"/><Relationship Id="rId6" Type="http://schemas.openxmlformats.org/officeDocument/2006/relationships/hyperlink" Target="https://magic.wizards.com/en/story" TargetMode="External"/><Relationship Id="rId7" Type="http://schemas.openxmlformats.org/officeDocument/2006/relationships/hyperlink" Target="https://www.youtube.com/watch?v=KNYPYwDTBAI" TargetMode="External"/><Relationship Id="rId8" Type="http://schemas.openxmlformats.org/officeDocument/2006/relationships/hyperlink" Target="https://www.youtube.com/watch?v=ZrR0b7RGR_Y&amp;t=218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