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255BE" w14:textId="77777777" w:rsidR="0039479A" w:rsidRDefault="0039479A" w:rsidP="00230C70">
      <w:pPr>
        <w:ind w:left="2342"/>
        <w:jc w:val="right"/>
        <w:rPr>
          <w:rFonts w:cs="Arial"/>
          <w:b/>
          <w:bCs/>
          <w:i/>
          <w:iCs/>
          <w:noProof/>
        </w:rPr>
      </w:pPr>
    </w:p>
    <w:p w14:paraId="3CFB7FF5" w14:textId="1E722F03" w:rsidR="00230C70" w:rsidRPr="002F446E" w:rsidRDefault="00230C70" w:rsidP="00230C70">
      <w:pPr>
        <w:ind w:left="2342"/>
        <w:jc w:val="right"/>
        <w:rPr>
          <w:rFonts w:cs="Arial"/>
          <w:b/>
          <w:bCs/>
          <w:i/>
          <w:iCs/>
          <w:noProof/>
        </w:rPr>
      </w:pPr>
      <w:r w:rsidRPr="002F446E">
        <w:rPr>
          <w:rFonts w:cs="Arial"/>
          <w:b/>
          <w:bCs/>
          <w:i/>
          <w:iCs/>
          <w:noProof/>
        </w:rPr>
        <w:t>Relations presse :</w:t>
      </w:r>
    </w:p>
    <w:p w14:paraId="1768A77C" w14:textId="77777777" w:rsidR="00230C70" w:rsidRPr="002F446E" w:rsidRDefault="00230C70" w:rsidP="00230C70">
      <w:pPr>
        <w:ind w:left="2342"/>
        <w:jc w:val="right"/>
        <w:rPr>
          <w:rFonts w:cs="Arial"/>
          <w:bCs/>
          <w:i/>
          <w:iCs/>
          <w:noProof/>
        </w:rPr>
      </w:pPr>
      <w:r w:rsidRPr="002F446E">
        <w:rPr>
          <w:rFonts w:cs="Arial"/>
          <w:bCs/>
          <w:i/>
          <w:iCs/>
          <w:noProof/>
        </w:rPr>
        <w:t>Florence Lièvre</w:t>
      </w:r>
    </w:p>
    <w:p w14:paraId="24EDEC7B" w14:textId="77777777" w:rsidR="00230C70" w:rsidRPr="002F446E" w:rsidRDefault="00230C70" w:rsidP="00230C70">
      <w:pPr>
        <w:ind w:left="2342"/>
        <w:jc w:val="right"/>
        <w:rPr>
          <w:rFonts w:cs="Arial"/>
          <w:bCs/>
          <w:i/>
          <w:iCs/>
          <w:noProof/>
        </w:rPr>
      </w:pPr>
      <w:r w:rsidRPr="002F446E">
        <w:rPr>
          <w:rFonts w:cs="Arial"/>
          <w:bCs/>
          <w:i/>
          <w:iCs/>
          <w:noProof/>
        </w:rPr>
        <w:t>Tél. : 01 47 54 50 71</w:t>
      </w:r>
    </w:p>
    <w:p w14:paraId="5695F982" w14:textId="77777777" w:rsidR="00230C70" w:rsidRPr="002F446E" w:rsidRDefault="00230C70" w:rsidP="00230C70">
      <w:pPr>
        <w:ind w:left="2342"/>
        <w:jc w:val="right"/>
        <w:rPr>
          <w:rFonts w:cs="Arial"/>
          <w:bCs/>
          <w:i/>
          <w:iCs/>
          <w:noProof/>
        </w:rPr>
      </w:pPr>
      <w:r w:rsidRPr="002F446E">
        <w:rPr>
          <w:rFonts w:cs="Arial"/>
          <w:bCs/>
          <w:i/>
          <w:iCs/>
          <w:noProof/>
        </w:rPr>
        <w:t>florence.lievre@capgemini.com</w:t>
      </w:r>
    </w:p>
    <w:p w14:paraId="5291CD5D" w14:textId="77777777" w:rsidR="00230C70" w:rsidRPr="002F446E" w:rsidRDefault="00230C70" w:rsidP="00230C70">
      <w:pPr>
        <w:ind w:left="2342"/>
        <w:jc w:val="right"/>
        <w:rPr>
          <w:rFonts w:cs="Arial"/>
          <w:b/>
          <w:bCs/>
          <w:i/>
          <w:iCs/>
          <w:noProof/>
        </w:rPr>
      </w:pPr>
    </w:p>
    <w:p w14:paraId="3E803A28" w14:textId="77777777" w:rsidR="00230C70" w:rsidRPr="002F446E" w:rsidRDefault="00230C70" w:rsidP="00230C70">
      <w:pPr>
        <w:ind w:left="2342"/>
        <w:jc w:val="right"/>
        <w:rPr>
          <w:rFonts w:cs="Arial"/>
          <w:b/>
          <w:bCs/>
          <w:i/>
          <w:iCs/>
          <w:noProof/>
        </w:rPr>
      </w:pPr>
      <w:r w:rsidRPr="002F446E">
        <w:rPr>
          <w:rFonts w:cs="Arial"/>
          <w:b/>
          <w:bCs/>
          <w:i/>
          <w:iCs/>
          <w:noProof/>
        </w:rPr>
        <w:t>Relations Investisseurs :</w:t>
      </w:r>
    </w:p>
    <w:p w14:paraId="5843F469" w14:textId="77777777" w:rsidR="00230C70" w:rsidRPr="002F446E" w:rsidRDefault="00230C70" w:rsidP="00230C70">
      <w:pPr>
        <w:ind w:left="2342"/>
        <w:jc w:val="right"/>
        <w:rPr>
          <w:rFonts w:cs="Arial"/>
          <w:bCs/>
          <w:i/>
          <w:iCs/>
          <w:noProof/>
        </w:rPr>
      </w:pPr>
      <w:r w:rsidRPr="002F446E">
        <w:rPr>
          <w:rFonts w:cs="Arial"/>
          <w:bCs/>
          <w:i/>
          <w:iCs/>
          <w:noProof/>
        </w:rPr>
        <w:t>Vincent Biraud</w:t>
      </w:r>
    </w:p>
    <w:p w14:paraId="42043EDB" w14:textId="77777777" w:rsidR="00230C70" w:rsidRPr="002F446E" w:rsidRDefault="00230C70" w:rsidP="00230C70">
      <w:pPr>
        <w:ind w:left="2342"/>
        <w:jc w:val="right"/>
        <w:rPr>
          <w:rFonts w:cs="Arial"/>
          <w:bCs/>
          <w:i/>
          <w:iCs/>
          <w:noProof/>
        </w:rPr>
      </w:pPr>
      <w:r w:rsidRPr="002F446E">
        <w:rPr>
          <w:rFonts w:cs="Arial"/>
          <w:bCs/>
          <w:i/>
          <w:iCs/>
          <w:noProof/>
        </w:rPr>
        <w:t>Tél. : 01 47 54 50 87</w:t>
      </w:r>
    </w:p>
    <w:p w14:paraId="37EC21D0" w14:textId="77777777" w:rsidR="00230C70" w:rsidRPr="002F446E" w:rsidRDefault="00230C70" w:rsidP="00230C70">
      <w:pPr>
        <w:ind w:left="2342"/>
        <w:jc w:val="right"/>
        <w:rPr>
          <w:rFonts w:cs="Arial"/>
          <w:bCs/>
          <w:i/>
          <w:iCs/>
          <w:noProof/>
        </w:rPr>
      </w:pPr>
      <w:r w:rsidRPr="002F446E">
        <w:rPr>
          <w:rFonts w:cs="Arial"/>
          <w:bCs/>
          <w:i/>
          <w:iCs/>
          <w:noProof/>
        </w:rPr>
        <w:t>vincent.biraud@capgemini.com</w:t>
      </w:r>
    </w:p>
    <w:p w14:paraId="2FCDEBE7" w14:textId="77777777" w:rsidR="00B00202" w:rsidRPr="002F446E" w:rsidRDefault="00B00202" w:rsidP="00B00202">
      <w:pPr>
        <w:spacing w:before="120" w:after="120"/>
        <w:jc w:val="center"/>
        <w:rPr>
          <w:rFonts w:ascii="Verdana" w:hAnsi="Verdana" w:cs="Arial"/>
          <w:b/>
          <w:bCs/>
          <w:sz w:val="24"/>
          <w:szCs w:val="24"/>
        </w:rPr>
      </w:pPr>
    </w:p>
    <w:p w14:paraId="09DFD1AA" w14:textId="0A764ED3" w:rsidR="00B00202" w:rsidRPr="002F446E" w:rsidRDefault="00B00202" w:rsidP="00B00202">
      <w:pPr>
        <w:spacing w:before="120" w:after="120"/>
        <w:jc w:val="center"/>
        <w:rPr>
          <w:rFonts w:ascii="Verdana" w:hAnsi="Verdana" w:cs="Arial"/>
          <w:b/>
          <w:bCs/>
          <w:sz w:val="24"/>
          <w:szCs w:val="24"/>
        </w:rPr>
      </w:pPr>
    </w:p>
    <w:p w14:paraId="3CAB789A" w14:textId="77777777" w:rsidR="009E0D9E" w:rsidRPr="002F446E" w:rsidRDefault="009E0D9E" w:rsidP="000F5D5A">
      <w:pPr>
        <w:spacing w:before="120" w:after="120"/>
        <w:rPr>
          <w:rFonts w:ascii="Verdana" w:hAnsi="Verdana" w:cs="Arial"/>
          <w:b/>
          <w:bCs/>
          <w:sz w:val="24"/>
          <w:szCs w:val="24"/>
        </w:rPr>
      </w:pPr>
    </w:p>
    <w:p w14:paraId="61395653" w14:textId="77777777" w:rsidR="00643C99" w:rsidRPr="002F446E" w:rsidRDefault="00643C99" w:rsidP="00B00202">
      <w:pPr>
        <w:spacing w:before="120" w:after="120"/>
        <w:jc w:val="center"/>
        <w:rPr>
          <w:rFonts w:ascii="Verdana" w:hAnsi="Verdana" w:cs="Arial"/>
          <w:b/>
          <w:bCs/>
          <w:sz w:val="24"/>
          <w:szCs w:val="24"/>
        </w:rPr>
      </w:pPr>
    </w:p>
    <w:p w14:paraId="66017BFD" w14:textId="4B522426" w:rsidR="00B00202" w:rsidRPr="00446A85" w:rsidRDefault="00B17CE9" w:rsidP="000F5D5A">
      <w:pPr>
        <w:spacing w:before="120" w:after="120" w:line="24" w:lineRule="atLeast"/>
        <w:ind w:left="567" w:right="543"/>
        <w:jc w:val="center"/>
        <w:rPr>
          <w:rFonts w:ascii="Verdana" w:hAnsi="Verdana" w:cs="Arial"/>
          <w:b/>
        </w:rPr>
      </w:pPr>
      <w:bookmarkStart w:id="0" w:name="_Hlk519696555"/>
      <w:r>
        <w:rPr>
          <w:rFonts w:ascii="Verdana" w:hAnsi="Verdana" w:cs="Arial"/>
          <w:b/>
          <w:bCs/>
          <w:sz w:val="24"/>
          <w:szCs w:val="24"/>
        </w:rPr>
        <w:t>La per</w:t>
      </w:r>
      <w:r w:rsidR="00DF73FB">
        <w:rPr>
          <w:rFonts w:ascii="Verdana" w:hAnsi="Verdana" w:cs="Arial"/>
          <w:b/>
          <w:bCs/>
          <w:sz w:val="24"/>
          <w:szCs w:val="24"/>
        </w:rPr>
        <w:t>formance au</w:t>
      </w:r>
      <w:r w:rsidR="00975CDE" w:rsidRPr="00975CDE">
        <w:rPr>
          <w:rFonts w:ascii="Verdana" w:hAnsi="Verdana" w:cs="Arial"/>
          <w:b/>
          <w:bCs/>
          <w:sz w:val="24"/>
          <w:szCs w:val="24"/>
        </w:rPr>
        <w:t xml:space="preserve"> 1</w:t>
      </w:r>
      <w:r w:rsidR="00975CDE" w:rsidRPr="000F5D5A">
        <w:rPr>
          <w:rFonts w:ascii="Verdana" w:hAnsi="Verdana" w:cs="Arial"/>
          <w:b/>
          <w:bCs/>
          <w:sz w:val="24"/>
          <w:szCs w:val="24"/>
          <w:vertAlign w:val="superscript"/>
        </w:rPr>
        <w:t>er</w:t>
      </w:r>
      <w:r w:rsidR="00975CDE" w:rsidRPr="00975CDE">
        <w:rPr>
          <w:rFonts w:ascii="Verdana" w:hAnsi="Verdana" w:cs="Arial"/>
          <w:b/>
          <w:bCs/>
          <w:sz w:val="24"/>
          <w:szCs w:val="24"/>
        </w:rPr>
        <w:t xml:space="preserve"> semestre</w:t>
      </w:r>
      <w:r w:rsidR="00C62E76">
        <w:rPr>
          <w:rFonts w:ascii="Verdana" w:hAnsi="Verdana" w:cs="Arial"/>
          <w:b/>
          <w:bCs/>
          <w:sz w:val="24"/>
          <w:szCs w:val="24"/>
        </w:rPr>
        <w:t xml:space="preserve"> </w:t>
      </w:r>
      <w:r>
        <w:rPr>
          <w:rFonts w:ascii="Verdana" w:hAnsi="Verdana" w:cs="Arial"/>
          <w:b/>
          <w:bCs/>
          <w:sz w:val="24"/>
          <w:szCs w:val="24"/>
        </w:rPr>
        <w:t xml:space="preserve">témoigne </w:t>
      </w:r>
      <w:r w:rsidR="002B15B1">
        <w:rPr>
          <w:rFonts w:ascii="Verdana" w:hAnsi="Verdana" w:cs="Arial"/>
          <w:b/>
          <w:bCs/>
          <w:sz w:val="24"/>
          <w:szCs w:val="24"/>
        </w:rPr>
        <w:br/>
      </w:r>
      <w:r>
        <w:rPr>
          <w:rFonts w:ascii="Verdana" w:hAnsi="Verdana" w:cs="Arial"/>
          <w:b/>
          <w:bCs/>
          <w:sz w:val="24"/>
          <w:szCs w:val="24"/>
        </w:rPr>
        <w:t xml:space="preserve">de la </w:t>
      </w:r>
      <w:r w:rsidR="00975CDE" w:rsidRPr="00975CDE">
        <w:rPr>
          <w:rFonts w:ascii="Verdana" w:hAnsi="Verdana" w:cs="Arial"/>
          <w:b/>
          <w:bCs/>
          <w:sz w:val="24"/>
          <w:szCs w:val="24"/>
        </w:rPr>
        <w:t>résilience</w:t>
      </w:r>
      <w:r w:rsidR="00975CDE" w:rsidRPr="00975CDE" w:rsidDel="00975CDE">
        <w:rPr>
          <w:rFonts w:ascii="Verdana" w:hAnsi="Verdana" w:cs="Arial"/>
          <w:b/>
          <w:bCs/>
          <w:sz w:val="24"/>
          <w:szCs w:val="24"/>
        </w:rPr>
        <w:t xml:space="preserve"> </w:t>
      </w:r>
      <w:bookmarkEnd w:id="0"/>
      <w:r>
        <w:rPr>
          <w:rFonts w:ascii="Verdana" w:hAnsi="Verdana" w:cs="Arial"/>
          <w:b/>
          <w:bCs/>
          <w:sz w:val="24"/>
          <w:szCs w:val="24"/>
        </w:rPr>
        <w:t>du Groupe</w:t>
      </w:r>
    </w:p>
    <w:p w14:paraId="5A02165E" w14:textId="77777777" w:rsidR="00BB2D4E" w:rsidRPr="00446A85" w:rsidRDefault="00BB2D4E" w:rsidP="00B00202">
      <w:pPr>
        <w:spacing w:before="120" w:after="120" w:line="24" w:lineRule="atLeast"/>
        <w:jc w:val="center"/>
        <w:rPr>
          <w:rFonts w:ascii="Verdana" w:hAnsi="Verdana" w:cs="Arial"/>
          <w:b/>
        </w:rPr>
      </w:pPr>
    </w:p>
    <w:p w14:paraId="690C26A2" w14:textId="20B6309E" w:rsidR="00925ADD" w:rsidRPr="00446A85" w:rsidRDefault="00B00202" w:rsidP="00925ADD">
      <w:pPr>
        <w:pStyle w:val="ListParagraph"/>
        <w:numPr>
          <w:ilvl w:val="0"/>
          <w:numId w:val="4"/>
        </w:numPr>
        <w:spacing w:before="120" w:after="120" w:line="24" w:lineRule="atLeast"/>
        <w:ind w:left="284" w:hanging="218"/>
        <w:jc w:val="left"/>
        <w:rPr>
          <w:rFonts w:ascii="Verdana" w:hAnsi="Verdana" w:cs="Arial"/>
          <w:b/>
        </w:rPr>
      </w:pPr>
      <w:r w:rsidRPr="00446A85">
        <w:rPr>
          <w:rFonts w:ascii="Verdana" w:hAnsi="Verdana" w:cs="Arial"/>
          <w:b/>
        </w:rPr>
        <w:t xml:space="preserve">Chiffre d’affaires de </w:t>
      </w:r>
      <w:r w:rsidR="001C3073" w:rsidRPr="00446A85">
        <w:rPr>
          <w:rFonts w:ascii="Verdana" w:hAnsi="Verdana" w:cs="Arial"/>
          <w:b/>
        </w:rPr>
        <w:t>7 581</w:t>
      </w:r>
      <w:r w:rsidR="00C23C44" w:rsidRPr="00446A85">
        <w:rPr>
          <w:rFonts w:ascii="Verdana" w:hAnsi="Verdana" w:cs="Arial"/>
          <w:b/>
        </w:rPr>
        <w:t xml:space="preserve"> </w:t>
      </w:r>
      <w:r w:rsidRPr="00446A85">
        <w:rPr>
          <w:rFonts w:ascii="Verdana" w:hAnsi="Verdana" w:cs="Arial"/>
          <w:b/>
        </w:rPr>
        <w:t>millions d’euros</w:t>
      </w:r>
      <w:r w:rsidR="00AB4DBF" w:rsidRPr="00446A85">
        <w:rPr>
          <w:rFonts w:ascii="Verdana" w:hAnsi="Verdana" w:cs="Arial"/>
          <w:b/>
        </w:rPr>
        <w:t>,</w:t>
      </w:r>
      <w:r w:rsidRPr="00446A85">
        <w:rPr>
          <w:rFonts w:ascii="Verdana" w:hAnsi="Verdana" w:cs="Arial"/>
          <w:b/>
        </w:rPr>
        <w:t xml:space="preserve"> </w:t>
      </w:r>
      <w:r w:rsidR="00AB4DBF" w:rsidRPr="00446A85">
        <w:rPr>
          <w:rFonts w:ascii="Verdana" w:hAnsi="Verdana" w:cs="Arial"/>
          <w:b/>
        </w:rPr>
        <w:t xml:space="preserve">en hausse de </w:t>
      </w:r>
      <w:r w:rsidR="00D71ED2">
        <w:rPr>
          <w:rFonts w:ascii="Verdana" w:hAnsi="Verdana" w:cs="Arial"/>
          <w:b/>
        </w:rPr>
        <w:t>+</w:t>
      </w:r>
      <w:r w:rsidR="001C3073" w:rsidRPr="00446A85">
        <w:rPr>
          <w:rFonts w:ascii="Verdana" w:hAnsi="Verdana" w:cs="Arial"/>
          <w:b/>
        </w:rPr>
        <w:t>8,2</w:t>
      </w:r>
      <w:r w:rsidR="00AB4DBF" w:rsidRPr="00446A85">
        <w:rPr>
          <w:rFonts w:ascii="Verdana" w:hAnsi="Verdana" w:cs="Arial"/>
          <w:b/>
        </w:rPr>
        <w:t>%</w:t>
      </w:r>
      <w:r w:rsidR="003D289E" w:rsidRPr="00446A85">
        <w:rPr>
          <w:rFonts w:ascii="Verdana" w:hAnsi="Verdana" w:cs="Arial"/>
          <w:b/>
        </w:rPr>
        <w:t xml:space="preserve"> avec </w:t>
      </w:r>
      <w:r w:rsidR="00ED081F">
        <w:rPr>
          <w:rFonts w:ascii="Verdana" w:hAnsi="Verdana" w:cs="Arial"/>
          <w:b/>
        </w:rPr>
        <w:t xml:space="preserve">l’acquisition </w:t>
      </w:r>
      <w:r w:rsidR="003D289E" w:rsidRPr="00446A85">
        <w:rPr>
          <w:rFonts w:ascii="Verdana" w:hAnsi="Verdana" w:cs="Arial"/>
          <w:b/>
        </w:rPr>
        <w:t xml:space="preserve">d’Altran </w:t>
      </w:r>
      <w:bookmarkStart w:id="1" w:name="_Hlk48212126"/>
    </w:p>
    <w:p w14:paraId="0F326FF7" w14:textId="0873DA78" w:rsidR="00925ADD" w:rsidRPr="00446A85" w:rsidRDefault="002B69DF" w:rsidP="00925ADD">
      <w:pPr>
        <w:pStyle w:val="ListParagraph"/>
        <w:numPr>
          <w:ilvl w:val="0"/>
          <w:numId w:val="4"/>
        </w:numPr>
        <w:spacing w:before="120" w:after="120" w:line="24" w:lineRule="atLeast"/>
        <w:ind w:left="284" w:hanging="218"/>
        <w:jc w:val="left"/>
        <w:rPr>
          <w:rFonts w:ascii="Verdana" w:hAnsi="Verdana" w:cs="Arial"/>
          <w:b/>
        </w:rPr>
      </w:pPr>
      <w:r w:rsidRPr="00446A85">
        <w:rPr>
          <w:rFonts w:ascii="Verdana" w:hAnsi="Verdana" w:cs="Arial"/>
          <w:b/>
        </w:rPr>
        <w:t xml:space="preserve">Croissance de </w:t>
      </w:r>
      <w:r w:rsidR="00D71ED2">
        <w:rPr>
          <w:rFonts w:ascii="Verdana" w:hAnsi="Verdana" w:cs="Arial"/>
          <w:b/>
        </w:rPr>
        <w:t>+</w:t>
      </w:r>
      <w:r w:rsidR="001C3073" w:rsidRPr="00446A85">
        <w:rPr>
          <w:rFonts w:ascii="Verdana" w:hAnsi="Verdana" w:cs="Arial"/>
          <w:b/>
        </w:rPr>
        <w:t>7,9</w:t>
      </w:r>
      <w:r w:rsidR="00B00202" w:rsidRPr="00446A85">
        <w:rPr>
          <w:rFonts w:ascii="Verdana" w:hAnsi="Verdana" w:cs="Arial"/>
          <w:b/>
        </w:rPr>
        <w:t xml:space="preserve">% à taux de change constants </w:t>
      </w:r>
      <w:bookmarkEnd w:id="1"/>
      <w:r w:rsidR="00925ADD" w:rsidRPr="00446A85">
        <w:rPr>
          <w:rFonts w:ascii="Verdana" w:hAnsi="Verdana" w:cs="Arial"/>
          <w:b/>
        </w:rPr>
        <w:t>et de -3,4% en organique</w:t>
      </w:r>
      <w:r w:rsidR="00925ADD" w:rsidRPr="00446A85">
        <w:rPr>
          <w:vertAlign w:val="superscript"/>
        </w:rPr>
        <w:t>*</w:t>
      </w:r>
      <w:r w:rsidR="000A5626" w:rsidRPr="00446A85">
        <w:rPr>
          <w:vertAlign w:val="superscript"/>
        </w:rPr>
        <w:t xml:space="preserve"> </w:t>
      </w:r>
      <w:r w:rsidR="000A5626" w:rsidRPr="00446A85">
        <w:rPr>
          <w:rFonts w:ascii="Verdana" w:hAnsi="Verdana" w:cs="Arial"/>
          <w:b/>
        </w:rPr>
        <w:t xml:space="preserve">sur le </w:t>
      </w:r>
      <w:r w:rsidR="00925ADD" w:rsidRPr="00446A85">
        <w:rPr>
          <w:rFonts w:ascii="Verdana" w:hAnsi="Verdana" w:cs="Arial"/>
          <w:b/>
        </w:rPr>
        <w:t>1</w:t>
      </w:r>
      <w:r w:rsidR="00925ADD" w:rsidRPr="00907331">
        <w:rPr>
          <w:rFonts w:ascii="Verdana" w:hAnsi="Verdana" w:cs="Arial"/>
          <w:b/>
          <w:vertAlign w:val="superscript"/>
        </w:rPr>
        <w:t>er</w:t>
      </w:r>
      <w:r w:rsidR="00925ADD" w:rsidRPr="00446A85">
        <w:rPr>
          <w:rFonts w:ascii="Verdana" w:hAnsi="Verdana" w:cs="Arial"/>
          <w:b/>
        </w:rPr>
        <w:t xml:space="preserve"> semestre</w:t>
      </w:r>
    </w:p>
    <w:p w14:paraId="420B281E" w14:textId="712C18C0" w:rsidR="00EE61F3" w:rsidRPr="00446A85" w:rsidRDefault="00EE61F3" w:rsidP="00391FBA">
      <w:pPr>
        <w:pStyle w:val="ListParagraph"/>
        <w:numPr>
          <w:ilvl w:val="0"/>
          <w:numId w:val="4"/>
        </w:numPr>
        <w:spacing w:before="120" w:after="120" w:line="24" w:lineRule="atLeast"/>
        <w:ind w:left="284" w:hanging="218"/>
        <w:jc w:val="left"/>
        <w:rPr>
          <w:rFonts w:ascii="Verdana" w:hAnsi="Verdana" w:cs="Arial"/>
          <w:b/>
        </w:rPr>
      </w:pPr>
      <w:r w:rsidRPr="00446A85">
        <w:rPr>
          <w:rFonts w:ascii="Verdana" w:hAnsi="Verdana" w:cs="Arial"/>
          <w:b/>
        </w:rPr>
        <w:t xml:space="preserve">Croissance </w:t>
      </w:r>
      <w:r w:rsidR="00BD21AE">
        <w:rPr>
          <w:rFonts w:ascii="Verdana" w:hAnsi="Verdana" w:cs="Arial"/>
          <w:b/>
        </w:rPr>
        <w:t>de +</w:t>
      </w:r>
      <w:r w:rsidR="00054EF6" w:rsidRPr="00446A85">
        <w:rPr>
          <w:rFonts w:ascii="Verdana" w:hAnsi="Verdana" w:cs="Arial"/>
          <w:b/>
        </w:rPr>
        <w:t xml:space="preserve">13,4% </w:t>
      </w:r>
      <w:r w:rsidRPr="00446A85">
        <w:rPr>
          <w:rFonts w:ascii="Verdana" w:hAnsi="Verdana" w:cs="Arial"/>
          <w:b/>
        </w:rPr>
        <w:t xml:space="preserve">à taux de change constants </w:t>
      </w:r>
      <w:r w:rsidR="00230936" w:rsidRPr="00446A85">
        <w:rPr>
          <w:rFonts w:ascii="Verdana" w:hAnsi="Verdana" w:cs="Arial"/>
          <w:b/>
        </w:rPr>
        <w:t>et de -7,7% en organique</w:t>
      </w:r>
      <w:r w:rsidR="00230936" w:rsidRPr="00446A85">
        <w:rPr>
          <w:vertAlign w:val="superscript"/>
        </w:rPr>
        <w:t>*</w:t>
      </w:r>
      <w:r w:rsidR="000A5626" w:rsidRPr="00446A85">
        <w:rPr>
          <w:rFonts w:ascii="Verdana" w:hAnsi="Verdana" w:cs="Arial"/>
          <w:b/>
        </w:rPr>
        <w:t xml:space="preserve"> sur le</w:t>
      </w:r>
      <w:r w:rsidRPr="00446A85">
        <w:rPr>
          <w:rFonts w:ascii="Verdana" w:hAnsi="Verdana" w:cs="Arial"/>
          <w:b/>
        </w:rPr>
        <w:t xml:space="preserve"> 2</w:t>
      </w:r>
      <w:r w:rsidRPr="00446A85">
        <w:rPr>
          <w:rFonts w:ascii="Verdana" w:hAnsi="Verdana" w:cs="Arial"/>
          <w:b/>
          <w:vertAlign w:val="superscript"/>
        </w:rPr>
        <w:t>ème</w:t>
      </w:r>
      <w:r w:rsidRPr="00446A85">
        <w:rPr>
          <w:rFonts w:ascii="Verdana" w:hAnsi="Verdana" w:cs="Arial"/>
          <w:b/>
        </w:rPr>
        <w:t xml:space="preserve"> trimestre</w:t>
      </w:r>
    </w:p>
    <w:p w14:paraId="15CB51B3" w14:textId="4F235E20" w:rsidR="00481E71" w:rsidRPr="00446A85" w:rsidRDefault="002B15F6" w:rsidP="2C79DB7B">
      <w:pPr>
        <w:pStyle w:val="ListParagraph"/>
        <w:numPr>
          <w:ilvl w:val="0"/>
          <w:numId w:val="4"/>
        </w:numPr>
        <w:spacing w:before="120" w:after="120" w:line="23" w:lineRule="atLeast"/>
        <w:ind w:left="283" w:hanging="215"/>
        <w:jc w:val="left"/>
        <w:rPr>
          <w:rFonts w:ascii="Verdana" w:hAnsi="Verdana" w:cs="Arial"/>
          <w:b/>
          <w:bCs/>
        </w:rPr>
      </w:pPr>
      <w:r>
        <w:rPr>
          <w:rFonts w:ascii="Verdana" w:hAnsi="Verdana" w:cs="Arial"/>
          <w:b/>
          <w:bCs/>
        </w:rPr>
        <w:t>M</w:t>
      </w:r>
      <w:r w:rsidR="00481E71" w:rsidRPr="2C79DB7B">
        <w:rPr>
          <w:rFonts w:ascii="Verdana" w:hAnsi="Verdana" w:cs="Arial"/>
          <w:b/>
          <w:bCs/>
        </w:rPr>
        <w:t>arge opérationnelle</w:t>
      </w:r>
      <w:r w:rsidR="00481E71" w:rsidRPr="00694DF6">
        <w:rPr>
          <w:rFonts w:ascii="Verdana" w:hAnsi="Verdana" w:cs="Arial"/>
          <w:b/>
          <w:bCs/>
          <w:vertAlign w:val="superscript"/>
        </w:rPr>
        <w:fldChar w:fldCharType="begin"/>
      </w:r>
      <w:r w:rsidR="00481E71" w:rsidRPr="00694DF6">
        <w:rPr>
          <w:rFonts w:ascii="Verdana" w:hAnsi="Verdana" w:cs="Arial"/>
          <w:b/>
          <w:bCs/>
          <w:vertAlign w:val="superscript"/>
        </w:rPr>
        <w:instrText xml:space="preserve"> NOTEREF _Ref13738408 \h  \* MERGEFORMAT </w:instrText>
      </w:r>
      <w:r w:rsidR="00481E71" w:rsidRPr="00694DF6">
        <w:rPr>
          <w:rFonts w:ascii="Verdana" w:hAnsi="Verdana" w:cs="Arial"/>
          <w:b/>
          <w:bCs/>
          <w:vertAlign w:val="superscript"/>
        </w:rPr>
      </w:r>
      <w:r w:rsidR="00481E71" w:rsidRPr="00694DF6">
        <w:rPr>
          <w:rFonts w:ascii="Verdana" w:hAnsi="Verdana" w:cs="Arial"/>
          <w:b/>
          <w:bCs/>
          <w:vertAlign w:val="superscript"/>
        </w:rPr>
        <w:fldChar w:fldCharType="separate"/>
      </w:r>
      <w:r w:rsidR="00B02E5E" w:rsidRPr="002B15B1">
        <w:rPr>
          <w:vertAlign w:val="superscript"/>
        </w:rPr>
        <w:t>*</w:t>
      </w:r>
      <w:r w:rsidR="00481E71" w:rsidRPr="00694DF6">
        <w:rPr>
          <w:rFonts w:ascii="Verdana" w:hAnsi="Verdana" w:cs="Arial"/>
          <w:b/>
          <w:bCs/>
          <w:vertAlign w:val="superscript"/>
        </w:rPr>
        <w:fldChar w:fldCharType="end"/>
      </w:r>
      <w:r w:rsidR="00481E71" w:rsidRPr="2C79DB7B">
        <w:rPr>
          <w:rFonts w:ascii="Verdana" w:hAnsi="Verdana" w:cs="Arial"/>
          <w:b/>
          <w:bCs/>
        </w:rPr>
        <w:t xml:space="preserve"> </w:t>
      </w:r>
      <w:r w:rsidR="00F351FF">
        <w:rPr>
          <w:rFonts w:ascii="Verdana" w:hAnsi="Verdana" w:cs="Arial"/>
          <w:b/>
          <w:bCs/>
        </w:rPr>
        <w:t xml:space="preserve">en hausse de </w:t>
      </w:r>
      <w:r w:rsidR="008926F4">
        <w:rPr>
          <w:rFonts w:ascii="Verdana" w:hAnsi="Verdana" w:cs="Arial"/>
          <w:b/>
          <w:bCs/>
        </w:rPr>
        <w:t>+</w:t>
      </w:r>
      <w:r w:rsidR="00F351FF">
        <w:rPr>
          <w:rFonts w:ascii="Verdana" w:hAnsi="Verdana" w:cs="Arial"/>
          <w:b/>
          <w:bCs/>
        </w:rPr>
        <w:t xml:space="preserve">3% en valeur et </w:t>
      </w:r>
      <w:r w:rsidR="00481E71" w:rsidRPr="2C79DB7B">
        <w:rPr>
          <w:rFonts w:ascii="Verdana" w:hAnsi="Verdana" w:cs="Arial"/>
          <w:b/>
          <w:bCs/>
        </w:rPr>
        <w:t xml:space="preserve">en retrait </w:t>
      </w:r>
      <w:r w:rsidR="11155CBD" w:rsidRPr="2C79DB7B">
        <w:rPr>
          <w:rFonts w:ascii="Verdana" w:hAnsi="Verdana" w:cs="Arial"/>
          <w:b/>
          <w:bCs/>
        </w:rPr>
        <w:t xml:space="preserve">limité </w:t>
      </w:r>
      <w:r w:rsidR="008F728C">
        <w:rPr>
          <w:rFonts w:ascii="Verdana" w:hAnsi="Verdana" w:cs="Arial"/>
          <w:b/>
          <w:bCs/>
        </w:rPr>
        <w:t>de</w:t>
      </w:r>
      <w:r w:rsidR="008F728C" w:rsidRPr="2C79DB7B">
        <w:rPr>
          <w:rFonts w:ascii="Verdana" w:hAnsi="Verdana" w:cs="Arial"/>
          <w:b/>
          <w:bCs/>
        </w:rPr>
        <w:t xml:space="preserve"> </w:t>
      </w:r>
      <w:r w:rsidR="008926F4">
        <w:rPr>
          <w:rFonts w:ascii="Verdana" w:hAnsi="Verdana" w:cs="Arial"/>
          <w:b/>
          <w:bCs/>
        </w:rPr>
        <w:t>-</w:t>
      </w:r>
      <w:r w:rsidR="00481E71" w:rsidRPr="2C79DB7B">
        <w:rPr>
          <w:rFonts w:ascii="Verdana" w:hAnsi="Verdana" w:cs="Arial"/>
          <w:b/>
          <w:bCs/>
        </w:rPr>
        <w:t xml:space="preserve">0,6 point </w:t>
      </w:r>
      <w:r w:rsidR="008F728C">
        <w:rPr>
          <w:rFonts w:ascii="Verdana" w:hAnsi="Verdana" w:cs="Arial"/>
          <w:b/>
          <w:bCs/>
        </w:rPr>
        <w:t>en taux, soit 10,8%</w:t>
      </w:r>
    </w:p>
    <w:p w14:paraId="48B24FB5" w14:textId="05A077BD" w:rsidR="00C23C44" w:rsidRPr="002F446E" w:rsidRDefault="00241F09" w:rsidP="00AB4DBF">
      <w:pPr>
        <w:pStyle w:val="ListParagraph"/>
        <w:numPr>
          <w:ilvl w:val="0"/>
          <w:numId w:val="4"/>
        </w:numPr>
        <w:spacing w:before="120" w:after="120" w:line="24" w:lineRule="atLeast"/>
        <w:ind w:left="284" w:hanging="218"/>
        <w:jc w:val="left"/>
        <w:rPr>
          <w:rFonts w:ascii="Verdana" w:hAnsi="Verdana" w:cs="Arial"/>
          <w:b/>
        </w:rPr>
      </w:pPr>
      <w:r>
        <w:rPr>
          <w:rFonts w:ascii="Verdana" w:hAnsi="Verdana" w:cs="Arial"/>
          <w:b/>
        </w:rPr>
        <w:t xml:space="preserve">Recul </w:t>
      </w:r>
      <w:r w:rsidR="0079218C" w:rsidRPr="002F446E">
        <w:rPr>
          <w:rFonts w:ascii="Verdana" w:hAnsi="Verdana" w:cs="Arial"/>
          <w:b/>
        </w:rPr>
        <w:t xml:space="preserve">de </w:t>
      </w:r>
      <w:r w:rsidR="00CE22D9">
        <w:rPr>
          <w:rFonts w:ascii="Verdana" w:hAnsi="Verdana" w:cs="Arial"/>
          <w:b/>
        </w:rPr>
        <w:t>-</w:t>
      </w:r>
      <w:r>
        <w:rPr>
          <w:rFonts w:ascii="Verdana" w:hAnsi="Verdana" w:cs="Arial"/>
          <w:b/>
        </w:rPr>
        <w:t>4</w:t>
      </w:r>
      <w:r w:rsidR="0079218C" w:rsidRPr="002F446E">
        <w:rPr>
          <w:rFonts w:ascii="Verdana" w:hAnsi="Verdana" w:cs="Arial"/>
          <w:b/>
        </w:rPr>
        <w:t>% du r</w:t>
      </w:r>
      <w:r w:rsidR="00C23C44" w:rsidRPr="002F446E">
        <w:rPr>
          <w:rFonts w:ascii="Verdana" w:hAnsi="Verdana" w:cs="Arial"/>
          <w:b/>
        </w:rPr>
        <w:t>ésultat normalisé par action</w:t>
      </w:r>
      <w:r w:rsidR="00701F43" w:rsidRPr="00517B5F">
        <w:rPr>
          <w:rFonts w:ascii="Verdana" w:hAnsi="Verdana" w:cs="Arial"/>
          <w:b/>
          <w:vertAlign w:val="superscript"/>
        </w:rPr>
        <w:fldChar w:fldCharType="begin"/>
      </w:r>
      <w:r w:rsidR="00701F43" w:rsidRPr="00694DF6">
        <w:rPr>
          <w:rFonts w:ascii="Verdana" w:hAnsi="Verdana" w:cs="Arial"/>
          <w:b/>
          <w:vertAlign w:val="superscript"/>
        </w:rPr>
        <w:instrText xml:space="preserve"> NOTEREF _Ref13738408 \h  \* MERGEFORMAT </w:instrText>
      </w:r>
      <w:r w:rsidR="00701F43" w:rsidRPr="00517B5F">
        <w:rPr>
          <w:rFonts w:ascii="Verdana" w:hAnsi="Verdana" w:cs="Arial"/>
          <w:b/>
          <w:vertAlign w:val="superscript"/>
        </w:rPr>
      </w:r>
      <w:r w:rsidR="00701F43" w:rsidRPr="00517B5F">
        <w:rPr>
          <w:rFonts w:ascii="Verdana" w:hAnsi="Verdana" w:cs="Arial"/>
          <w:b/>
          <w:vertAlign w:val="superscript"/>
        </w:rPr>
        <w:fldChar w:fldCharType="separate"/>
      </w:r>
      <w:r w:rsidR="00B02E5E" w:rsidRPr="002B15B1">
        <w:rPr>
          <w:vertAlign w:val="superscript"/>
        </w:rPr>
        <w:t>*</w:t>
      </w:r>
      <w:r w:rsidR="00701F43" w:rsidRPr="00517B5F">
        <w:rPr>
          <w:rFonts w:ascii="Verdana" w:hAnsi="Verdana" w:cs="Arial"/>
          <w:b/>
          <w:vertAlign w:val="superscript"/>
        </w:rPr>
        <w:fldChar w:fldCharType="end"/>
      </w:r>
      <w:r w:rsidR="00C23C44" w:rsidRPr="002F446E">
        <w:rPr>
          <w:rFonts w:ascii="Verdana" w:hAnsi="Verdana" w:cs="Arial"/>
          <w:b/>
        </w:rPr>
        <w:t xml:space="preserve"> </w:t>
      </w:r>
      <w:r w:rsidR="006A4814">
        <w:rPr>
          <w:rFonts w:ascii="Verdana" w:hAnsi="Verdana" w:cs="Arial"/>
          <w:b/>
        </w:rPr>
        <w:t xml:space="preserve">et de </w:t>
      </w:r>
      <w:r w:rsidR="00CE22D9">
        <w:rPr>
          <w:rFonts w:ascii="Verdana" w:hAnsi="Verdana" w:cs="Arial"/>
          <w:b/>
        </w:rPr>
        <w:t>-</w:t>
      </w:r>
      <w:bookmarkStart w:id="2" w:name="_GoBack"/>
      <w:bookmarkEnd w:id="2"/>
      <w:r w:rsidR="006A4814">
        <w:rPr>
          <w:rFonts w:ascii="Verdana" w:hAnsi="Verdana" w:cs="Arial"/>
          <w:b/>
        </w:rPr>
        <w:t>20</w:t>
      </w:r>
      <w:r w:rsidR="006A4814" w:rsidRPr="002F446E">
        <w:rPr>
          <w:rFonts w:ascii="Verdana" w:hAnsi="Verdana" w:cs="Arial"/>
          <w:b/>
        </w:rPr>
        <w:t xml:space="preserve">% du résultat net </w:t>
      </w:r>
      <w:r w:rsidR="008A5A32">
        <w:rPr>
          <w:rFonts w:ascii="Verdana" w:hAnsi="Verdana" w:cs="Arial"/>
          <w:b/>
        </w:rPr>
        <w:t>part du Groupe</w:t>
      </w:r>
    </w:p>
    <w:p w14:paraId="2FC97A2E" w14:textId="55B9C268" w:rsidR="00B00202" w:rsidRPr="000734E0" w:rsidRDefault="00B00202" w:rsidP="2C79DB7B">
      <w:pPr>
        <w:pStyle w:val="ListParagraph"/>
        <w:numPr>
          <w:ilvl w:val="0"/>
          <w:numId w:val="4"/>
        </w:numPr>
        <w:spacing w:before="120" w:after="120" w:line="24" w:lineRule="atLeast"/>
        <w:ind w:left="284" w:hanging="218"/>
        <w:jc w:val="left"/>
        <w:rPr>
          <w:rFonts w:ascii="Verdana" w:hAnsi="Verdana" w:cs="Arial"/>
          <w:b/>
          <w:bCs/>
        </w:rPr>
      </w:pPr>
      <w:r w:rsidRPr="2C79DB7B">
        <w:rPr>
          <w:rFonts w:ascii="Verdana" w:hAnsi="Verdana" w:cs="Arial"/>
          <w:b/>
          <w:bCs/>
          <w:i/>
          <w:iCs/>
        </w:rPr>
        <w:t xml:space="preserve">Free </w:t>
      </w:r>
      <w:r w:rsidR="00076691" w:rsidRPr="2C79DB7B">
        <w:rPr>
          <w:rFonts w:ascii="Verdana" w:hAnsi="Verdana" w:cs="Arial"/>
          <w:b/>
          <w:bCs/>
          <w:i/>
          <w:iCs/>
        </w:rPr>
        <w:t>cash-flow</w:t>
      </w:r>
      <w:r w:rsidRPr="2C79DB7B">
        <w:rPr>
          <w:rFonts w:ascii="Verdana" w:hAnsi="Verdana" w:cs="Arial"/>
          <w:b/>
          <w:bCs/>
        </w:rPr>
        <w:t xml:space="preserve"> organique</w:t>
      </w:r>
      <w:bookmarkStart w:id="3" w:name="_Ref13738408"/>
      <w:r w:rsidR="00701F43" w:rsidRPr="2C79DB7B">
        <w:rPr>
          <w:rStyle w:val="FootnoteReference"/>
          <w:rFonts w:ascii="Verdana" w:hAnsi="Verdana" w:cs="Arial"/>
          <w:b/>
          <w:bCs/>
        </w:rPr>
        <w:footnoteReference w:customMarkFollows="1" w:id="2"/>
        <w:t>*</w:t>
      </w:r>
      <w:bookmarkEnd w:id="3"/>
      <w:r w:rsidRPr="2C79DB7B">
        <w:rPr>
          <w:rFonts w:ascii="Verdana" w:hAnsi="Verdana" w:cs="Arial"/>
          <w:b/>
          <w:bCs/>
        </w:rPr>
        <w:t xml:space="preserve"> </w:t>
      </w:r>
      <w:r w:rsidR="000734E0" w:rsidRPr="2C79DB7B">
        <w:rPr>
          <w:rFonts w:ascii="Verdana" w:hAnsi="Verdana" w:cs="Arial"/>
          <w:b/>
          <w:bCs/>
        </w:rPr>
        <w:t>en</w:t>
      </w:r>
      <w:r w:rsidR="000734E0" w:rsidRPr="006B1196">
        <w:rPr>
          <w:rFonts w:ascii="Verdana" w:hAnsi="Verdana" w:cs="Arial"/>
          <w:b/>
          <w:bCs/>
        </w:rPr>
        <w:t xml:space="preserve"> hausse</w:t>
      </w:r>
      <w:r w:rsidR="7ACF4952" w:rsidRPr="2C79DB7B">
        <w:rPr>
          <w:rFonts w:ascii="Verdana" w:hAnsi="Verdana" w:cs="Arial"/>
          <w:b/>
          <w:bCs/>
        </w:rPr>
        <w:t xml:space="preserve"> de 16 millions d’euros</w:t>
      </w:r>
      <w:r w:rsidR="000734E0" w:rsidRPr="006B1196">
        <w:rPr>
          <w:rFonts w:ascii="Verdana" w:hAnsi="Verdana" w:cs="Arial"/>
          <w:b/>
          <w:bCs/>
        </w:rPr>
        <w:t xml:space="preserve"> </w:t>
      </w:r>
      <w:r w:rsidR="00983F9E" w:rsidRPr="2C79DB7B">
        <w:rPr>
          <w:rFonts w:ascii="Verdana" w:hAnsi="Verdana" w:cs="Arial"/>
          <w:b/>
          <w:bCs/>
        </w:rPr>
        <w:t xml:space="preserve">à </w:t>
      </w:r>
      <w:r w:rsidR="00241F09" w:rsidRPr="2C79DB7B">
        <w:rPr>
          <w:rFonts w:ascii="Verdana" w:hAnsi="Verdana" w:cs="Arial"/>
          <w:b/>
          <w:bCs/>
        </w:rPr>
        <w:t>106</w:t>
      </w:r>
      <w:r w:rsidR="005D1EB9" w:rsidRPr="2C79DB7B">
        <w:rPr>
          <w:rFonts w:ascii="Verdana" w:hAnsi="Verdana" w:cs="Arial"/>
          <w:b/>
          <w:bCs/>
        </w:rPr>
        <w:t xml:space="preserve"> millions d’euros</w:t>
      </w:r>
    </w:p>
    <w:p w14:paraId="49003CD9" w14:textId="774425A6" w:rsidR="00643C99" w:rsidRPr="000734E0" w:rsidRDefault="00643C99" w:rsidP="00B00202">
      <w:pPr>
        <w:spacing w:before="120" w:after="120"/>
        <w:ind w:left="567" w:hanging="218"/>
        <w:rPr>
          <w:rFonts w:ascii="Verdana" w:hAnsi="Verdana"/>
        </w:rPr>
      </w:pPr>
    </w:p>
    <w:p w14:paraId="36A41753" w14:textId="77777777" w:rsidR="0079218C" w:rsidRPr="000734E0" w:rsidRDefault="0079218C" w:rsidP="002C22BA">
      <w:pPr>
        <w:spacing w:before="120" w:after="120" w:line="276" w:lineRule="auto"/>
        <w:rPr>
          <w:rFonts w:ascii="Verdana" w:hAnsi="Verdana" w:cs="Arial"/>
          <w:b/>
          <w:i/>
        </w:rPr>
      </w:pPr>
    </w:p>
    <w:p w14:paraId="006289D2" w14:textId="12D31D24" w:rsidR="00B00202" w:rsidRPr="002F446E" w:rsidRDefault="00B00202" w:rsidP="00907331">
      <w:pPr>
        <w:spacing w:before="120" w:after="120" w:line="276" w:lineRule="auto"/>
        <w:rPr>
          <w:rFonts w:ascii="Verdana" w:hAnsi="Verdana" w:cs="Arial"/>
        </w:rPr>
      </w:pPr>
      <w:r w:rsidRPr="002F446E">
        <w:rPr>
          <w:rFonts w:ascii="Verdana" w:hAnsi="Verdana" w:cs="Arial"/>
          <w:b/>
          <w:i/>
        </w:rPr>
        <w:t xml:space="preserve">Paris, le </w:t>
      </w:r>
      <w:r w:rsidR="00AA7755">
        <w:rPr>
          <w:rFonts w:ascii="Verdana" w:hAnsi="Verdana" w:cs="Arial"/>
          <w:b/>
          <w:i/>
        </w:rPr>
        <w:t>3 septembre</w:t>
      </w:r>
      <w:r w:rsidRPr="002F446E">
        <w:rPr>
          <w:rFonts w:ascii="Verdana" w:hAnsi="Verdana" w:cs="Arial"/>
          <w:b/>
          <w:i/>
        </w:rPr>
        <w:t xml:space="preserve"> </w:t>
      </w:r>
      <w:r w:rsidR="00230C70" w:rsidRPr="002F446E">
        <w:rPr>
          <w:rFonts w:ascii="Verdana" w:hAnsi="Verdana" w:cs="Arial"/>
          <w:b/>
          <w:i/>
        </w:rPr>
        <w:t>20</w:t>
      </w:r>
      <w:r w:rsidR="00AA7755">
        <w:rPr>
          <w:rFonts w:ascii="Verdana" w:hAnsi="Verdana" w:cs="Arial"/>
          <w:b/>
          <w:i/>
        </w:rPr>
        <w:t>20</w:t>
      </w:r>
      <w:r w:rsidR="00EE6B4D" w:rsidRPr="002F446E">
        <w:rPr>
          <w:rFonts w:ascii="Verdana" w:hAnsi="Verdana" w:cs="Arial"/>
          <w:b/>
          <w:i/>
        </w:rPr>
        <w:t xml:space="preserve"> </w:t>
      </w:r>
      <w:r w:rsidRPr="002F446E">
        <w:rPr>
          <w:rFonts w:ascii="Verdana" w:hAnsi="Verdana" w:cs="Arial"/>
          <w:b/>
          <w:i/>
        </w:rPr>
        <w:t>–</w:t>
      </w:r>
      <w:r w:rsidRPr="002F446E">
        <w:rPr>
          <w:rFonts w:ascii="Verdana" w:hAnsi="Verdana" w:cs="Arial"/>
        </w:rPr>
        <w:t xml:space="preserve"> Réuni à Paris </w:t>
      </w:r>
      <w:r w:rsidR="00701F43" w:rsidRPr="002F446E">
        <w:rPr>
          <w:rFonts w:ascii="Verdana" w:hAnsi="Verdana" w:cs="Arial"/>
        </w:rPr>
        <w:t xml:space="preserve">le </w:t>
      </w:r>
      <w:r w:rsidR="00AA7755">
        <w:rPr>
          <w:rFonts w:ascii="Verdana" w:hAnsi="Verdana" w:cs="Arial"/>
        </w:rPr>
        <w:t xml:space="preserve">2 septembre </w:t>
      </w:r>
      <w:r w:rsidR="00701F43" w:rsidRPr="002F446E">
        <w:rPr>
          <w:rFonts w:ascii="Verdana" w:hAnsi="Verdana" w:cs="Arial"/>
        </w:rPr>
        <w:t>20</w:t>
      </w:r>
      <w:r w:rsidR="00AA7755">
        <w:rPr>
          <w:rFonts w:ascii="Verdana" w:hAnsi="Verdana" w:cs="Arial"/>
        </w:rPr>
        <w:t>20</w:t>
      </w:r>
      <w:r w:rsidRPr="002F446E">
        <w:rPr>
          <w:rFonts w:ascii="Verdana" w:hAnsi="Verdana" w:cs="Arial"/>
        </w:rPr>
        <w:t xml:space="preserve"> sous la présidence de Paul Hermelin, le Conseil d’Administration de Capgemini SE a examiné les comptes</w:t>
      </w:r>
      <w:bookmarkStart w:id="4" w:name="_Ref13738149"/>
      <w:r w:rsidRPr="002F446E">
        <w:rPr>
          <w:rStyle w:val="FootnoteReference"/>
          <w:rFonts w:ascii="Verdana" w:hAnsi="Verdana" w:cs="Arial"/>
        </w:rPr>
        <w:footnoteReference w:id="3"/>
      </w:r>
      <w:bookmarkEnd w:id="4"/>
      <w:r w:rsidRPr="002F446E">
        <w:rPr>
          <w:rFonts w:ascii="Verdana" w:hAnsi="Verdana" w:cs="Arial"/>
        </w:rPr>
        <w:t xml:space="preserve"> du groupe Capgemini pour le 1</w:t>
      </w:r>
      <w:r w:rsidRPr="002F446E">
        <w:rPr>
          <w:rFonts w:ascii="Verdana" w:hAnsi="Verdana" w:cs="Arial"/>
          <w:vertAlign w:val="superscript"/>
        </w:rPr>
        <w:t>er </w:t>
      </w:r>
      <w:r w:rsidRPr="002F446E">
        <w:rPr>
          <w:rFonts w:ascii="Verdana" w:hAnsi="Verdana" w:cs="Arial"/>
        </w:rPr>
        <w:t xml:space="preserve">semestre </w:t>
      </w:r>
      <w:r w:rsidR="00230C70" w:rsidRPr="002F446E">
        <w:rPr>
          <w:rFonts w:ascii="Verdana" w:hAnsi="Verdana" w:cs="Arial"/>
        </w:rPr>
        <w:t>20</w:t>
      </w:r>
      <w:r w:rsidR="00AA7755">
        <w:rPr>
          <w:rFonts w:ascii="Verdana" w:hAnsi="Verdana" w:cs="Arial"/>
        </w:rPr>
        <w:t>20</w:t>
      </w:r>
      <w:r w:rsidRPr="002F446E">
        <w:rPr>
          <w:rFonts w:ascii="Verdana" w:hAnsi="Verdana" w:cs="Arial"/>
        </w:rPr>
        <w:t xml:space="preserve">. </w:t>
      </w:r>
    </w:p>
    <w:p w14:paraId="537AE08C" w14:textId="2CBBF941" w:rsidR="00F506BE" w:rsidRPr="004D6D2A" w:rsidRDefault="000A3B7B" w:rsidP="00F506BE">
      <w:pPr>
        <w:spacing w:before="120" w:after="120" w:line="276" w:lineRule="auto"/>
        <w:rPr>
          <w:rFonts w:ascii="Verdana" w:hAnsi="Verdana" w:cs="Arial"/>
          <w:i/>
          <w:iCs/>
        </w:rPr>
      </w:pPr>
      <w:r w:rsidRPr="000A3B7B">
        <w:rPr>
          <w:rFonts w:ascii="Verdana" w:hAnsi="Verdana" w:cs="Arial"/>
        </w:rPr>
        <w:t>Pour Aiman Ezzat, Directeur général du groupe Capgemini : «</w:t>
      </w:r>
      <w:r w:rsidR="00023C18">
        <w:rPr>
          <w:rFonts w:ascii="Verdana" w:hAnsi="Verdana" w:cs="Arial"/>
        </w:rPr>
        <w:t xml:space="preserve"> </w:t>
      </w:r>
      <w:r w:rsidR="006A4B94">
        <w:rPr>
          <w:rFonts w:ascii="Verdana" w:hAnsi="Verdana" w:cs="Arial"/>
          <w:i/>
          <w:iCs/>
        </w:rPr>
        <w:t xml:space="preserve">Nous avons réalisé une </w:t>
      </w:r>
      <w:r w:rsidR="00F506BE" w:rsidRPr="00CF3324">
        <w:rPr>
          <w:rFonts w:ascii="Verdana" w:hAnsi="Verdana" w:cs="Arial"/>
          <w:i/>
          <w:iCs/>
        </w:rPr>
        <w:t xml:space="preserve">solide performance au </w:t>
      </w:r>
      <w:r w:rsidR="0002464A" w:rsidRPr="00CF3324">
        <w:rPr>
          <w:rFonts w:ascii="Verdana" w:hAnsi="Verdana" w:cs="Arial"/>
          <w:i/>
          <w:iCs/>
        </w:rPr>
        <w:t>premier</w:t>
      </w:r>
      <w:r w:rsidR="00F506BE" w:rsidRPr="004D6D2A">
        <w:rPr>
          <w:rFonts w:ascii="Verdana" w:hAnsi="Verdana" w:cs="Arial"/>
          <w:i/>
          <w:iCs/>
        </w:rPr>
        <w:t xml:space="preserve"> semestre. </w:t>
      </w:r>
      <w:r w:rsidR="006A4B94">
        <w:rPr>
          <w:rFonts w:ascii="Verdana" w:hAnsi="Verdana" w:cs="Arial"/>
          <w:i/>
          <w:iCs/>
        </w:rPr>
        <w:t>Le Groupe a</w:t>
      </w:r>
      <w:r w:rsidR="004F02B9" w:rsidRPr="004D6D2A">
        <w:rPr>
          <w:rFonts w:ascii="Verdana" w:hAnsi="Verdana" w:cs="Arial"/>
          <w:i/>
          <w:iCs/>
        </w:rPr>
        <w:t xml:space="preserve"> assuré</w:t>
      </w:r>
      <w:r w:rsidR="00035070" w:rsidRPr="004D6D2A">
        <w:rPr>
          <w:rFonts w:ascii="Verdana" w:hAnsi="Verdana" w:cs="Arial"/>
          <w:i/>
          <w:iCs/>
        </w:rPr>
        <w:t xml:space="preserve"> l</w:t>
      </w:r>
      <w:r w:rsidR="00F506BE" w:rsidRPr="004D6D2A">
        <w:rPr>
          <w:rFonts w:ascii="Verdana" w:hAnsi="Verdana" w:cs="Arial"/>
          <w:i/>
          <w:iCs/>
        </w:rPr>
        <w:t xml:space="preserve">a continuité de service auprès de </w:t>
      </w:r>
      <w:r w:rsidR="006A4B94">
        <w:rPr>
          <w:rFonts w:ascii="Verdana" w:hAnsi="Verdana" w:cs="Arial"/>
          <w:i/>
          <w:iCs/>
        </w:rPr>
        <w:t>ses</w:t>
      </w:r>
      <w:r w:rsidR="006A4B94" w:rsidRPr="004D6D2A">
        <w:rPr>
          <w:rFonts w:ascii="Verdana" w:hAnsi="Verdana" w:cs="Arial"/>
          <w:i/>
          <w:iCs/>
        </w:rPr>
        <w:t xml:space="preserve"> </w:t>
      </w:r>
      <w:r w:rsidR="00F506BE" w:rsidRPr="004D6D2A">
        <w:rPr>
          <w:rFonts w:ascii="Verdana" w:hAnsi="Verdana" w:cs="Arial"/>
          <w:i/>
          <w:iCs/>
        </w:rPr>
        <w:t>clients</w:t>
      </w:r>
      <w:r w:rsidR="008F4019" w:rsidRPr="004D6D2A">
        <w:rPr>
          <w:rFonts w:ascii="Verdana" w:hAnsi="Verdana" w:cs="Arial"/>
          <w:i/>
          <w:iCs/>
        </w:rPr>
        <w:t xml:space="preserve"> </w:t>
      </w:r>
      <w:r w:rsidR="00805728" w:rsidRPr="004D6D2A">
        <w:rPr>
          <w:rFonts w:ascii="Verdana" w:hAnsi="Verdana" w:cs="Arial"/>
          <w:i/>
          <w:iCs/>
        </w:rPr>
        <w:t xml:space="preserve">tout </w:t>
      </w:r>
      <w:r w:rsidR="008F4019" w:rsidRPr="004D6D2A">
        <w:rPr>
          <w:rFonts w:ascii="Verdana" w:hAnsi="Verdana" w:cs="Arial"/>
          <w:i/>
          <w:iCs/>
        </w:rPr>
        <w:t xml:space="preserve">en </w:t>
      </w:r>
      <w:r w:rsidR="00FA7E07" w:rsidRPr="004D6D2A">
        <w:rPr>
          <w:rFonts w:ascii="Verdana" w:hAnsi="Verdana" w:cs="Arial"/>
          <w:i/>
          <w:iCs/>
        </w:rPr>
        <w:t>maintenant une forte dynamique commerciale</w:t>
      </w:r>
      <w:r w:rsidR="00F506BE" w:rsidRPr="004D6D2A">
        <w:rPr>
          <w:rFonts w:ascii="Verdana" w:hAnsi="Verdana" w:cs="Arial"/>
          <w:i/>
          <w:iCs/>
        </w:rPr>
        <w:t xml:space="preserve">. Je remercie tous les collaborateurs pour leur engagement remarquable tout au long de cette période. Ces résultats sont le fruit de notre forte réactivité face à la crise mais aussi du travail effectué depuis 10 ans pour </w:t>
      </w:r>
      <w:r w:rsidR="006C24E3" w:rsidRPr="004D6D2A">
        <w:rPr>
          <w:rFonts w:ascii="Verdana" w:hAnsi="Verdana" w:cs="Arial"/>
          <w:i/>
          <w:iCs/>
        </w:rPr>
        <w:t xml:space="preserve">améliorer notre </w:t>
      </w:r>
      <w:r w:rsidR="006C24E3">
        <w:rPr>
          <w:rFonts w:ascii="Verdana" w:hAnsi="Verdana" w:cs="Arial"/>
          <w:i/>
          <w:iCs/>
        </w:rPr>
        <w:t>modèle opérationnel</w:t>
      </w:r>
      <w:r w:rsidR="00B933E6">
        <w:rPr>
          <w:rFonts w:ascii="Verdana" w:hAnsi="Verdana" w:cs="Arial"/>
          <w:i/>
          <w:iCs/>
        </w:rPr>
        <w:t xml:space="preserve">, </w:t>
      </w:r>
      <w:r w:rsidR="00F506BE" w:rsidRPr="004D6D2A">
        <w:rPr>
          <w:rFonts w:ascii="Verdana" w:hAnsi="Verdana" w:cs="Arial"/>
          <w:i/>
          <w:iCs/>
        </w:rPr>
        <w:t>diversifi</w:t>
      </w:r>
      <w:r w:rsidR="005F60C5">
        <w:rPr>
          <w:rFonts w:ascii="Verdana" w:hAnsi="Verdana" w:cs="Arial"/>
          <w:i/>
          <w:iCs/>
        </w:rPr>
        <w:t>er</w:t>
      </w:r>
      <w:r w:rsidR="00F506BE" w:rsidRPr="004D6D2A">
        <w:rPr>
          <w:rFonts w:ascii="Verdana" w:hAnsi="Verdana" w:cs="Arial"/>
          <w:i/>
          <w:iCs/>
        </w:rPr>
        <w:t xml:space="preserve"> notre portefeuille d’activités</w:t>
      </w:r>
      <w:r w:rsidR="00D062D3">
        <w:rPr>
          <w:rFonts w:ascii="Verdana" w:hAnsi="Verdana" w:cs="Arial"/>
          <w:i/>
          <w:iCs/>
        </w:rPr>
        <w:t xml:space="preserve"> et </w:t>
      </w:r>
      <w:r w:rsidR="006221DE">
        <w:rPr>
          <w:rFonts w:ascii="Verdana" w:hAnsi="Verdana" w:cs="Arial"/>
          <w:i/>
          <w:iCs/>
        </w:rPr>
        <w:t xml:space="preserve">développer </w:t>
      </w:r>
      <w:r w:rsidR="00F506BE" w:rsidRPr="004D6D2A">
        <w:rPr>
          <w:rFonts w:ascii="Verdana" w:hAnsi="Verdana" w:cs="Arial"/>
          <w:i/>
          <w:iCs/>
        </w:rPr>
        <w:t>le digital et le cloud</w:t>
      </w:r>
      <w:r w:rsidR="006C24E3">
        <w:rPr>
          <w:rFonts w:ascii="Verdana" w:hAnsi="Verdana" w:cs="Arial"/>
          <w:i/>
          <w:iCs/>
        </w:rPr>
        <w:t>.</w:t>
      </w:r>
      <w:r w:rsidR="005F60C5" w:rsidRPr="005F60C5">
        <w:rPr>
          <w:rFonts w:ascii="Verdana" w:hAnsi="Verdana" w:cs="Arial"/>
          <w:i/>
          <w:iCs/>
        </w:rPr>
        <w:t xml:space="preserve"> </w:t>
      </w:r>
    </w:p>
    <w:p w14:paraId="2100BA44" w14:textId="6A748BDA" w:rsidR="00946B48" w:rsidRPr="004D6D2A" w:rsidRDefault="00630E05" w:rsidP="00946B48">
      <w:pPr>
        <w:spacing w:before="120" w:after="120" w:line="276" w:lineRule="auto"/>
        <w:rPr>
          <w:rFonts w:ascii="Verdana" w:hAnsi="Verdana" w:cs="Arial"/>
          <w:i/>
          <w:iCs/>
        </w:rPr>
      </w:pPr>
      <w:r>
        <w:rPr>
          <w:rFonts w:ascii="Verdana" w:hAnsi="Verdana" w:cs="Arial"/>
          <w:i/>
          <w:iCs/>
        </w:rPr>
        <w:t>A</w:t>
      </w:r>
      <w:r w:rsidR="00DD12F2">
        <w:rPr>
          <w:rFonts w:ascii="Verdana" w:hAnsi="Verdana" w:cs="Arial"/>
          <w:i/>
          <w:iCs/>
        </w:rPr>
        <w:t>ujourd’hui</w:t>
      </w:r>
      <w:r>
        <w:rPr>
          <w:rFonts w:ascii="Verdana" w:hAnsi="Verdana" w:cs="Arial"/>
          <w:i/>
          <w:iCs/>
        </w:rPr>
        <w:t>,</w:t>
      </w:r>
      <w:r w:rsidR="00DD12F2">
        <w:rPr>
          <w:rFonts w:ascii="Verdana" w:hAnsi="Verdana" w:cs="Arial"/>
          <w:i/>
          <w:iCs/>
        </w:rPr>
        <w:t xml:space="preserve"> </w:t>
      </w:r>
      <w:r w:rsidR="00946B48">
        <w:rPr>
          <w:rFonts w:ascii="Verdana" w:hAnsi="Verdana" w:cs="Arial"/>
          <w:i/>
          <w:iCs/>
        </w:rPr>
        <w:t>nous communiquons</w:t>
      </w:r>
      <w:r>
        <w:rPr>
          <w:rFonts w:ascii="Verdana" w:hAnsi="Verdana" w:cs="Arial"/>
          <w:i/>
          <w:iCs/>
        </w:rPr>
        <w:t xml:space="preserve"> des objectifs </w:t>
      </w:r>
      <w:r w:rsidR="00946B48" w:rsidRPr="00E764A1">
        <w:rPr>
          <w:rFonts w:ascii="Verdana" w:hAnsi="Verdana" w:cs="Arial"/>
          <w:i/>
          <w:iCs/>
        </w:rPr>
        <w:t xml:space="preserve">pour </w:t>
      </w:r>
      <w:r w:rsidR="00946B48" w:rsidRPr="00DE0A56">
        <w:rPr>
          <w:rFonts w:ascii="Verdana" w:hAnsi="Verdana" w:cs="Arial"/>
          <w:i/>
          <w:iCs/>
        </w:rPr>
        <w:t xml:space="preserve">2020 </w:t>
      </w:r>
      <w:r w:rsidR="00830033">
        <w:rPr>
          <w:rFonts w:ascii="Verdana" w:hAnsi="Verdana" w:cs="Arial"/>
          <w:i/>
          <w:iCs/>
        </w:rPr>
        <w:t xml:space="preserve">qui </w:t>
      </w:r>
      <w:r w:rsidR="00946B48">
        <w:rPr>
          <w:rFonts w:ascii="Verdana" w:hAnsi="Verdana" w:cs="Arial"/>
          <w:i/>
          <w:iCs/>
        </w:rPr>
        <w:t xml:space="preserve">illustrent </w:t>
      </w:r>
      <w:r w:rsidR="00EC2795">
        <w:rPr>
          <w:rFonts w:ascii="Verdana" w:hAnsi="Verdana" w:cs="Arial"/>
          <w:i/>
          <w:iCs/>
        </w:rPr>
        <w:t xml:space="preserve">la </w:t>
      </w:r>
      <w:r w:rsidR="00946B48" w:rsidRPr="00E764A1">
        <w:rPr>
          <w:rFonts w:ascii="Verdana" w:hAnsi="Verdana" w:cs="Arial"/>
          <w:i/>
          <w:iCs/>
        </w:rPr>
        <w:t>résilience</w:t>
      </w:r>
      <w:r w:rsidR="00D42104">
        <w:rPr>
          <w:rFonts w:ascii="Verdana" w:hAnsi="Verdana" w:cs="Arial"/>
          <w:i/>
          <w:iCs/>
        </w:rPr>
        <w:t xml:space="preserve"> </w:t>
      </w:r>
      <w:r w:rsidR="00D04BA8">
        <w:rPr>
          <w:rFonts w:ascii="Verdana" w:hAnsi="Verdana" w:cs="Arial"/>
          <w:i/>
          <w:iCs/>
        </w:rPr>
        <w:t>du</w:t>
      </w:r>
      <w:r w:rsidR="00417A6F">
        <w:rPr>
          <w:rFonts w:ascii="Verdana" w:hAnsi="Verdana" w:cs="Arial"/>
          <w:i/>
          <w:iCs/>
        </w:rPr>
        <w:t xml:space="preserve"> </w:t>
      </w:r>
      <w:r w:rsidR="00D42104">
        <w:rPr>
          <w:rFonts w:ascii="Verdana" w:hAnsi="Verdana" w:cs="Arial"/>
          <w:i/>
          <w:iCs/>
        </w:rPr>
        <w:t>chiffre d’affaires</w:t>
      </w:r>
      <w:r w:rsidR="00C660CE">
        <w:rPr>
          <w:rFonts w:ascii="Verdana" w:hAnsi="Verdana" w:cs="Arial"/>
          <w:i/>
          <w:iCs/>
        </w:rPr>
        <w:t xml:space="preserve">, </w:t>
      </w:r>
      <w:r w:rsidR="002D453F">
        <w:rPr>
          <w:rFonts w:ascii="Verdana" w:hAnsi="Verdana" w:cs="Arial"/>
          <w:i/>
          <w:iCs/>
        </w:rPr>
        <w:t xml:space="preserve">de </w:t>
      </w:r>
      <w:r w:rsidR="00D04BA8">
        <w:rPr>
          <w:rFonts w:ascii="Verdana" w:hAnsi="Verdana" w:cs="Arial"/>
          <w:i/>
          <w:iCs/>
        </w:rPr>
        <w:t xml:space="preserve">la </w:t>
      </w:r>
      <w:r w:rsidR="005D0EF9">
        <w:rPr>
          <w:rFonts w:ascii="Verdana" w:hAnsi="Verdana" w:cs="Arial"/>
          <w:i/>
          <w:iCs/>
        </w:rPr>
        <w:t>profit</w:t>
      </w:r>
      <w:r w:rsidR="00D87797">
        <w:rPr>
          <w:rFonts w:ascii="Verdana" w:hAnsi="Verdana" w:cs="Arial"/>
          <w:i/>
          <w:iCs/>
        </w:rPr>
        <w:t>ab</w:t>
      </w:r>
      <w:r w:rsidR="00C32A82">
        <w:rPr>
          <w:rFonts w:ascii="Verdana" w:hAnsi="Verdana" w:cs="Arial"/>
          <w:i/>
          <w:iCs/>
        </w:rPr>
        <w:t xml:space="preserve">ilité </w:t>
      </w:r>
      <w:r w:rsidR="00C660CE">
        <w:rPr>
          <w:rFonts w:ascii="Verdana" w:hAnsi="Verdana" w:cs="Arial"/>
          <w:i/>
          <w:iCs/>
        </w:rPr>
        <w:t>et</w:t>
      </w:r>
      <w:r w:rsidR="00C32A82">
        <w:rPr>
          <w:rFonts w:ascii="Verdana" w:hAnsi="Verdana" w:cs="Arial"/>
          <w:i/>
          <w:iCs/>
        </w:rPr>
        <w:t xml:space="preserve"> </w:t>
      </w:r>
      <w:r w:rsidR="002D453F">
        <w:rPr>
          <w:rFonts w:ascii="Verdana" w:hAnsi="Verdana" w:cs="Arial"/>
          <w:i/>
          <w:iCs/>
        </w:rPr>
        <w:t xml:space="preserve">de </w:t>
      </w:r>
      <w:r w:rsidR="00C32A82">
        <w:rPr>
          <w:rFonts w:ascii="Verdana" w:hAnsi="Verdana" w:cs="Arial"/>
          <w:i/>
          <w:iCs/>
        </w:rPr>
        <w:t xml:space="preserve">la génération de </w:t>
      </w:r>
      <w:r w:rsidR="005D1095">
        <w:rPr>
          <w:rFonts w:ascii="Verdana" w:hAnsi="Verdana" w:cs="Arial"/>
          <w:i/>
          <w:iCs/>
        </w:rPr>
        <w:t>free-cash-flow</w:t>
      </w:r>
      <w:r w:rsidR="002D453F">
        <w:rPr>
          <w:rFonts w:ascii="Verdana" w:hAnsi="Verdana" w:cs="Arial"/>
          <w:i/>
          <w:iCs/>
        </w:rPr>
        <w:t xml:space="preserve"> organique</w:t>
      </w:r>
      <w:r w:rsidR="00946B48">
        <w:rPr>
          <w:rFonts w:ascii="Verdana" w:hAnsi="Verdana" w:cs="Arial"/>
          <w:i/>
          <w:iCs/>
        </w:rPr>
        <w:t>.</w:t>
      </w:r>
    </w:p>
    <w:p w14:paraId="2C054C4D" w14:textId="615C286D" w:rsidR="00F506BE" w:rsidRPr="004D6D2A" w:rsidRDefault="00F506BE" w:rsidP="00F506BE">
      <w:pPr>
        <w:spacing w:before="120" w:after="120" w:line="276" w:lineRule="auto"/>
        <w:rPr>
          <w:rFonts w:ascii="Verdana" w:hAnsi="Verdana" w:cs="Arial"/>
          <w:i/>
          <w:iCs/>
        </w:rPr>
      </w:pPr>
      <w:r w:rsidRPr="004D6D2A">
        <w:rPr>
          <w:rFonts w:ascii="Verdana" w:hAnsi="Verdana" w:cs="Arial"/>
          <w:i/>
          <w:iCs/>
        </w:rPr>
        <w:t xml:space="preserve">Ce semestre a également été marqué par la finalisation de l’acquisition d’Altran qui donne </w:t>
      </w:r>
      <w:r w:rsidR="00315F5F" w:rsidRPr="004D6D2A">
        <w:rPr>
          <w:rFonts w:ascii="Verdana" w:hAnsi="Verdana" w:cs="Arial"/>
          <w:i/>
          <w:iCs/>
        </w:rPr>
        <w:t xml:space="preserve">à notre Groupe </w:t>
      </w:r>
      <w:r w:rsidRPr="004D6D2A">
        <w:rPr>
          <w:rFonts w:ascii="Verdana" w:hAnsi="Verdana" w:cs="Arial"/>
          <w:i/>
          <w:iCs/>
        </w:rPr>
        <w:t>une nouvelle dimension et une place de leader sur le marché porteur de l</w:t>
      </w:r>
      <w:proofErr w:type="gramStart"/>
      <w:r w:rsidRPr="004D6D2A">
        <w:rPr>
          <w:rFonts w:ascii="Verdana" w:hAnsi="Verdana" w:cs="Arial"/>
          <w:i/>
          <w:iCs/>
        </w:rPr>
        <w:t>’«</w:t>
      </w:r>
      <w:proofErr w:type="gramEnd"/>
      <w:r w:rsidRPr="004D6D2A">
        <w:rPr>
          <w:rFonts w:ascii="Verdana" w:hAnsi="Verdana" w:cs="Arial"/>
          <w:i/>
          <w:iCs/>
        </w:rPr>
        <w:t xml:space="preserve"> Intelligent </w:t>
      </w:r>
      <w:proofErr w:type="spellStart"/>
      <w:r w:rsidRPr="004D6D2A">
        <w:rPr>
          <w:rFonts w:ascii="Verdana" w:hAnsi="Verdana" w:cs="Arial"/>
          <w:i/>
          <w:iCs/>
        </w:rPr>
        <w:t>Industry</w:t>
      </w:r>
      <w:proofErr w:type="spellEnd"/>
      <w:r w:rsidRPr="004D6D2A">
        <w:rPr>
          <w:rFonts w:ascii="Verdana" w:hAnsi="Verdana" w:cs="Arial"/>
          <w:i/>
          <w:iCs/>
        </w:rPr>
        <w:t xml:space="preserve"> ». </w:t>
      </w:r>
      <w:r w:rsidR="003B53C5">
        <w:rPr>
          <w:rFonts w:ascii="Verdana" w:hAnsi="Verdana" w:cs="Arial"/>
          <w:i/>
          <w:iCs/>
        </w:rPr>
        <w:t xml:space="preserve">Les </w:t>
      </w:r>
      <w:r w:rsidRPr="004D6D2A">
        <w:rPr>
          <w:rFonts w:ascii="Verdana" w:hAnsi="Verdana" w:cs="Arial"/>
          <w:i/>
          <w:iCs/>
        </w:rPr>
        <w:t xml:space="preserve">travaux d’intégration </w:t>
      </w:r>
      <w:r w:rsidR="00C036C9">
        <w:rPr>
          <w:rFonts w:ascii="Verdana" w:hAnsi="Verdana" w:cs="Arial"/>
          <w:i/>
          <w:iCs/>
        </w:rPr>
        <w:t>avancent rapidement</w:t>
      </w:r>
      <w:r w:rsidR="0057504D">
        <w:rPr>
          <w:rFonts w:ascii="Verdana" w:hAnsi="Verdana" w:cs="Arial"/>
          <w:i/>
          <w:iCs/>
        </w:rPr>
        <w:t>,</w:t>
      </w:r>
      <w:r w:rsidR="001B4831">
        <w:rPr>
          <w:rFonts w:ascii="Verdana" w:hAnsi="Verdana" w:cs="Arial"/>
          <w:i/>
          <w:iCs/>
        </w:rPr>
        <w:t xml:space="preserve"> </w:t>
      </w:r>
      <w:r w:rsidR="0057504D">
        <w:rPr>
          <w:rFonts w:ascii="Verdana" w:hAnsi="Verdana" w:cs="Arial"/>
          <w:i/>
          <w:iCs/>
        </w:rPr>
        <w:t xml:space="preserve">en particulier </w:t>
      </w:r>
      <w:r w:rsidR="00D7256F">
        <w:rPr>
          <w:rFonts w:ascii="Verdana" w:hAnsi="Verdana" w:cs="Arial"/>
          <w:i/>
          <w:iCs/>
        </w:rPr>
        <w:t>grâce</w:t>
      </w:r>
      <w:r w:rsidR="001B4831">
        <w:rPr>
          <w:rFonts w:ascii="Verdana" w:hAnsi="Verdana" w:cs="Arial"/>
          <w:i/>
          <w:iCs/>
        </w:rPr>
        <w:t xml:space="preserve"> </w:t>
      </w:r>
      <w:r w:rsidR="00D7256F">
        <w:rPr>
          <w:rFonts w:ascii="Verdana" w:hAnsi="Verdana" w:cs="Arial"/>
          <w:i/>
          <w:iCs/>
        </w:rPr>
        <w:t>à</w:t>
      </w:r>
      <w:r w:rsidRPr="004D6D2A">
        <w:rPr>
          <w:rFonts w:ascii="Verdana" w:hAnsi="Verdana" w:cs="Arial"/>
          <w:i/>
          <w:iCs/>
        </w:rPr>
        <w:t xml:space="preserve"> la </w:t>
      </w:r>
      <w:r w:rsidR="00CD53E2">
        <w:rPr>
          <w:rFonts w:ascii="Verdana" w:hAnsi="Verdana" w:cs="Arial"/>
          <w:i/>
          <w:iCs/>
        </w:rPr>
        <w:t>bonne</w:t>
      </w:r>
      <w:r w:rsidRPr="004D6D2A">
        <w:rPr>
          <w:rFonts w:ascii="Verdana" w:hAnsi="Verdana" w:cs="Arial"/>
          <w:i/>
          <w:iCs/>
        </w:rPr>
        <w:t xml:space="preserve"> collaboration entre les équipes.</w:t>
      </w:r>
    </w:p>
    <w:p w14:paraId="5F4DE7C6" w14:textId="7E15106D" w:rsidR="00B00202" w:rsidRDefault="00982245" w:rsidP="00F506BE">
      <w:pPr>
        <w:spacing w:before="120" w:after="120" w:line="276" w:lineRule="auto"/>
        <w:rPr>
          <w:rFonts w:ascii="Verdana" w:hAnsi="Verdana" w:cs="Arial"/>
        </w:rPr>
      </w:pPr>
      <w:r w:rsidRPr="004D6D2A">
        <w:rPr>
          <w:i/>
          <w:iCs/>
        </w:rPr>
        <w:t xml:space="preserve">Je tiens </w:t>
      </w:r>
      <w:r w:rsidR="008F4019" w:rsidRPr="004D6D2A">
        <w:rPr>
          <w:i/>
          <w:iCs/>
        </w:rPr>
        <w:t>enfin</w:t>
      </w:r>
      <w:r w:rsidRPr="004D6D2A">
        <w:rPr>
          <w:i/>
          <w:iCs/>
        </w:rPr>
        <w:t xml:space="preserve"> à rappeler </w:t>
      </w:r>
      <w:r w:rsidR="008F4019" w:rsidRPr="004D6D2A">
        <w:rPr>
          <w:i/>
          <w:iCs/>
        </w:rPr>
        <w:t>notre engagement sur le changement climatique que j’ai placé au cœur des priorités du Groupe</w:t>
      </w:r>
      <w:r w:rsidR="008F4019" w:rsidRPr="00D471E2">
        <w:rPr>
          <w:i/>
          <w:iCs/>
        </w:rPr>
        <w:t xml:space="preserve"> avec </w:t>
      </w:r>
      <w:r w:rsidR="00CF3324">
        <w:rPr>
          <w:i/>
          <w:iCs/>
        </w:rPr>
        <w:t>notre n</w:t>
      </w:r>
      <w:r w:rsidR="00C92E2D">
        <w:rPr>
          <w:i/>
          <w:iCs/>
        </w:rPr>
        <w:t>ouvel</w:t>
      </w:r>
      <w:r w:rsidR="008F4019" w:rsidRPr="00D471E2">
        <w:rPr>
          <w:i/>
          <w:iCs/>
        </w:rPr>
        <w:t xml:space="preserve"> objectif</w:t>
      </w:r>
      <w:r w:rsidRPr="002711C7">
        <w:rPr>
          <w:i/>
          <w:iCs/>
        </w:rPr>
        <w:t xml:space="preserve"> de « zéro émission nette » d’ici 2030</w:t>
      </w:r>
      <w:r>
        <w:rPr>
          <w:i/>
          <w:iCs/>
        </w:rPr>
        <w:t>.</w:t>
      </w:r>
      <w:r w:rsidR="003B0044">
        <w:rPr>
          <w:rFonts w:ascii="Verdana" w:hAnsi="Verdana" w:cs="Arial"/>
          <w:i/>
          <w:iCs/>
        </w:rPr>
        <w:t> </w:t>
      </w:r>
      <w:r w:rsidR="000A3B7B" w:rsidRPr="00C6033A">
        <w:rPr>
          <w:rFonts w:ascii="Verdana" w:hAnsi="Verdana" w:cs="Arial"/>
        </w:rPr>
        <w:t>»</w:t>
      </w:r>
    </w:p>
    <w:p w14:paraId="55D92E2B" w14:textId="77777777" w:rsidR="00D75D33" w:rsidRPr="002F446E" w:rsidRDefault="00D75D33" w:rsidP="00907331">
      <w:pPr>
        <w:spacing w:before="120" w:after="120" w:line="276" w:lineRule="auto"/>
        <w:rPr>
          <w:rFonts w:ascii="Verdana" w:hAnsi="Verdana" w:cs="Arial"/>
        </w:rPr>
      </w:pPr>
    </w:p>
    <w:p w14:paraId="47D8949E" w14:textId="2D2F2486" w:rsidR="00B00202" w:rsidRDefault="00C96D53" w:rsidP="00FC182F">
      <w:pPr>
        <w:pStyle w:val="Heading1"/>
      </w:pPr>
      <w:r w:rsidRPr="002F446E">
        <w:t>CHIFFRES CL</w:t>
      </w:r>
      <w:r w:rsidR="00B00202" w:rsidRPr="002F446E">
        <w:t>É</w:t>
      </w:r>
      <w:r w:rsidRPr="002F446E">
        <w:t>S</w:t>
      </w:r>
      <w:r w:rsidR="00B00202" w:rsidRPr="002F446E">
        <w:t xml:space="preserve"> </w:t>
      </w:r>
      <w:r w:rsidRPr="002F446E">
        <w:t xml:space="preserve">DU </w:t>
      </w:r>
      <w:r w:rsidR="00B00202" w:rsidRPr="002F446E">
        <w:t>1</w:t>
      </w:r>
      <w:r w:rsidR="00B00202" w:rsidRPr="002F446E">
        <w:rPr>
          <w:vertAlign w:val="superscript"/>
        </w:rPr>
        <w:t>er</w:t>
      </w:r>
      <w:r w:rsidR="00B00202" w:rsidRPr="002F446E">
        <w:t xml:space="preserve"> </w:t>
      </w:r>
      <w:r w:rsidRPr="002F446E">
        <w:t xml:space="preserve">SEMESTRE </w:t>
      </w:r>
    </w:p>
    <w:p w14:paraId="48D47C66" w14:textId="318BCA74" w:rsidR="003B4D96" w:rsidRDefault="003B4D96" w:rsidP="00907331">
      <w:pPr>
        <w:keepNext/>
        <w:spacing w:before="120" w:after="120" w:line="312" w:lineRule="auto"/>
        <w:rPr>
          <w:rFonts w:ascii="Verdana" w:hAnsi="Verdana" w:cs="Arial"/>
        </w:rPr>
      </w:pPr>
      <w:r>
        <w:rPr>
          <w:rFonts w:ascii="Verdana" w:hAnsi="Verdana" w:cs="Arial"/>
        </w:rPr>
        <w:t xml:space="preserve">Les </w:t>
      </w:r>
      <w:r w:rsidRPr="00446A85">
        <w:rPr>
          <w:rFonts w:ascii="Verdana" w:hAnsi="Verdana" w:cs="Arial"/>
        </w:rPr>
        <w:t xml:space="preserve">estimations que le Groupe </w:t>
      </w:r>
      <w:r w:rsidR="006E6E69">
        <w:rPr>
          <w:rFonts w:ascii="Verdana" w:hAnsi="Verdana" w:cs="Arial"/>
        </w:rPr>
        <w:t>a</w:t>
      </w:r>
      <w:r w:rsidRPr="00446A85">
        <w:rPr>
          <w:rFonts w:ascii="Verdana" w:hAnsi="Verdana" w:cs="Arial"/>
        </w:rPr>
        <w:t xml:space="preserve"> communiqu</w:t>
      </w:r>
      <w:r>
        <w:rPr>
          <w:rFonts w:ascii="Verdana" w:hAnsi="Verdana" w:cs="Arial"/>
        </w:rPr>
        <w:t>ées</w:t>
      </w:r>
      <w:r w:rsidRPr="00446A85">
        <w:rPr>
          <w:rFonts w:ascii="Verdana" w:hAnsi="Verdana" w:cs="Arial"/>
        </w:rPr>
        <w:t xml:space="preserve"> le 28 juillet 2020</w:t>
      </w:r>
      <w:r>
        <w:rPr>
          <w:rFonts w:ascii="Verdana" w:hAnsi="Verdana" w:cs="Arial"/>
        </w:rPr>
        <w:t xml:space="preserve"> sur </w:t>
      </w:r>
      <w:r w:rsidRPr="00E2265F">
        <w:rPr>
          <w:rFonts w:ascii="Verdana" w:hAnsi="Verdana" w:cs="Arial"/>
        </w:rPr>
        <w:t xml:space="preserve">ses principaux indicateurs </w:t>
      </w:r>
      <w:r>
        <w:rPr>
          <w:rFonts w:ascii="Verdana" w:hAnsi="Verdana" w:cs="Arial"/>
        </w:rPr>
        <w:t>financiers pour le 1</w:t>
      </w:r>
      <w:r w:rsidRPr="00F85E92">
        <w:rPr>
          <w:rFonts w:ascii="Verdana" w:hAnsi="Verdana" w:cs="Arial"/>
          <w:vertAlign w:val="superscript"/>
        </w:rPr>
        <w:t>er</w:t>
      </w:r>
      <w:r>
        <w:rPr>
          <w:rFonts w:ascii="Verdana" w:hAnsi="Verdana" w:cs="Arial"/>
        </w:rPr>
        <w:t xml:space="preserve"> semestre de l’année sont </w:t>
      </w:r>
      <w:r w:rsidR="007C2F8E">
        <w:rPr>
          <w:rFonts w:ascii="Verdana" w:hAnsi="Verdana" w:cs="Arial"/>
        </w:rPr>
        <w:t xml:space="preserve">en ligne </w:t>
      </w:r>
      <w:r>
        <w:rPr>
          <w:rFonts w:ascii="Verdana" w:hAnsi="Verdana" w:cs="Arial"/>
        </w:rPr>
        <w:t>avec les résultats présentés ce jour :</w:t>
      </w:r>
    </w:p>
    <w:p w14:paraId="5417A734" w14:textId="77777777" w:rsidR="003B4D96" w:rsidRDefault="003B4D96" w:rsidP="00907331">
      <w:pPr>
        <w:keepNext/>
        <w:spacing w:before="120" w:after="120"/>
        <w:rPr>
          <w:rFonts w:ascii="Verdana" w:hAnsi="Verdana" w:cs="Arial"/>
        </w:rPr>
      </w:pPr>
    </w:p>
    <w:tbl>
      <w:tblPr>
        <w:tblW w:w="0" w:type="auto"/>
        <w:jc w:val="center"/>
        <w:tblLook w:val="04A0" w:firstRow="1" w:lastRow="0" w:firstColumn="1" w:lastColumn="0" w:noHBand="0" w:noVBand="1"/>
      </w:tblPr>
      <w:tblGrid>
        <w:gridCol w:w="3544"/>
        <w:gridCol w:w="1757"/>
        <w:gridCol w:w="1757"/>
        <w:gridCol w:w="2590"/>
      </w:tblGrid>
      <w:tr w:rsidR="002872E7" w:rsidRPr="002F446E" w14:paraId="54FC21B9" w14:textId="77777777" w:rsidTr="000F5D5A">
        <w:trPr>
          <w:trHeight w:val="454"/>
          <w:jc w:val="center"/>
        </w:trPr>
        <w:tc>
          <w:tcPr>
            <w:tcW w:w="3544" w:type="dxa"/>
            <w:tcBorders>
              <w:bottom w:val="single" w:sz="4" w:space="0" w:color="30849B"/>
            </w:tcBorders>
            <w:vAlign w:val="center"/>
          </w:tcPr>
          <w:p w14:paraId="5E5DC01E" w14:textId="77777777" w:rsidR="002872E7" w:rsidRPr="002F446E" w:rsidRDefault="002872E7" w:rsidP="002872E7">
            <w:pPr>
              <w:keepNext/>
              <w:jc w:val="center"/>
              <w:rPr>
                <w:rFonts w:cs="Arial"/>
                <w:i/>
                <w:sz w:val="16"/>
              </w:rPr>
            </w:pPr>
            <w:r w:rsidRPr="002F446E">
              <w:rPr>
                <w:rFonts w:cs="Arial"/>
                <w:i/>
                <w:sz w:val="16"/>
              </w:rPr>
              <w:t>(</w:t>
            </w:r>
            <w:proofErr w:type="gramStart"/>
            <w:r w:rsidRPr="002F446E">
              <w:rPr>
                <w:rFonts w:cs="Arial"/>
                <w:i/>
                <w:sz w:val="16"/>
              </w:rPr>
              <w:t>en</w:t>
            </w:r>
            <w:proofErr w:type="gramEnd"/>
            <w:r w:rsidRPr="002F446E">
              <w:rPr>
                <w:rFonts w:cs="Arial"/>
                <w:i/>
                <w:sz w:val="16"/>
              </w:rPr>
              <w:t xml:space="preserve"> millions d’euros)</w:t>
            </w:r>
          </w:p>
        </w:tc>
        <w:tc>
          <w:tcPr>
            <w:tcW w:w="1757" w:type="dxa"/>
            <w:tcBorders>
              <w:bottom w:val="single" w:sz="4" w:space="0" w:color="30849B"/>
            </w:tcBorders>
            <w:shd w:val="clear" w:color="auto" w:fill="auto"/>
            <w:vAlign w:val="center"/>
          </w:tcPr>
          <w:p w14:paraId="075912C4" w14:textId="77777777" w:rsidR="002872E7" w:rsidRPr="002F446E" w:rsidRDefault="002872E7" w:rsidP="002872E7">
            <w:pPr>
              <w:keepNext/>
              <w:jc w:val="center"/>
              <w:rPr>
                <w:rFonts w:ascii="Verdana" w:hAnsi="Verdana" w:cs="Arial"/>
                <w:b/>
                <w:sz w:val="16"/>
              </w:rPr>
            </w:pPr>
            <w:r w:rsidRPr="002F446E">
              <w:rPr>
                <w:rFonts w:ascii="Verdana" w:hAnsi="Verdana" w:cs="Arial"/>
                <w:b/>
                <w:sz w:val="16"/>
              </w:rPr>
              <w:t>1</w:t>
            </w:r>
            <w:r w:rsidRPr="002F446E">
              <w:rPr>
                <w:rFonts w:ascii="Verdana" w:hAnsi="Verdana" w:cs="Arial"/>
                <w:b/>
                <w:sz w:val="16"/>
                <w:vertAlign w:val="superscript"/>
              </w:rPr>
              <w:t>er</w:t>
            </w:r>
            <w:r w:rsidRPr="002F446E">
              <w:rPr>
                <w:rFonts w:ascii="Verdana" w:hAnsi="Verdana" w:cs="Arial"/>
                <w:b/>
                <w:sz w:val="16"/>
              </w:rPr>
              <w:t xml:space="preserve"> semestre</w:t>
            </w:r>
          </w:p>
          <w:p w14:paraId="4DA019A3" w14:textId="502B4B03" w:rsidR="002872E7" w:rsidRPr="0060761D" w:rsidRDefault="00580CAF" w:rsidP="0060761D">
            <w:pPr>
              <w:keepNext/>
              <w:jc w:val="center"/>
              <w:rPr>
                <w:rFonts w:ascii="Verdana" w:hAnsi="Verdana" w:cs="Arial"/>
                <w:b/>
                <w:sz w:val="16"/>
              </w:rPr>
            </w:pPr>
            <w:r>
              <w:rPr>
                <w:rFonts w:ascii="Verdana" w:hAnsi="Verdana" w:cs="Arial"/>
                <w:b/>
                <w:sz w:val="16"/>
              </w:rPr>
              <w:t>2019</w:t>
            </w:r>
          </w:p>
        </w:tc>
        <w:tc>
          <w:tcPr>
            <w:tcW w:w="1757" w:type="dxa"/>
            <w:tcBorders>
              <w:bottom w:val="single" w:sz="4" w:space="0" w:color="30849B"/>
            </w:tcBorders>
            <w:shd w:val="clear" w:color="auto" w:fill="BBE7FF" w:themeFill="accent1" w:themeFillTint="33"/>
            <w:vAlign w:val="center"/>
          </w:tcPr>
          <w:p w14:paraId="72ABC199" w14:textId="77777777" w:rsidR="002872E7" w:rsidRPr="002F446E" w:rsidRDefault="002872E7" w:rsidP="002872E7">
            <w:pPr>
              <w:keepNext/>
              <w:jc w:val="center"/>
              <w:rPr>
                <w:rFonts w:ascii="Verdana" w:hAnsi="Verdana" w:cs="Arial"/>
                <w:b/>
                <w:sz w:val="16"/>
              </w:rPr>
            </w:pPr>
            <w:r w:rsidRPr="002F446E">
              <w:rPr>
                <w:rFonts w:ascii="Verdana" w:hAnsi="Verdana" w:cs="Arial"/>
                <w:b/>
                <w:sz w:val="16"/>
              </w:rPr>
              <w:t>1</w:t>
            </w:r>
            <w:r w:rsidRPr="002F446E">
              <w:rPr>
                <w:rFonts w:ascii="Verdana" w:hAnsi="Verdana" w:cs="Arial"/>
                <w:b/>
                <w:sz w:val="16"/>
                <w:vertAlign w:val="superscript"/>
              </w:rPr>
              <w:t>er</w:t>
            </w:r>
            <w:r w:rsidRPr="002F446E">
              <w:rPr>
                <w:rFonts w:ascii="Verdana" w:hAnsi="Verdana" w:cs="Arial"/>
                <w:b/>
                <w:sz w:val="16"/>
              </w:rPr>
              <w:t xml:space="preserve"> semestre</w:t>
            </w:r>
          </w:p>
          <w:p w14:paraId="12045AC9" w14:textId="7D90FD61" w:rsidR="002872E7" w:rsidRPr="0060761D" w:rsidRDefault="00580CAF" w:rsidP="0060761D">
            <w:pPr>
              <w:keepNext/>
              <w:jc w:val="center"/>
              <w:rPr>
                <w:rFonts w:ascii="Verdana" w:hAnsi="Verdana" w:cs="Arial"/>
                <w:b/>
                <w:sz w:val="16"/>
              </w:rPr>
            </w:pPr>
            <w:r>
              <w:rPr>
                <w:rFonts w:ascii="Verdana" w:hAnsi="Verdana" w:cs="Arial"/>
                <w:b/>
                <w:sz w:val="16"/>
              </w:rPr>
              <w:t>2020</w:t>
            </w:r>
          </w:p>
        </w:tc>
        <w:tc>
          <w:tcPr>
            <w:tcW w:w="2588" w:type="dxa"/>
            <w:tcBorders>
              <w:bottom w:val="single" w:sz="4" w:space="0" w:color="30849B"/>
            </w:tcBorders>
            <w:shd w:val="clear" w:color="auto" w:fill="auto"/>
            <w:vAlign w:val="center"/>
          </w:tcPr>
          <w:p w14:paraId="4C1B78F5" w14:textId="77777777" w:rsidR="002872E7" w:rsidRPr="002F446E" w:rsidRDefault="002872E7" w:rsidP="002872E7">
            <w:pPr>
              <w:keepNext/>
              <w:jc w:val="center"/>
              <w:rPr>
                <w:rFonts w:cs="Arial"/>
                <w:b/>
                <w:i/>
                <w:sz w:val="16"/>
              </w:rPr>
            </w:pPr>
            <w:r w:rsidRPr="002F446E">
              <w:rPr>
                <w:rFonts w:cs="Arial"/>
                <w:b/>
                <w:i/>
                <w:sz w:val="16"/>
              </w:rPr>
              <w:t>Variation</w:t>
            </w:r>
          </w:p>
        </w:tc>
      </w:tr>
      <w:tr w:rsidR="002872E7" w:rsidRPr="002F446E" w14:paraId="736DA08E" w14:textId="77777777" w:rsidTr="000F5D5A">
        <w:trPr>
          <w:trHeight w:val="284"/>
          <w:jc w:val="center"/>
        </w:trPr>
        <w:tc>
          <w:tcPr>
            <w:tcW w:w="3544" w:type="dxa"/>
            <w:tcBorders>
              <w:top w:val="single" w:sz="4" w:space="0" w:color="30849B"/>
              <w:bottom w:val="dotted" w:sz="4" w:space="0" w:color="30849B"/>
            </w:tcBorders>
            <w:vAlign w:val="center"/>
          </w:tcPr>
          <w:p w14:paraId="67A6A46D" w14:textId="77777777" w:rsidR="002872E7" w:rsidRPr="002F446E" w:rsidRDefault="002872E7" w:rsidP="002872E7">
            <w:pPr>
              <w:keepNext/>
              <w:rPr>
                <w:rFonts w:cs="Arial"/>
                <w:b/>
                <w:sz w:val="16"/>
              </w:rPr>
            </w:pPr>
            <w:r w:rsidRPr="002F446E">
              <w:rPr>
                <w:rFonts w:cs="Arial"/>
                <w:b/>
                <w:sz w:val="16"/>
              </w:rPr>
              <w:t xml:space="preserve">Chiffre d’affaires </w:t>
            </w:r>
          </w:p>
        </w:tc>
        <w:tc>
          <w:tcPr>
            <w:tcW w:w="1757" w:type="dxa"/>
            <w:tcBorders>
              <w:top w:val="single" w:sz="4" w:space="0" w:color="30849B"/>
              <w:bottom w:val="dotted" w:sz="4" w:space="0" w:color="30849B"/>
            </w:tcBorders>
            <w:shd w:val="clear" w:color="auto" w:fill="auto"/>
            <w:vAlign w:val="center"/>
          </w:tcPr>
          <w:p w14:paraId="7EFECADA" w14:textId="44B1CCD4" w:rsidR="002872E7" w:rsidRPr="002F446E" w:rsidRDefault="002872E7" w:rsidP="002872E7">
            <w:pPr>
              <w:keepNext/>
              <w:ind w:left="-170" w:right="366"/>
              <w:jc w:val="right"/>
              <w:rPr>
                <w:rFonts w:cs="Arial"/>
                <w:b/>
                <w:sz w:val="16"/>
              </w:rPr>
            </w:pPr>
            <w:r w:rsidRPr="002F446E">
              <w:rPr>
                <w:rFonts w:ascii="Verdana" w:hAnsi="Verdana" w:cs="Arial"/>
                <w:b/>
                <w:sz w:val="16"/>
              </w:rPr>
              <w:t>7 007</w:t>
            </w:r>
          </w:p>
        </w:tc>
        <w:tc>
          <w:tcPr>
            <w:tcW w:w="1757" w:type="dxa"/>
            <w:tcBorders>
              <w:top w:val="single" w:sz="4" w:space="0" w:color="30849B"/>
              <w:bottom w:val="dotted" w:sz="4" w:space="0" w:color="30849B"/>
            </w:tcBorders>
            <w:shd w:val="clear" w:color="auto" w:fill="BBE7FF" w:themeFill="accent1" w:themeFillTint="33"/>
            <w:vAlign w:val="center"/>
          </w:tcPr>
          <w:p w14:paraId="0FB9048F" w14:textId="760142D2" w:rsidR="002872E7" w:rsidRPr="002F446E" w:rsidRDefault="002872E7" w:rsidP="002872E7">
            <w:pPr>
              <w:keepNext/>
              <w:ind w:left="-170" w:right="429"/>
              <w:jc w:val="right"/>
              <w:rPr>
                <w:rFonts w:cs="Arial"/>
                <w:b/>
                <w:sz w:val="16"/>
              </w:rPr>
            </w:pPr>
            <w:r w:rsidRPr="002F446E">
              <w:rPr>
                <w:rFonts w:ascii="Verdana" w:hAnsi="Verdana" w:cs="Arial"/>
                <w:b/>
                <w:sz w:val="16"/>
              </w:rPr>
              <w:t xml:space="preserve">7 </w:t>
            </w:r>
            <w:r w:rsidR="00E83F79">
              <w:rPr>
                <w:rFonts w:ascii="Verdana" w:hAnsi="Verdana" w:cs="Arial"/>
                <w:b/>
                <w:sz w:val="16"/>
              </w:rPr>
              <w:t>581</w:t>
            </w:r>
          </w:p>
        </w:tc>
        <w:tc>
          <w:tcPr>
            <w:tcW w:w="2588" w:type="dxa"/>
            <w:tcBorders>
              <w:top w:val="single" w:sz="4" w:space="0" w:color="30849B"/>
              <w:bottom w:val="dotted" w:sz="4" w:space="0" w:color="30849B"/>
            </w:tcBorders>
            <w:shd w:val="clear" w:color="auto" w:fill="auto"/>
            <w:vAlign w:val="center"/>
          </w:tcPr>
          <w:p w14:paraId="47F0A310" w14:textId="4681681D" w:rsidR="002872E7" w:rsidRPr="002F446E" w:rsidRDefault="002872E7" w:rsidP="002872E7">
            <w:pPr>
              <w:keepNext/>
              <w:jc w:val="center"/>
              <w:rPr>
                <w:b/>
                <w:sz w:val="16"/>
              </w:rPr>
            </w:pPr>
            <w:r w:rsidRPr="002F446E">
              <w:rPr>
                <w:b/>
                <w:sz w:val="16"/>
              </w:rPr>
              <w:t>+</w:t>
            </w:r>
            <w:r w:rsidR="00F92666">
              <w:rPr>
                <w:b/>
                <w:sz w:val="16"/>
              </w:rPr>
              <w:t>8,2</w:t>
            </w:r>
            <w:r w:rsidRPr="002F446E">
              <w:rPr>
                <w:b/>
                <w:sz w:val="16"/>
              </w:rPr>
              <w:t>%</w:t>
            </w:r>
          </w:p>
          <w:p w14:paraId="75AC70BB" w14:textId="2192620A" w:rsidR="002872E7" w:rsidRPr="002F446E" w:rsidRDefault="002872E7" w:rsidP="002872E7">
            <w:pPr>
              <w:keepNext/>
              <w:jc w:val="center"/>
              <w:rPr>
                <w:rFonts w:cs="Arial"/>
                <w:b/>
                <w:sz w:val="16"/>
              </w:rPr>
            </w:pPr>
            <w:r w:rsidRPr="002F446E">
              <w:rPr>
                <w:b/>
                <w:sz w:val="16"/>
              </w:rPr>
              <w:t>+</w:t>
            </w:r>
            <w:r w:rsidR="00783018">
              <w:rPr>
                <w:b/>
                <w:sz w:val="16"/>
              </w:rPr>
              <w:t>7</w:t>
            </w:r>
            <w:r w:rsidR="453E3D7C" w:rsidRPr="35CDF7EC">
              <w:rPr>
                <w:b/>
                <w:bCs/>
                <w:sz w:val="16"/>
                <w:szCs w:val="16"/>
              </w:rPr>
              <w:t>,</w:t>
            </w:r>
            <w:r w:rsidR="00783018">
              <w:rPr>
                <w:b/>
                <w:sz w:val="16"/>
              </w:rPr>
              <w:t>9</w:t>
            </w:r>
            <w:r w:rsidRPr="002F446E">
              <w:rPr>
                <w:b/>
                <w:sz w:val="16"/>
              </w:rPr>
              <w:t xml:space="preserve">% </w:t>
            </w:r>
            <w:r w:rsidRPr="002F446E">
              <w:rPr>
                <w:sz w:val="16"/>
              </w:rPr>
              <w:t>à taux constants</w:t>
            </w:r>
          </w:p>
        </w:tc>
      </w:tr>
      <w:tr w:rsidR="002872E7" w:rsidRPr="002F446E" w14:paraId="1160E9AB" w14:textId="77777777" w:rsidTr="000F5D5A">
        <w:trPr>
          <w:trHeight w:val="284"/>
          <w:jc w:val="center"/>
        </w:trPr>
        <w:tc>
          <w:tcPr>
            <w:tcW w:w="3544" w:type="dxa"/>
            <w:tcBorders>
              <w:top w:val="dotted" w:sz="4" w:space="0" w:color="30849B"/>
            </w:tcBorders>
            <w:vAlign w:val="center"/>
          </w:tcPr>
          <w:p w14:paraId="4FB553B5" w14:textId="092429DA" w:rsidR="002872E7" w:rsidRPr="002F446E" w:rsidRDefault="002872E7" w:rsidP="002872E7">
            <w:pPr>
              <w:keepNext/>
              <w:rPr>
                <w:rFonts w:cs="Arial"/>
                <w:b/>
                <w:sz w:val="16"/>
              </w:rPr>
            </w:pPr>
            <w:r w:rsidRPr="002F446E">
              <w:rPr>
                <w:rFonts w:cs="Arial"/>
                <w:b/>
                <w:sz w:val="16"/>
              </w:rPr>
              <w:t>Marge opérationnelle</w:t>
            </w:r>
            <w:r w:rsidRPr="002F446E">
              <w:rPr>
                <w:rFonts w:ascii="Verdana" w:hAnsi="Verdana" w:cs="Arial"/>
                <w:b/>
                <w:sz w:val="16"/>
                <w:szCs w:val="18"/>
                <w:vertAlign w:val="superscript"/>
              </w:rPr>
              <w:fldChar w:fldCharType="begin"/>
            </w:r>
            <w:r w:rsidRPr="002F446E">
              <w:rPr>
                <w:rFonts w:ascii="Verdana" w:hAnsi="Verdana" w:cs="Arial"/>
                <w:b/>
                <w:sz w:val="16"/>
                <w:szCs w:val="18"/>
                <w:vertAlign w:val="superscript"/>
              </w:rPr>
              <w:instrText xml:space="preserve"> NOTEREF _Ref13738408 \h  \* MERGEFORMAT </w:instrText>
            </w:r>
            <w:r w:rsidRPr="002F446E">
              <w:rPr>
                <w:rFonts w:ascii="Verdana" w:hAnsi="Verdana" w:cs="Arial"/>
                <w:b/>
                <w:sz w:val="16"/>
                <w:szCs w:val="18"/>
                <w:vertAlign w:val="superscript"/>
              </w:rPr>
            </w:r>
            <w:r w:rsidRPr="002F446E">
              <w:rPr>
                <w:rFonts w:ascii="Verdana" w:hAnsi="Verdana" w:cs="Arial"/>
                <w:b/>
                <w:sz w:val="16"/>
                <w:szCs w:val="18"/>
                <w:vertAlign w:val="superscript"/>
              </w:rPr>
              <w:fldChar w:fldCharType="separate"/>
            </w:r>
            <w:r w:rsidR="00B02E5E" w:rsidRPr="00B02E5E">
              <w:rPr>
                <w:sz w:val="16"/>
                <w:szCs w:val="18"/>
              </w:rPr>
              <w:t>*</w:t>
            </w:r>
            <w:r w:rsidRPr="002F446E">
              <w:rPr>
                <w:rFonts w:ascii="Verdana" w:hAnsi="Verdana" w:cs="Arial"/>
                <w:b/>
                <w:sz w:val="16"/>
                <w:szCs w:val="18"/>
                <w:vertAlign w:val="superscript"/>
              </w:rPr>
              <w:fldChar w:fldCharType="end"/>
            </w:r>
          </w:p>
        </w:tc>
        <w:tc>
          <w:tcPr>
            <w:tcW w:w="1757" w:type="dxa"/>
            <w:tcBorders>
              <w:top w:val="dotted" w:sz="4" w:space="0" w:color="30849B"/>
            </w:tcBorders>
            <w:shd w:val="clear" w:color="auto" w:fill="auto"/>
            <w:vAlign w:val="center"/>
          </w:tcPr>
          <w:p w14:paraId="7A5924C9" w14:textId="7EFE2CE5" w:rsidR="002872E7" w:rsidRPr="002F446E" w:rsidRDefault="002872E7" w:rsidP="002872E7">
            <w:pPr>
              <w:keepNext/>
              <w:ind w:left="-170" w:right="366"/>
              <w:jc w:val="right"/>
              <w:rPr>
                <w:rFonts w:cs="Arial"/>
                <w:b/>
                <w:sz w:val="16"/>
              </w:rPr>
            </w:pPr>
            <w:r w:rsidRPr="002F446E">
              <w:rPr>
                <w:rFonts w:ascii="Verdana" w:hAnsi="Verdana" w:cs="Arial"/>
                <w:b/>
                <w:sz w:val="16"/>
              </w:rPr>
              <w:t>797</w:t>
            </w:r>
          </w:p>
        </w:tc>
        <w:tc>
          <w:tcPr>
            <w:tcW w:w="1757" w:type="dxa"/>
            <w:tcBorders>
              <w:top w:val="dotted" w:sz="4" w:space="0" w:color="30849B"/>
            </w:tcBorders>
            <w:shd w:val="clear" w:color="auto" w:fill="BBE7FF" w:themeFill="accent1" w:themeFillTint="33"/>
            <w:vAlign w:val="center"/>
          </w:tcPr>
          <w:p w14:paraId="48E531A6" w14:textId="0E29997B" w:rsidR="002872E7" w:rsidRPr="002F446E" w:rsidRDefault="00E83F79" w:rsidP="002872E7">
            <w:pPr>
              <w:keepNext/>
              <w:ind w:left="-170" w:right="429"/>
              <w:jc w:val="right"/>
              <w:rPr>
                <w:rFonts w:cs="Arial"/>
                <w:b/>
                <w:sz w:val="16"/>
              </w:rPr>
            </w:pPr>
            <w:r>
              <w:rPr>
                <w:rFonts w:cs="Arial"/>
                <w:b/>
                <w:sz w:val="16"/>
              </w:rPr>
              <w:t>818</w:t>
            </w:r>
          </w:p>
        </w:tc>
        <w:tc>
          <w:tcPr>
            <w:tcW w:w="2588" w:type="dxa"/>
            <w:tcBorders>
              <w:top w:val="dotted" w:sz="4" w:space="0" w:color="30849B"/>
            </w:tcBorders>
            <w:shd w:val="clear" w:color="auto" w:fill="auto"/>
            <w:vAlign w:val="center"/>
          </w:tcPr>
          <w:p w14:paraId="1BAE863F" w14:textId="1F1EF2BC" w:rsidR="002872E7" w:rsidRPr="002F446E" w:rsidRDefault="002872E7" w:rsidP="002872E7">
            <w:pPr>
              <w:keepNext/>
              <w:jc w:val="center"/>
              <w:rPr>
                <w:rFonts w:cs="Arial"/>
                <w:b/>
                <w:sz w:val="16"/>
              </w:rPr>
            </w:pPr>
            <w:r w:rsidRPr="002F446E">
              <w:rPr>
                <w:rFonts w:cs="Arial"/>
                <w:b/>
                <w:sz w:val="16"/>
              </w:rPr>
              <w:t>+</w:t>
            </w:r>
            <w:r w:rsidR="009A31CD">
              <w:rPr>
                <w:rFonts w:cs="Arial"/>
                <w:b/>
                <w:sz w:val="16"/>
              </w:rPr>
              <w:t>3</w:t>
            </w:r>
            <w:r w:rsidRPr="002F446E">
              <w:rPr>
                <w:rFonts w:cs="Arial"/>
                <w:b/>
                <w:sz w:val="16"/>
              </w:rPr>
              <w:t>%</w:t>
            </w:r>
          </w:p>
        </w:tc>
      </w:tr>
      <w:tr w:rsidR="002872E7" w:rsidRPr="002F446E" w14:paraId="1AEC4902" w14:textId="77777777" w:rsidTr="000F5D5A">
        <w:trPr>
          <w:trHeight w:val="284"/>
          <w:jc w:val="center"/>
        </w:trPr>
        <w:tc>
          <w:tcPr>
            <w:tcW w:w="3544" w:type="dxa"/>
            <w:tcBorders>
              <w:bottom w:val="dotted" w:sz="4" w:space="0" w:color="30849B"/>
            </w:tcBorders>
            <w:vAlign w:val="center"/>
          </w:tcPr>
          <w:p w14:paraId="4DF1033C" w14:textId="77777777" w:rsidR="002872E7" w:rsidRPr="002F446E" w:rsidRDefault="002872E7" w:rsidP="002872E7">
            <w:pPr>
              <w:keepNext/>
              <w:ind w:left="170"/>
              <w:rPr>
                <w:rFonts w:cs="Arial"/>
                <w:i/>
                <w:sz w:val="16"/>
              </w:rPr>
            </w:pPr>
            <w:proofErr w:type="gramStart"/>
            <w:r w:rsidRPr="002F446E">
              <w:rPr>
                <w:rFonts w:cs="Arial"/>
                <w:i/>
                <w:sz w:val="16"/>
              </w:rPr>
              <w:t>en</w:t>
            </w:r>
            <w:proofErr w:type="gramEnd"/>
            <w:r w:rsidRPr="002F446E">
              <w:rPr>
                <w:rFonts w:cs="Arial"/>
                <w:i/>
                <w:sz w:val="16"/>
              </w:rPr>
              <w:t xml:space="preserve"> % du chiffre d’affaires</w:t>
            </w:r>
          </w:p>
        </w:tc>
        <w:tc>
          <w:tcPr>
            <w:tcW w:w="1757" w:type="dxa"/>
            <w:tcBorders>
              <w:bottom w:val="dotted" w:sz="4" w:space="0" w:color="30849B"/>
            </w:tcBorders>
            <w:shd w:val="clear" w:color="auto" w:fill="auto"/>
            <w:vAlign w:val="center"/>
          </w:tcPr>
          <w:p w14:paraId="321604E4" w14:textId="2F5984B8" w:rsidR="002872E7" w:rsidRPr="002F446E" w:rsidRDefault="002872E7" w:rsidP="002872E7">
            <w:pPr>
              <w:keepNext/>
              <w:ind w:left="-170" w:right="366"/>
              <w:jc w:val="right"/>
              <w:rPr>
                <w:rFonts w:cs="Arial"/>
                <w:i/>
                <w:sz w:val="16"/>
              </w:rPr>
            </w:pPr>
            <w:r w:rsidRPr="002F446E">
              <w:rPr>
                <w:rFonts w:ascii="Verdana" w:hAnsi="Verdana" w:cs="Arial"/>
                <w:sz w:val="16"/>
              </w:rPr>
              <w:t>11,4%</w:t>
            </w:r>
          </w:p>
        </w:tc>
        <w:tc>
          <w:tcPr>
            <w:tcW w:w="1757" w:type="dxa"/>
            <w:tcBorders>
              <w:bottom w:val="dotted" w:sz="4" w:space="0" w:color="30849B"/>
            </w:tcBorders>
            <w:shd w:val="clear" w:color="auto" w:fill="BBE7FF" w:themeFill="accent1" w:themeFillTint="33"/>
            <w:vAlign w:val="center"/>
          </w:tcPr>
          <w:p w14:paraId="11C66E7B" w14:textId="4280501B" w:rsidR="002872E7" w:rsidRPr="002F446E" w:rsidRDefault="002872E7" w:rsidP="002872E7">
            <w:pPr>
              <w:keepNext/>
              <w:ind w:left="-170" w:right="429"/>
              <w:jc w:val="right"/>
              <w:rPr>
                <w:rFonts w:cs="Arial"/>
                <w:i/>
                <w:sz w:val="16"/>
              </w:rPr>
            </w:pPr>
            <w:r w:rsidRPr="002F446E">
              <w:rPr>
                <w:rFonts w:ascii="Verdana" w:hAnsi="Verdana" w:cs="Arial"/>
                <w:sz w:val="16"/>
              </w:rPr>
              <w:t>1</w:t>
            </w:r>
            <w:r w:rsidR="00F92666">
              <w:rPr>
                <w:rFonts w:ascii="Verdana" w:hAnsi="Verdana" w:cs="Arial"/>
                <w:sz w:val="16"/>
              </w:rPr>
              <w:t>0,8</w:t>
            </w:r>
            <w:r w:rsidRPr="002F446E">
              <w:rPr>
                <w:rFonts w:ascii="Verdana" w:hAnsi="Verdana" w:cs="Arial"/>
                <w:sz w:val="16"/>
              </w:rPr>
              <w:t>%</w:t>
            </w:r>
          </w:p>
        </w:tc>
        <w:tc>
          <w:tcPr>
            <w:tcW w:w="2588" w:type="dxa"/>
            <w:tcBorders>
              <w:bottom w:val="dotted" w:sz="4" w:space="0" w:color="30849B"/>
            </w:tcBorders>
            <w:shd w:val="clear" w:color="auto" w:fill="auto"/>
            <w:vAlign w:val="center"/>
          </w:tcPr>
          <w:p w14:paraId="04891B63" w14:textId="6A10236D" w:rsidR="002872E7" w:rsidRPr="002F446E" w:rsidRDefault="396A2192" w:rsidP="002872E7">
            <w:pPr>
              <w:keepNext/>
              <w:jc w:val="center"/>
              <w:rPr>
                <w:rFonts w:cs="Arial"/>
                <w:b/>
                <w:sz w:val="16"/>
                <w:szCs w:val="16"/>
              </w:rPr>
            </w:pPr>
            <w:r w:rsidRPr="335C9DAC">
              <w:rPr>
                <w:rFonts w:cs="Arial"/>
                <w:b/>
                <w:bCs/>
                <w:sz w:val="16"/>
                <w:szCs w:val="16"/>
              </w:rPr>
              <w:t>-0,6 point</w:t>
            </w:r>
          </w:p>
        </w:tc>
      </w:tr>
      <w:tr w:rsidR="002872E7" w:rsidRPr="002F446E" w14:paraId="54EA44A7" w14:textId="77777777" w:rsidTr="000F5D5A">
        <w:trPr>
          <w:trHeight w:val="284"/>
          <w:jc w:val="center"/>
        </w:trPr>
        <w:tc>
          <w:tcPr>
            <w:tcW w:w="3544" w:type="dxa"/>
            <w:tcBorders>
              <w:top w:val="dotted" w:sz="4" w:space="0" w:color="30849B"/>
            </w:tcBorders>
            <w:vAlign w:val="center"/>
          </w:tcPr>
          <w:p w14:paraId="75B9935C" w14:textId="77777777" w:rsidR="002872E7" w:rsidRPr="002F446E" w:rsidRDefault="002872E7" w:rsidP="002872E7">
            <w:pPr>
              <w:keepNext/>
              <w:rPr>
                <w:rFonts w:cs="Arial"/>
                <w:b/>
                <w:sz w:val="16"/>
              </w:rPr>
            </w:pPr>
            <w:r w:rsidRPr="002F446E">
              <w:rPr>
                <w:rFonts w:cs="Arial"/>
                <w:b/>
                <w:sz w:val="16"/>
              </w:rPr>
              <w:t>Résultat d’exploitation</w:t>
            </w:r>
          </w:p>
        </w:tc>
        <w:tc>
          <w:tcPr>
            <w:tcW w:w="1757" w:type="dxa"/>
            <w:tcBorders>
              <w:top w:val="dotted" w:sz="4" w:space="0" w:color="30849B"/>
            </w:tcBorders>
            <w:shd w:val="clear" w:color="auto" w:fill="auto"/>
            <w:vAlign w:val="center"/>
          </w:tcPr>
          <w:p w14:paraId="6B57351E" w14:textId="35C68BD6" w:rsidR="002872E7" w:rsidRPr="002F446E" w:rsidRDefault="002872E7" w:rsidP="002872E7">
            <w:pPr>
              <w:keepNext/>
              <w:ind w:left="-170" w:right="366"/>
              <w:jc w:val="right"/>
              <w:rPr>
                <w:rFonts w:cs="Arial"/>
                <w:b/>
                <w:sz w:val="16"/>
              </w:rPr>
            </w:pPr>
            <w:r w:rsidRPr="002F446E">
              <w:rPr>
                <w:rFonts w:ascii="Verdana" w:hAnsi="Verdana" w:cs="Arial"/>
                <w:b/>
                <w:sz w:val="16"/>
              </w:rPr>
              <w:t>658</w:t>
            </w:r>
          </w:p>
        </w:tc>
        <w:tc>
          <w:tcPr>
            <w:tcW w:w="1757" w:type="dxa"/>
            <w:tcBorders>
              <w:top w:val="dotted" w:sz="4" w:space="0" w:color="30849B"/>
            </w:tcBorders>
            <w:shd w:val="clear" w:color="auto" w:fill="BBE7FF" w:themeFill="accent1" w:themeFillTint="33"/>
            <w:vAlign w:val="center"/>
          </w:tcPr>
          <w:p w14:paraId="0B9DB41E" w14:textId="14FF3374" w:rsidR="002872E7" w:rsidRPr="002F446E" w:rsidRDefault="00F92666" w:rsidP="002872E7">
            <w:pPr>
              <w:keepNext/>
              <w:ind w:left="-170" w:right="429"/>
              <w:jc w:val="right"/>
              <w:rPr>
                <w:rFonts w:cs="Arial"/>
                <w:b/>
                <w:sz w:val="16"/>
              </w:rPr>
            </w:pPr>
            <w:r>
              <w:rPr>
                <w:rFonts w:ascii="Verdana" w:hAnsi="Verdana" w:cs="Arial"/>
                <w:b/>
                <w:sz w:val="16"/>
              </w:rPr>
              <w:t>57</w:t>
            </w:r>
            <w:r w:rsidR="006D402A">
              <w:rPr>
                <w:rFonts w:ascii="Verdana" w:hAnsi="Verdana" w:cs="Arial"/>
                <w:b/>
                <w:sz w:val="16"/>
              </w:rPr>
              <w:t>7</w:t>
            </w:r>
          </w:p>
        </w:tc>
        <w:tc>
          <w:tcPr>
            <w:tcW w:w="2588" w:type="dxa"/>
            <w:tcBorders>
              <w:top w:val="dotted" w:sz="4" w:space="0" w:color="30849B"/>
            </w:tcBorders>
            <w:shd w:val="clear" w:color="auto" w:fill="auto"/>
            <w:vAlign w:val="center"/>
          </w:tcPr>
          <w:p w14:paraId="3C138BE3" w14:textId="26007D7E" w:rsidR="002872E7" w:rsidRPr="002F446E" w:rsidRDefault="00634625" w:rsidP="002872E7">
            <w:pPr>
              <w:keepNext/>
              <w:jc w:val="center"/>
              <w:rPr>
                <w:rFonts w:cs="Arial"/>
                <w:b/>
                <w:sz w:val="16"/>
              </w:rPr>
            </w:pPr>
            <w:r>
              <w:rPr>
                <w:rFonts w:cs="Arial"/>
                <w:b/>
                <w:sz w:val="16"/>
              </w:rPr>
              <w:t>-12%</w:t>
            </w:r>
          </w:p>
        </w:tc>
      </w:tr>
      <w:tr w:rsidR="002872E7" w:rsidRPr="002F446E" w14:paraId="447481DE" w14:textId="77777777" w:rsidTr="000F5D5A">
        <w:trPr>
          <w:trHeight w:val="284"/>
          <w:jc w:val="center"/>
        </w:trPr>
        <w:tc>
          <w:tcPr>
            <w:tcW w:w="3544" w:type="dxa"/>
            <w:tcBorders>
              <w:bottom w:val="dotted" w:sz="4" w:space="0" w:color="30849B"/>
            </w:tcBorders>
            <w:vAlign w:val="center"/>
          </w:tcPr>
          <w:p w14:paraId="3A58958F" w14:textId="77777777" w:rsidR="002872E7" w:rsidRPr="002F446E" w:rsidRDefault="002872E7" w:rsidP="002872E7">
            <w:pPr>
              <w:keepNext/>
              <w:ind w:left="170"/>
              <w:rPr>
                <w:rFonts w:cs="Arial"/>
                <w:i/>
                <w:sz w:val="16"/>
              </w:rPr>
            </w:pPr>
            <w:proofErr w:type="gramStart"/>
            <w:r w:rsidRPr="002F446E">
              <w:rPr>
                <w:rFonts w:cs="Arial"/>
                <w:i/>
                <w:sz w:val="16"/>
              </w:rPr>
              <w:t>en</w:t>
            </w:r>
            <w:proofErr w:type="gramEnd"/>
            <w:r w:rsidRPr="002F446E">
              <w:rPr>
                <w:rFonts w:cs="Arial"/>
                <w:i/>
                <w:sz w:val="16"/>
              </w:rPr>
              <w:t xml:space="preserve"> % du chiffre d’affaires</w:t>
            </w:r>
          </w:p>
        </w:tc>
        <w:tc>
          <w:tcPr>
            <w:tcW w:w="1757" w:type="dxa"/>
            <w:tcBorders>
              <w:bottom w:val="dotted" w:sz="4" w:space="0" w:color="30849B"/>
            </w:tcBorders>
            <w:shd w:val="clear" w:color="auto" w:fill="auto"/>
            <w:vAlign w:val="center"/>
          </w:tcPr>
          <w:p w14:paraId="736E4F16" w14:textId="282EE3EC" w:rsidR="002872E7" w:rsidRPr="002F446E" w:rsidRDefault="002872E7" w:rsidP="002872E7">
            <w:pPr>
              <w:keepNext/>
              <w:ind w:left="-170" w:right="366"/>
              <w:jc w:val="right"/>
              <w:rPr>
                <w:rFonts w:cs="Arial"/>
                <w:i/>
                <w:sz w:val="16"/>
              </w:rPr>
            </w:pPr>
            <w:r w:rsidRPr="002F446E">
              <w:rPr>
                <w:rFonts w:ascii="Verdana" w:hAnsi="Verdana" w:cs="Arial"/>
                <w:sz w:val="16"/>
              </w:rPr>
              <w:t>9,4%</w:t>
            </w:r>
          </w:p>
        </w:tc>
        <w:tc>
          <w:tcPr>
            <w:tcW w:w="1757" w:type="dxa"/>
            <w:tcBorders>
              <w:bottom w:val="dotted" w:sz="4" w:space="0" w:color="30849B"/>
            </w:tcBorders>
            <w:shd w:val="clear" w:color="auto" w:fill="BBE7FF" w:themeFill="accent1" w:themeFillTint="33"/>
            <w:vAlign w:val="center"/>
          </w:tcPr>
          <w:p w14:paraId="69DCEB69" w14:textId="6C1047DF" w:rsidR="002872E7" w:rsidRPr="002F446E" w:rsidRDefault="00F92666" w:rsidP="002872E7">
            <w:pPr>
              <w:keepNext/>
              <w:ind w:left="-170" w:right="429"/>
              <w:jc w:val="right"/>
              <w:rPr>
                <w:rFonts w:cs="Arial"/>
                <w:i/>
                <w:sz w:val="16"/>
              </w:rPr>
            </w:pPr>
            <w:r>
              <w:rPr>
                <w:rFonts w:ascii="Verdana" w:hAnsi="Verdana" w:cs="Arial"/>
                <w:sz w:val="16"/>
              </w:rPr>
              <w:t>7,6</w:t>
            </w:r>
            <w:r w:rsidR="002872E7" w:rsidRPr="002F446E">
              <w:rPr>
                <w:rFonts w:ascii="Verdana" w:hAnsi="Verdana" w:cs="Arial"/>
                <w:sz w:val="16"/>
              </w:rPr>
              <w:t>%</w:t>
            </w:r>
          </w:p>
        </w:tc>
        <w:tc>
          <w:tcPr>
            <w:tcW w:w="2588" w:type="dxa"/>
            <w:tcBorders>
              <w:bottom w:val="dotted" w:sz="4" w:space="0" w:color="30849B"/>
            </w:tcBorders>
            <w:shd w:val="clear" w:color="auto" w:fill="auto"/>
            <w:vAlign w:val="center"/>
          </w:tcPr>
          <w:p w14:paraId="5B40150D" w14:textId="77777777" w:rsidR="002872E7" w:rsidRPr="002F446E" w:rsidRDefault="002872E7" w:rsidP="002872E7">
            <w:pPr>
              <w:keepNext/>
              <w:jc w:val="center"/>
              <w:rPr>
                <w:rFonts w:cs="Arial"/>
                <w:i/>
                <w:sz w:val="16"/>
              </w:rPr>
            </w:pPr>
          </w:p>
        </w:tc>
      </w:tr>
      <w:tr w:rsidR="002872E7" w:rsidRPr="002F446E" w14:paraId="69BBF6F6" w14:textId="77777777" w:rsidTr="000F5D5A">
        <w:trPr>
          <w:trHeight w:val="284"/>
          <w:jc w:val="center"/>
        </w:trPr>
        <w:tc>
          <w:tcPr>
            <w:tcW w:w="3544" w:type="dxa"/>
            <w:tcBorders>
              <w:top w:val="dotted" w:sz="4" w:space="0" w:color="30849B"/>
            </w:tcBorders>
            <w:vAlign w:val="center"/>
          </w:tcPr>
          <w:p w14:paraId="44A6FBF0" w14:textId="77777777" w:rsidR="002872E7" w:rsidRPr="002F446E" w:rsidRDefault="002872E7" w:rsidP="002872E7">
            <w:pPr>
              <w:keepNext/>
              <w:rPr>
                <w:rFonts w:cs="Arial"/>
                <w:b/>
                <w:sz w:val="16"/>
              </w:rPr>
            </w:pPr>
            <w:r w:rsidRPr="002F446E">
              <w:rPr>
                <w:rFonts w:cs="Arial"/>
                <w:b/>
                <w:sz w:val="16"/>
              </w:rPr>
              <w:t>Résultat net, part du Groupe</w:t>
            </w:r>
          </w:p>
        </w:tc>
        <w:tc>
          <w:tcPr>
            <w:tcW w:w="1757" w:type="dxa"/>
            <w:tcBorders>
              <w:top w:val="dotted" w:sz="4" w:space="0" w:color="30849B"/>
            </w:tcBorders>
            <w:shd w:val="clear" w:color="auto" w:fill="auto"/>
            <w:vAlign w:val="center"/>
          </w:tcPr>
          <w:p w14:paraId="551BFB4E" w14:textId="29DF1E98" w:rsidR="002872E7" w:rsidRPr="002F446E" w:rsidRDefault="002872E7" w:rsidP="002872E7">
            <w:pPr>
              <w:keepNext/>
              <w:ind w:left="-170" w:right="366"/>
              <w:jc w:val="right"/>
              <w:rPr>
                <w:rFonts w:cs="Arial"/>
                <w:b/>
                <w:sz w:val="16"/>
              </w:rPr>
            </w:pPr>
            <w:r w:rsidRPr="002F446E">
              <w:rPr>
                <w:rFonts w:ascii="Verdana" w:hAnsi="Verdana" w:cs="Arial"/>
                <w:b/>
                <w:sz w:val="16"/>
              </w:rPr>
              <w:t>388</w:t>
            </w:r>
          </w:p>
        </w:tc>
        <w:tc>
          <w:tcPr>
            <w:tcW w:w="1757" w:type="dxa"/>
            <w:tcBorders>
              <w:top w:val="dotted" w:sz="4" w:space="0" w:color="30849B"/>
            </w:tcBorders>
            <w:shd w:val="clear" w:color="auto" w:fill="BBE7FF" w:themeFill="accent1" w:themeFillTint="33"/>
            <w:vAlign w:val="center"/>
          </w:tcPr>
          <w:p w14:paraId="2D84C65D" w14:textId="5952605C" w:rsidR="002872E7" w:rsidRPr="002F446E" w:rsidRDefault="00F92666" w:rsidP="002872E7">
            <w:pPr>
              <w:keepNext/>
              <w:ind w:left="-170" w:right="429"/>
              <w:jc w:val="right"/>
              <w:rPr>
                <w:rFonts w:cs="Arial"/>
                <w:b/>
                <w:sz w:val="16"/>
              </w:rPr>
            </w:pPr>
            <w:r>
              <w:rPr>
                <w:rFonts w:ascii="Verdana" w:hAnsi="Verdana" w:cs="Arial"/>
                <w:b/>
                <w:sz w:val="16"/>
              </w:rPr>
              <w:t>311</w:t>
            </w:r>
          </w:p>
        </w:tc>
        <w:tc>
          <w:tcPr>
            <w:tcW w:w="2588" w:type="dxa"/>
            <w:tcBorders>
              <w:top w:val="dotted" w:sz="4" w:space="0" w:color="30849B"/>
            </w:tcBorders>
            <w:shd w:val="clear" w:color="auto" w:fill="auto"/>
            <w:vAlign w:val="center"/>
          </w:tcPr>
          <w:p w14:paraId="59BAAE42" w14:textId="486D7066" w:rsidR="002872E7" w:rsidRPr="002F446E" w:rsidRDefault="00E663F7" w:rsidP="002872E7">
            <w:pPr>
              <w:keepNext/>
              <w:jc w:val="center"/>
              <w:rPr>
                <w:rFonts w:cs="Arial"/>
                <w:b/>
                <w:sz w:val="16"/>
              </w:rPr>
            </w:pPr>
            <w:r>
              <w:rPr>
                <w:rFonts w:cs="Arial"/>
                <w:b/>
                <w:sz w:val="16"/>
              </w:rPr>
              <w:t>-20</w:t>
            </w:r>
            <w:r w:rsidR="002872E7" w:rsidRPr="002F446E">
              <w:rPr>
                <w:rFonts w:cs="Arial"/>
                <w:b/>
                <w:sz w:val="16"/>
              </w:rPr>
              <w:t>%</w:t>
            </w:r>
          </w:p>
        </w:tc>
      </w:tr>
      <w:tr w:rsidR="002872E7" w:rsidRPr="002F446E" w14:paraId="5F858D74" w14:textId="77777777" w:rsidTr="000F5D5A">
        <w:trPr>
          <w:trHeight w:val="284"/>
          <w:jc w:val="center"/>
        </w:trPr>
        <w:tc>
          <w:tcPr>
            <w:tcW w:w="3544" w:type="dxa"/>
            <w:vAlign w:val="center"/>
          </w:tcPr>
          <w:p w14:paraId="6AFE252A" w14:textId="77777777" w:rsidR="002872E7" w:rsidRPr="002F446E" w:rsidRDefault="002872E7" w:rsidP="002872E7">
            <w:pPr>
              <w:keepNext/>
              <w:ind w:left="170"/>
              <w:rPr>
                <w:rFonts w:cs="Arial"/>
                <w:sz w:val="16"/>
              </w:rPr>
            </w:pPr>
            <w:r w:rsidRPr="002F446E">
              <w:rPr>
                <w:rFonts w:cs="Arial"/>
                <w:sz w:val="16"/>
              </w:rPr>
              <w:t>Résultat de base par action (€)</w:t>
            </w:r>
          </w:p>
        </w:tc>
        <w:tc>
          <w:tcPr>
            <w:tcW w:w="1757" w:type="dxa"/>
            <w:shd w:val="clear" w:color="auto" w:fill="auto"/>
            <w:vAlign w:val="center"/>
          </w:tcPr>
          <w:p w14:paraId="32E4A861" w14:textId="3B88E424" w:rsidR="002872E7" w:rsidRPr="002F446E" w:rsidRDefault="002872E7" w:rsidP="002872E7">
            <w:pPr>
              <w:keepNext/>
              <w:ind w:left="-170" w:right="366"/>
              <w:jc w:val="right"/>
              <w:rPr>
                <w:rFonts w:cs="Arial"/>
                <w:sz w:val="16"/>
              </w:rPr>
            </w:pPr>
            <w:r w:rsidRPr="002F446E">
              <w:rPr>
                <w:rFonts w:cs="Arial"/>
                <w:sz w:val="16"/>
              </w:rPr>
              <w:t>2,34</w:t>
            </w:r>
          </w:p>
        </w:tc>
        <w:tc>
          <w:tcPr>
            <w:tcW w:w="1757" w:type="dxa"/>
            <w:shd w:val="clear" w:color="auto" w:fill="BBE7FF" w:themeFill="accent1" w:themeFillTint="33"/>
            <w:vAlign w:val="center"/>
          </w:tcPr>
          <w:p w14:paraId="091C6F47" w14:textId="29AD0260" w:rsidR="002872E7" w:rsidRPr="002F446E" w:rsidRDefault="00F92666" w:rsidP="002872E7">
            <w:pPr>
              <w:keepNext/>
              <w:ind w:left="-170" w:right="429"/>
              <w:jc w:val="right"/>
              <w:rPr>
                <w:rFonts w:cs="Arial"/>
                <w:sz w:val="16"/>
              </w:rPr>
            </w:pPr>
            <w:r>
              <w:rPr>
                <w:rFonts w:cs="Arial"/>
                <w:sz w:val="16"/>
              </w:rPr>
              <w:t>1,86</w:t>
            </w:r>
          </w:p>
        </w:tc>
        <w:tc>
          <w:tcPr>
            <w:tcW w:w="2588" w:type="dxa"/>
            <w:shd w:val="clear" w:color="auto" w:fill="auto"/>
            <w:vAlign w:val="center"/>
          </w:tcPr>
          <w:p w14:paraId="22E5A8B3" w14:textId="637AF974" w:rsidR="002872E7" w:rsidRPr="002F446E" w:rsidRDefault="008D005A" w:rsidP="002872E7">
            <w:pPr>
              <w:keepNext/>
              <w:jc w:val="center"/>
              <w:rPr>
                <w:rFonts w:cs="Arial"/>
                <w:sz w:val="16"/>
              </w:rPr>
            </w:pPr>
            <w:r>
              <w:rPr>
                <w:rFonts w:cs="Arial"/>
                <w:sz w:val="16"/>
              </w:rPr>
              <w:t>-21</w:t>
            </w:r>
            <w:r w:rsidR="002872E7" w:rsidRPr="002F446E">
              <w:rPr>
                <w:rFonts w:cs="Arial"/>
                <w:sz w:val="16"/>
              </w:rPr>
              <w:t>%</w:t>
            </w:r>
          </w:p>
        </w:tc>
      </w:tr>
      <w:tr w:rsidR="002872E7" w:rsidRPr="002F446E" w14:paraId="07BDF5BE" w14:textId="77777777" w:rsidTr="000F5D5A">
        <w:trPr>
          <w:trHeight w:val="284"/>
          <w:jc w:val="center"/>
        </w:trPr>
        <w:tc>
          <w:tcPr>
            <w:tcW w:w="3544" w:type="dxa"/>
            <w:tcBorders>
              <w:bottom w:val="single" w:sz="4" w:space="0" w:color="0070AD" w:themeColor="accent1"/>
            </w:tcBorders>
            <w:vAlign w:val="center"/>
          </w:tcPr>
          <w:p w14:paraId="21907E59" w14:textId="77777777" w:rsidR="002872E7" w:rsidRPr="002F446E" w:rsidRDefault="002872E7" w:rsidP="002872E7">
            <w:pPr>
              <w:keepNext/>
              <w:ind w:left="170"/>
              <w:rPr>
                <w:rFonts w:cs="Arial"/>
                <w:sz w:val="16"/>
              </w:rPr>
            </w:pPr>
            <w:r w:rsidRPr="002F446E">
              <w:rPr>
                <w:rFonts w:cs="Arial"/>
                <w:sz w:val="16"/>
              </w:rPr>
              <w:t>Résultat normalisé par action (</w:t>
            </w:r>
            <w:proofErr w:type="gramStart"/>
            <w:r w:rsidRPr="002F446E">
              <w:rPr>
                <w:rFonts w:cs="Arial"/>
                <w:sz w:val="16"/>
              </w:rPr>
              <w:t>€)</w:t>
            </w:r>
            <w:r w:rsidRPr="002F446E">
              <w:rPr>
                <w:rFonts w:cs="Arial"/>
                <w:sz w:val="16"/>
                <w:vertAlign w:val="superscript"/>
              </w:rPr>
              <w:t>*</w:t>
            </w:r>
            <w:proofErr w:type="gramEnd"/>
          </w:p>
        </w:tc>
        <w:tc>
          <w:tcPr>
            <w:tcW w:w="1757" w:type="dxa"/>
            <w:tcBorders>
              <w:bottom w:val="single" w:sz="4" w:space="0" w:color="0070AD" w:themeColor="accent1"/>
            </w:tcBorders>
            <w:shd w:val="clear" w:color="auto" w:fill="auto"/>
            <w:vAlign w:val="center"/>
          </w:tcPr>
          <w:p w14:paraId="3F4BE2B1" w14:textId="0ECE2A53" w:rsidR="002872E7" w:rsidRPr="002F446E" w:rsidRDefault="002872E7" w:rsidP="002872E7">
            <w:pPr>
              <w:keepNext/>
              <w:ind w:left="-170" w:right="259"/>
              <w:jc w:val="right"/>
              <w:rPr>
                <w:rFonts w:cs="Arial"/>
                <w:sz w:val="16"/>
              </w:rPr>
            </w:pPr>
            <w:r w:rsidRPr="002F446E">
              <w:rPr>
                <w:rFonts w:ascii="Verdana" w:hAnsi="Verdana" w:cs="Arial"/>
                <w:sz w:val="16"/>
              </w:rPr>
              <w:t>3,08</w:t>
            </w:r>
            <w:r w:rsidRPr="002F446E">
              <w:rPr>
                <w:rFonts w:cs="Arial"/>
                <w:sz w:val="16"/>
                <w:vertAlign w:val="superscript"/>
              </w:rPr>
              <w:t xml:space="preserve"> a</w:t>
            </w:r>
          </w:p>
        </w:tc>
        <w:tc>
          <w:tcPr>
            <w:tcW w:w="1757" w:type="dxa"/>
            <w:tcBorders>
              <w:bottom w:val="single" w:sz="4" w:space="0" w:color="0070AD" w:themeColor="accent1"/>
            </w:tcBorders>
            <w:shd w:val="clear" w:color="auto" w:fill="BBE7FF" w:themeFill="accent1" w:themeFillTint="33"/>
            <w:vAlign w:val="center"/>
          </w:tcPr>
          <w:p w14:paraId="5D446948" w14:textId="514B942A" w:rsidR="002872E7" w:rsidRPr="002F446E" w:rsidRDefault="00F92666" w:rsidP="002872E7">
            <w:pPr>
              <w:keepNext/>
              <w:ind w:left="-170" w:right="319"/>
              <w:jc w:val="right"/>
              <w:rPr>
                <w:rFonts w:cs="Arial"/>
                <w:sz w:val="16"/>
              </w:rPr>
            </w:pPr>
            <w:r>
              <w:rPr>
                <w:rFonts w:ascii="Verdana" w:hAnsi="Verdana" w:cs="Arial"/>
                <w:sz w:val="16"/>
              </w:rPr>
              <w:t>2,95</w:t>
            </w:r>
            <w:r w:rsidR="002872E7" w:rsidRPr="002F446E">
              <w:rPr>
                <w:rFonts w:cs="Arial"/>
                <w:sz w:val="16"/>
                <w:vertAlign w:val="superscript"/>
              </w:rPr>
              <w:t xml:space="preserve"> a</w:t>
            </w:r>
          </w:p>
        </w:tc>
        <w:tc>
          <w:tcPr>
            <w:tcW w:w="2588" w:type="dxa"/>
            <w:tcBorders>
              <w:bottom w:val="single" w:sz="4" w:space="0" w:color="0070AD" w:themeColor="accent1"/>
            </w:tcBorders>
            <w:shd w:val="clear" w:color="auto" w:fill="auto"/>
            <w:vAlign w:val="center"/>
          </w:tcPr>
          <w:p w14:paraId="2487C5DA" w14:textId="0E1CDE4B" w:rsidR="002872E7" w:rsidRPr="002F446E" w:rsidRDefault="002872E7" w:rsidP="002872E7">
            <w:pPr>
              <w:keepNext/>
              <w:jc w:val="center"/>
              <w:rPr>
                <w:rFonts w:cs="Arial"/>
                <w:sz w:val="16"/>
              </w:rPr>
            </w:pPr>
            <w:r w:rsidRPr="002F446E">
              <w:rPr>
                <w:rFonts w:cs="Arial"/>
                <w:sz w:val="16"/>
              </w:rPr>
              <w:t xml:space="preserve"> </w:t>
            </w:r>
            <w:r w:rsidR="008D005A">
              <w:rPr>
                <w:rFonts w:cs="Arial"/>
                <w:sz w:val="16"/>
              </w:rPr>
              <w:t>-4</w:t>
            </w:r>
            <w:r w:rsidRPr="002F446E">
              <w:rPr>
                <w:rFonts w:cs="Arial"/>
                <w:sz w:val="16"/>
              </w:rPr>
              <w:t>%</w:t>
            </w:r>
          </w:p>
        </w:tc>
      </w:tr>
      <w:tr w:rsidR="002872E7" w:rsidRPr="002F446E" w14:paraId="7F7852A8" w14:textId="77777777" w:rsidTr="000F5D5A">
        <w:trPr>
          <w:trHeight w:val="284"/>
          <w:jc w:val="center"/>
        </w:trPr>
        <w:tc>
          <w:tcPr>
            <w:tcW w:w="3544" w:type="dxa"/>
            <w:tcBorders>
              <w:top w:val="single" w:sz="4" w:space="0" w:color="0070AD" w:themeColor="accent1"/>
            </w:tcBorders>
            <w:vAlign w:val="center"/>
          </w:tcPr>
          <w:p w14:paraId="1D8940AF" w14:textId="77777777" w:rsidR="002872E7" w:rsidRPr="002F446E" w:rsidRDefault="002872E7" w:rsidP="002872E7">
            <w:pPr>
              <w:keepNext/>
              <w:rPr>
                <w:rFonts w:cs="Arial"/>
                <w:sz w:val="16"/>
              </w:rPr>
            </w:pPr>
            <w:r w:rsidRPr="002F446E">
              <w:rPr>
                <w:rFonts w:cs="Arial"/>
                <w:b/>
                <w:i/>
                <w:sz w:val="16"/>
              </w:rPr>
              <w:t>Free cash-flow</w:t>
            </w:r>
            <w:r w:rsidRPr="002F446E">
              <w:rPr>
                <w:rFonts w:cs="Arial"/>
                <w:b/>
                <w:sz w:val="16"/>
              </w:rPr>
              <w:t> organique</w:t>
            </w:r>
            <w:r w:rsidRPr="002F446E">
              <w:rPr>
                <w:rFonts w:cs="Arial"/>
                <w:sz w:val="16"/>
                <w:vertAlign w:val="superscript"/>
              </w:rPr>
              <w:t>*</w:t>
            </w:r>
          </w:p>
        </w:tc>
        <w:tc>
          <w:tcPr>
            <w:tcW w:w="1757" w:type="dxa"/>
            <w:tcBorders>
              <w:top w:val="single" w:sz="4" w:space="0" w:color="0070AD" w:themeColor="accent1"/>
            </w:tcBorders>
            <w:shd w:val="clear" w:color="auto" w:fill="auto"/>
            <w:vAlign w:val="center"/>
          </w:tcPr>
          <w:p w14:paraId="35833811" w14:textId="5B36CDB1" w:rsidR="002872E7" w:rsidRPr="002F446E" w:rsidRDefault="002872E7" w:rsidP="002872E7">
            <w:pPr>
              <w:keepNext/>
              <w:ind w:left="-170" w:right="366"/>
              <w:jc w:val="right"/>
              <w:rPr>
                <w:rFonts w:cs="Arial"/>
                <w:b/>
                <w:sz w:val="16"/>
              </w:rPr>
            </w:pPr>
            <w:r w:rsidRPr="002F446E">
              <w:rPr>
                <w:rFonts w:cs="Arial"/>
                <w:b/>
                <w:sz w:val="16"/>
              </w:rPr>
              <w:t>90</w:t>
            </w:r>
          </w:p>
        </w:tc>
        <w:tc>
          <w:tcPr>
            <w:tcW w:w="1757" w:type="dxa"/>
            <w:tcBorders>
              <w:top w:val="single" w:sz="4" w:space="0" w:color="0070AD" w:themeColor="accent1"/>
            </w:tcBorders>
            <w:shd w:val="clear" w:color="auto" w:fill="BBE7FF" w:themeFill="accent1" w:themeFillTint="33"/>
            <w:vAlign w:val="center"/>
          </w:tcPr>
          <w:p w14:paraId="060AAA63" w14:textId="113BD1F9" w:rsidR="002872E7" w:rsidRPr="002F446E" w:rsidRDefault="00F92666" w:rsidP="002872E7">
            <w:pPr>
              <w:keepNext/>
              <w:ind w:left="-170" w:right="429"/>
              <w:jc w:val="right"/>
              <w:rPr>
                <w:rFonts w:cs="Arial"/>
                <w:b/>
                <w:sz w:val="16"/>
              </w:rPr>
            </w:pPr>
            <w:r>
              <w:rPr>
                <w:rFonts w:cs="Arial"/>
                <w:b/>
                <w:sz w:val="16"/>
              </w:rPr>
              <w:t>106</w:t>
            </w:r>
          </w:p>
        </w:tc>
        <w:tc>
          <w:tcPr>
            <w:tcW w:w="2588" w:type="dxa"/>
            <w:tcBorders>
              <w:top w:val="single" w:sz="4" w:space="0" w:color="0070AD" w:themeColor="accent1"/>
            </w:tcBorders>
            <w:shd w:val="clear" w:color="auto" w:fill="auto"/>
            <w:vAlign w:val="center"/>
          </w:tcPr>
          <w:p w14:paraId="62375302" w14:textId="38ABC088" w:rsidR="002872E7" w:rsidRPr="002F446E" w:rsidRDefault="002872E7" w:rsidP="002872E7">
            <w:pPr>
              <w:keepNext/>
              <w:jc w:val="center"/>
              <w:rPr>
                <w:rFonts w:cs="Arial"/>
                <w:b/>
                <w:sz w:val="16"/>
              </w:rPr>
            </w:pPr>
            <w:r w:rsidRPr="002F446E">
              <w:rPr>
                <w:rFonts w:cs="Arial"/>
                <w:b/>
                <w:sz w:val="16"/>
              </w:rPr>
              <w:t>+</w:t>
            </w:r>
            <w:r w:rsidR="008D005A">
              <w:rPr>
                <w:rFonts w:cs="Arial"/>
                <w:b/>
                <w:sz w:val="16"/>
              </w:rPr>
              <w:t>16</w:t>
            </w:r>
            <w:r w:rsidRPr="002F446E">
              <w:rPr>
                <w:rFonts w:cs="Arial"/>
                <w:b/>
                <w:sz w:val="16"/>
              </w:rPr>
              <w:t xml:space="preserve"> M€</w:t>
            </w:r>
          </w:p>
        </w:tc>
      </w:tr>
      <w:tr w:rsidR="002872E7" w:rsidRPr="002F446E" w14:paraId="0402A65E" w14:textId="77777777" w:rsidTr="000F5D5A">
        <w:trPr>
          <w:trHeight w:val="284"/>
          <w:jc w:val="center"/>
        </w:trPr>
        <w:tc>
          <w:tcPr>
            <w:tcW w:w="3544" w:type="dxa"/>
            <w:tcBorders>
              <w:bottom w:val="single" w:sz="4" w:space="0" w:color="0070AD" w:themeColor="accent1"/>
            </w:tcBorders>
            <w:vAlign w:val="center"/>
          </w:tcPr>
          <w:p w14:paraId="4607FC8E" w14:textId="4B66343C" w:rsidR="002872E7" w:rsidRPr="002F446E" w:rsidRDefault="002872E7" w:rsidP="000F5D5A">
            <w:pPr>
              <w:keepNext/>
              <w:jc w:val="left"/>
              <w:rPr>
                <w:rFonts w:cs="Arial"/>
                <w:sz w:val="16"/>
              </w:rPr>
            </w:pPr>
            <w:r w:rsidRPr="002F446E">
              <w:rPr>
                <w:rFonts w:cs="Arial"/>
                <w:sz w:val="16"/>
              </w:rPr>
              <w:t>Trésorerie nette / (Endettement net)</w:t>
            </w:r>
            <w:r w:rsidRPr="002F446E">
              <w:rPr>
                <w:rFonts w:cs="Arial"/>
                <w:sz w:val="16"/>
                <w:vertAlign w:val="superscript"/>
              </w:rPr>
              <w:fldChar w:fldCharType="begin"/>
            </w:r>
            <w:r w:rsidRPr="002F446E">
              <w:rPr>
                <w:rFonts w:cs="Arial"/>
                <w:sz w:val="16"/>
                <w:vertAlign w:val="superscript"/>
              </w:rPr>
              <w:instrText xml:space="preserve"> NOTEREF _Ref13738408 \h  \* MERGEFORMAT </w:instrText>
            </w:r>
            <w:r w:rsidRPr="002F446E">
              <w:rPr>
                <w:rFonts w:cs="Arial"/>
                <w:sz w:val="16"/>
                <w:vertAlign w:val="superscript"/>
              </w:rPr>
            </w:r>
            <w:r w:rsidRPr="002F446E">
              <w:rPr>
                <w:rFonts w:cs="Arial"/>
                <w:sz w:val="16"/>
                <w:vertAlign w:val="superscript"/>
              </w:rPr>
              <w:fldChar w:fldCharType="separate"/>
            </w:r>
            <w:r w:rsidR="00B02E5E" w:rsidRPr="00B02E5E">
              <w:t>*</w:t>
            </w:r>
            <w:r w:rsidRPr="002F446E">
              <w:rPr>
                <w:rFonts w:cs="Arial"/>
                <w:sz w:val="16"/>
                <w:vertAlign w:val="superscript"/>
              </w:rPr>
              <w:fldChar w:fldCharType="end"/>
            </w:r>
          </w:p>
        </w:tc>
        <w:tc>
          <w:tcPr>
            <w:tcW w:w="1757" w:type="dxa"/>
            <w:tcBorders>
              <w:bottom w:val="single" w:sz="4" w:space="0" w:color="0070AD" w:themeColor="accent1"/>
            </w:tcBorders>
            <w:shd w:val="clear" w:color="auto" w:fill="auto"/>
            <w:vAlign w:val="center"/>
          </w:tcPr>
          <w:p w14:paraId="3B70A170" w14:textId="57E60167" w:rsidR="002872E7" w:rsidRPr="002F446E" w:rsidRDefault="002872E7" w:rsidP="002872E7">
            <w:pPr>
              <w:keepNext/>
              <w:ind w:left="-170" w:right="366"/>
              <w:jc w:val="right"/>
              <w:rPr>
                <w:rFonts w:cs="Arial"/>
                <w:sz w:val="16"/>
              </w:rPr>
            </w:pPr>
            <w:r w:rsidRPr="002F446E">
              <w:rPr>
                <w:rFonts w:ascii="Verdana" w:hAnsi="Verdana" w:cs="Arial"/>
                <w:sz w:val="16"/>
              </w:rPr>
              <w:t>(1 621)</w:t>
            </w:r>
          </w:p>
        </w:tc>
        <w:tc>
          <w:tcPr>
            <w:tcW w:w="1757" w:type="dxa"/>
            <w:tcBorders>
              <w:bottom w:val="single" w:sz="4" w:space="0" w:color="0070AD" w:themeColor="accent1"/>
            </w:tcBorders>
            <w:shd w:val="clear" w:color="auto" w:fill="BBE7FF" w:themeFill="accent1" w:themeFillTint="33"/>
            <w:vAlign w:val="center"/>
          </w:tcPr>
          <w:p w14:paraId="6AEE14F6" w14:textId="62897415" w:rsidR="002872E7" w:rsidRPr="002F446E" w:rsidRDefault="002872E7" w:rsidP="002872E7">
            <w:pPr>
              <w:keepNext/>
              <w:ind w:left="-170" w:right="429"/>
              <w:jc w:val="right"/>
              <w:rPr>
                <w:rFonts w:cs="Arial"/>
                <w:sz w:val="16"/>
              </w:rPr>
            </w:pPr>
            <w:r w:rsidRPr="002F446E">
              <w:rPr>
                <w:rFonts w:ascii="Verdana" w:hAnsi="Verdana" w:cs="Arial"/>
                <w:sz w:val="16"/>
              </w:rPr>
              <w:t>(</w:t>
            </w:r>
            <w:r w:rsidR="00F92666">
              <w:rPr>
                <w:rFonts w:ascii="Verdana" w:hAnsi="Verdana" w:cs="Arial"/>
                <w:sz w:val="16"/>
              </w:rPr>
              <w:t>6 008</w:t>
            </w:r>
            <w:r w:rsidRPr="002F446E">
              <w:rPr>
                <w:rFonts w:ascii="Verdana" w:hAnsi="Verdana" w:cs="Arial"/>
                <w:sz w:val="16"/>
              </w:rPr>
              <w:t>)</w:t>
            </w:r>
          </w:p>
        </w:tc>
        <w:tc>
          <w:tcPr>
            <w:tcW w:w="2588" w:type="dxa"/>
            <w:tcBorders>
              <w:bottom w:val="single" w:sz="4" w:space="0" w:color="0070AD" w:themeColor="accent1"/>
            </w:tcBorders>
            <w:shd w:val="clear" w:color="auto" w:fill="auto"/>
            <w:vAlign w:val="center"/>
          </w:tcPr>
          <w:p w14:paraId="4AA701F3" w14:textId="3005FB19" w:rsidR="002872E7" w:rsidRPr="002F446E" w:rsidRDefault="002872E7" w:rsidP="002872E7">
            <w:pPr>
              <w:keepNext/>
              <w:jc w:val="center"/>
              <w:rPr>
                <w:rFonts w:cs="Arial"/>
                <w:sz w:val="16"/>
              </w:rPr>
            </w:pPr>
          </w:p>
        </w:tc>
      </w:tr>
      <w:tr w:rsidR="00D159DD" w:rsidRPr="002F446E" w14:paraId="5F7B27C6" w14:textId="77777777" w:rsidTr="000F5D5A">
        <w:trPr>
          <w:trHeight w:val="413"/>
          <w:jc w:val="center"/>
        </w:trPr>
        <w:tc>
          <w:tcPr>
            <w:tcW w:w="9648" w:type="dxa"/>
            <w:gridSpan w:val="4"/>
            <w:tcBorders>
              <w:top w:val="single" w:sz="4" w:space="0" w:color="0070AD" w:themeColor="accent1"/>
            </w:tcBorders>
            <w:vAlign w:val="center"/>
          </w:tcPr>
          <w:p w14:paraId="74B50484" w14:textId="000DD295" w:rsidR="00D159DD" w:rsidRPr="002F446E" w:rsidRDefault="00D159DD" w:rsidP="00D159DD">
            <w:pPr>
              <w:keepNext/>
              <w:jc w:val="left"/>
              <w:rPr>
                <w:rFonts w:cs="Arial"/>
                <w:sz w:val="16"/>
              </w:rPr>
            </w:pPr>
            <w:proofErr w:type="gramStart"/>
            <w:r w:rsidRPr="002F446E">
              <w:rPr>
                <w:rFonts w:cs="Arial"/>
                <w:sz w:val="16"/>
                <w:vertAlign w:val="superscript"/>
              </w:rPr>
              <w:t>a</w:t>
            </w:r>
            <w:proofErr w:type="gramEnd"/>
            <w:r w:rsidRPr="002F446E">
              <w:rPr>
                <w:rFonts w:cs="Arial"/>
                <w:sz w:val="16"/>
              </w:rPr>
              <w:t xml:space="preserve"> </w:t>
            </w:r>
            <w:bookmarkStart w:id="5" w:name="_Hlk520146869"/>
            <w:r w:rsidR="00794241" w:rsidRPr="002F446E">
              <w:rPr>
                <w:rFonts w:cs="Arial"/>
                <w:sz w:val="12"/>
              </w:rPr>
              <w:t>Ho</w:t>
            </w:r>
            <w:r w:rsidRPr="002F446E">
              <w:rPr>
                <w:rFonts w:cs="Arial"/>
                <w:sz w:val="12"/>
              </w:rPr>
              <w:t xml:space="preserve">rs reconnaissance </w:t>
            </w:r>
            <w:r w:rsidR="0023179A" w:rsidRPr="002F446E">
              <w:rPr>
                <w:rFonts w:cs="Arial"/>
                <w:sz w:val="12"/>
              </w:rPr>
              <w:t xml:space="preserve">sur la période </w:t>
            </w:r>
            <w:r w:rsidRPr="002F446E">
              <w:rPr>
                <w:rFonts w:cs="Arial"/>
                <w:sz w:val="12"/>
              </w:rPr>
              <w:t>d’un</w:t>
            </w:r>
            <w:r w:rsidR="00342E0B" w:rsidRPr="002F446E">
              <w:rPr>
                <w:rFonts w:cs="Arial"/>
                <w:sz w:val="12"/>
              </w:rPr>
              <w:t xml:space="preserve">e charge </w:t>
            </w:r>
            <w:r w:rsidRPr="002F446E">
              <w:rPr>
                <w:rFonts w:cs="Arial"/>
                <w:sz w:val="12"/>
              </w:rPr>
              <w:t xml:space="preserve">d’impôt </w:t>
            </w:r>
            <w:r w:rsidR="000F077C" w:rsidRPr="002F446E">
              <w:rPr>
                <w:rFonts w:cs="Arial"/>
                <w:sz w:val="12"/>
              </w:rPr>
              <w:t xml:space="preserve">liée à l’impact transitoire de la réforme fiscale </w:t>
            </w:r>
            <w:r w:rsidR="00CD1D2F" w:rsidRPr="002F446E">
              <w:rPr>
                <w:rFonts w:cs="Arial"/>
                <w:sz w:val="12"/>
              </w:rPr>
              <w:t>aux Etats-Unis</w:t>
            </w:r>
            <w:bookmarkEnd w:id="5"/>
            <w:r w:rsidR="00156001" w:rsidRPr="002F446E">
              <w:rPr>
                <w:rFonts w:cs="Arial"/>
                <w:sz w:val="12"/>
              </w:rPr>
              <w:t xml:space="preserve"> de </w:t>
            </w:r>
            <w:r w:rsidR="008D7218">
              <w:rPr>
                <w:rFonts w:cs="Arial"/>
                <w:sz w:val="12"/>
              </w:rPr>
              <w:t xml:space="preserve">30 </w:t>
            </w:r>
            <w:r w:rsidR="00156001" w:rsidRPr="002F446E">
              <w:rPr>
                <w:rFonts w:cs="Arial"/>
                <w:sz w:val="12"/>
              </w:rPr>
              <w:t xml:space="preserve">millions d’euros </w:t>
            </w:r>
            <w:r w:rsidR="008D7218">
              <w:rPr>
                <w:rFonts w:cs="Arial"/>
                <w:sz w:val="12"/>
              </w:rPr>
              <w:t xml:space="preserve">au </w:t>
            </w:r>
            <w:r w:rsidR="006E527D">
              <w:rPr>
                <w:rFonts w:cs="Arial"/>
                <w:sz w:val="12"/>
              </w:rPr>
              <w:t xml:space="preserve">           </w:t>
            </w:r>
            <w:r w:rsidR="008D7218">
              <w:rPr>
                <w:rFonts w:cs="Arial"/>
                <w:sz w:val="12"/>
              </w:rPr>
              <w:t>1</w:t>
            </w:r>
            <w:r w:rsidR="008D7218" w:rsidRPr="008D7218">
              <w:rPr>
                <w:rFonts w:cs="Arial"/>
                <w:sz w:val="12"/>
                <w:vertAlign w:val="superscript"/>
              </w:rPr>
              <w:t>er</w:t>
            </w:r>
            <w:r w:rsidR="009A31CD">
              <w:rPr>
                <w:rFonts w:cs="Arial"/>
                <w:sz w:val="12"/>
                <w:vertAlign w:val="superscript"/>
              </w:rPr>
              <w:t xml:space="preserve"> </w:t>
            </w:r>
            <w:r w:rsidR="008D7218">
              <w:rPr>
                <w:rFonts w:cs="Arial"/>
                <w:sz w:val="12"/>
              </w:rPr>
              <w:t xml:space="preserve">semestre </w:t>
            </w:r>
            <w:r w:rsidR="00933F51">
              <w:rPr>
                <w:rFonts w:cs="Arial"/>
                <w:sz w:val="12"/>
              </w:rPr>
              <w:t>2019</w:t>
            </w:r>
            <w:r w:rsidR="00933F51" w:rsidRPr="002F446E">
              <w:rPr>
                <w:rFonts w:cs="Arial"/>
                <w:sz w:val="12"/>
              </w:rPr>
              <w:t xml:space="preserve"> </w:t>
            </w:r>
            <w:r w:rsidR="00156001" w:rsidRPr="002F446E">
              <w:rPr>
                <w:rFonts w:cs="Arial"/>
                <w:sz w:val="12"/>
              </w:rPr>
              <w:t xml:space="preserve">et </w:t>
            </w:r>
            <w:r w:rsidR="008D7218">
              <w:rPr>
                <w:rFonts w:cs="Arial"/>
                <w:sz w:val="12"/>
              </w:rPr>
              <w:t>26</w:t>
            </w:r>
            <w:r w:rsidR="00156001" w:rsidRPr="002F446E">
              <w:rPr>
                <w:rFonts w:cs="Arial"/>
                <w:sz w:val="12"/>
              </w:rPr>
              <w:t xml:space="preserve"> millions d’euros </w:t>
            </w:r>
            <w:r w:rsidR="008D7218">
              <w:rPr>
                <w:rFonts w:cs="Arial"/>
                <w:sz w:val="12"/>
              </w:rPr>
              <w:t>au 1</w:t>
            </w:r>
            <w:r w:rsidR="008D7218" w:rsidRPr="008D7218">
              <w:rPr>
                <w:rFonts w:cs="Arial"/>
                <w:sz w:val="12"/>
                <w:vertAlign w:val="superscript"/>
              </w:rPr>
              <w:t>er</w:t>
            </w:r>
            <w:r w:rsidR="008D7218">
              <w:rPr>
                <w:rFonts w:cs="Arial"/>
                <w:sz w:val="12"/>
              </w:rPr>
              <w:t xml:space="preserve"> semestre</w:t>
            </w:r>
            <w:r w:rsidR="00156001" w:rsidRPr="002F446E">
              <w:rPr>
                <w:rFonts w:cs="Arial"/>
                <w:sz w:val="12"/>
              </w:rPr>
              <w:t xml:space="preserve"> 20</w:t>
            </w:r>
            <w:r w:rsidR="008D7218">
              <w:rPr>
                <w:rFonts w:cs="Arial"/>
                <w:sz w:val="12"/>
              </w:rPr>
              <w:t>20</w:t>
            </w:r>
            <w:r w:rsidR="00CB7DEC" w:rsidRPr="002F446E">
              <w:rPr>
                <w:rFonts w:cs="Arial"/>
                <w:sz w:val="12"/>
              </w:rPr>
              <w:t>.</w:t>
            </w:r>
          </w:p>
        </w:tc>
      </w:tr>
    </w:tbl>
    <w:p w14:paraId="5D075E09" w14:textId="6EDFB111" w:rsidR="003B4D96" w:rsidRDefault="003B4D96" w:rsidP="00B00202">
      <w:pPr>
        <w:spacing w:before="120" w:after="120"/>
        <w:rPr>
          <w:rFonts w:ascii="Verdana" w:hAnsi="Verdana" w:cs="Arial"/>
        </w:rPr>
      </w:pPr>
    </w:p>
    <w:p w14:paraId="593C31EF" w14:textId="6098F887" w:rsidR="00570588" w:rsidRPr="00570588" w:rsidRDefault="00570588" w:rsidP="00570588">
      <w:pPr>
        <w:keepNext/>
        <w:spacing w:before="120" w:after="120" w:line="276" w:lineRule="auto"/>
        <w:rPr>
          <w:rFonts w:ascii="Verdana" w:hAnsi="Verdana" w:cs="Arial"/>
        </w:rPr>
      </w:pPr>
      <w:r w:rsidRPr="2C79DB7B">
        <w:rPr>
          <w:rFonts w:ascii="Verdana" w:hAnsi="Verdana" w:cs="Arial"/>
        </w:rPr>
        <w:t>Au cours du</w:t>
      </w:r>
      <w:r w:rsidR="00945229" w:rsidRPr="2C79DB7B">
        <w:rPr>
          <w:rFonts w:ascii="Verdana" w:hAnsi="Verdana" w:cs="Arial"/>
        </w:rPr>
        <w:t xml:space="preserve"> 1</w:t>
      </w:r>
      <w:r w:rsidR="00945229" w:rsidRPr="2C79DB7B">
        <w:rPr>
          <w:rFonts w:ascii="Verdana" w:hAnsi="Verdana" w:cs="Arial"/>
          <w:vertAlign w:val="superscript"/>
        </w:rPr>
        <w:t>er</w:t>
      </w:r>
      <w:r w:rsidR="00945229" w:rsidRPr="2C79DB7B">
        <w:rPr>
          <w:rFonts w:ascii="Verdana" w:hAnsi="Verdana" w:cs="Arial"/>
        </w:rPr>
        <w:t xml:space="preserve"> </w:t>
      </w:r>
      <w:r w:rsidRPr="2C79DB7B">
        <w:rPr>
          <w:rFonts w:ascii="Verdana" w:hAnsi="Verdana" w:cs="Arial"/>
        </w:rPr>
        <w:t>semestre</w:t>
      </w:r>
      <w:r w:rsidR="006A4D7E" w:rsidRPr="2C79DB7B">
        <w:rPr>
          <w:rFonts w:ascii="Verdana" w:hAnsi="Verdana" w:cs="Arial"/>
        </w:rPr>
        <w:t xml:space="preserve"> 2</w:t>
      </w:r>
      <w:r w:rsidRPr="2C79DB7B">
        <w:rPr>
          <w:rFonts w:ascii="Verdana" w:hAnsi="Verdana" w:cs="Arial"/>
        </w:rPr>
        <w:t>020</w:t>
      </w:r>
      <w:r w:rsidR="006E63F9">
        <w:rPr>
          <w:rFonts w:ascii="Verdana" w:hAnsi="Verdana" w:cs="Arial"/>
        </w:rPr>
        <w:t>,</w:t>
      </w:r>
      <w:r w:rsidRPr="2C79DB7B">
        <w:rPr>
          <w:rFonts w:ascii="Verdana" w:hAnsi="Verdana" w:cs="Arial"/>
        </w:rPr>
        <w:t xml:space="preserve"> Capgemini a </w:t>
      </w:r>
      <w:r w:rsidR="00F05A74" w:rsidRPr="2C79DB7B">
        <w:rPr>
          <w:rFonts w:ascii="Verdana" w:hAnsi="Verdana" w:cs="Arial"/>
        </w:rPr>
        <w:t xml:space="preserve">finalisé avec </w:t>
      </w:r>
      <w:r w:rsidRPr="2C79DB7B">
        <w:rPr>
          <w:rFonts w:ascii="Verdana" w:hAnsi="Verdana" w:cs="Arial"/>
        </w:rPr>
        <w:t>succès son Offre Publique d’Achat amicale sur Altran Technologies (« Altran »</w:t>
      </w:r>
      <w:r w:rsidR="00945229" w:rsidRPr="2C79DB7B">
        <w:rPr>
          <w:rFonts w:ascii="Verdana" w:hAnsi="Verdana" w:cs="Arial"/>
        </w:rPr>
        <w:t xml:space="preserve">), dont les </w:t>
      </w:r>
      <w:r w:rsidR="00963565" w:rsidRPr="2C79DB7B">
        <w:rPr>
          <w:rFonts w:ascii="Verdana" w:hAnsi="Verdana" w:cs="Arial"/>
        </w:rPr>
        <w:t xml:space="preserve">comptes </w:t>
      </w:r>
      <w:r w:rsidR="00945229" w:rsidRPr="2C79DB7B">
        <w:rPr>
          <w:rFonts w:ascii="Verdana" w:hAnsi="Verdana" w:cs="Arial"/>
        </w:rPr>
        <w:t xml:space="preserve">sont </w:t>
      </w:r>
      <w:r w:rsidR="00DB402A" w:rsidRPr="2C79DB7B">
        <w:rPr>
          <w:rFonts w:ascii="Verdana" w:hAnsi="Verdana" w:cs="Arial"/>
        </w:rPr>
        <w:t>intégralement</w:t>
      </w:r>
      <w:r w:rsidR="00963565" w:rsidRPr="2C79DB7B">
        <w:rPr>
          <w:rFonts w:ascii="Verdana" w:hAnsi="Verdana" w:cs="Arial"/>
        </w:rPr>
        <w:t xml:space="preserve"> </w:t>
      </w:r>
      <w:r w:rsidR="00945229" w:rsidRPr="2C79DB7B">
        <w:rPr>
          <w:rFonts w:ascii="Verdana" w:hAnsi="Verdana" w:cs="Arial"/>
        </w:rPr>
        <w:t xml:space="preserve">consolidés dans </w:t>
      </w:r>
      <w:r w:rsidR="00963565" w:rsidRPr="2C79DB7B">
        <w:rPr>
          <w:rFonts w:ascii="Verdana" w:hAnsi="Verdana" w:cs="Arial"/>
        </w:rPr>
        <w:t>ceux</w:t>
      </w:r>
      <w:r w:rsidR="00945229" w:rsidRPr="2C79DB7B">
        <w:rPr>
          <w:rFonts w:ascii="Verdana" w:hAnsi="Verdana" w:cs="Arial"/>
        </w:rPr>
        <w:t xml:space="preserve"> du Groupe à partir du </w:t>
      </w:r>
      <w:r w:rsidR="00A46421" w:rsidRPr="2C79DB7B">
        <w:rPr>
          <w:rFonts w:ascii="Verdana" w:hAnsi="Verdana" w:cs="Arial"/>
        </w:rPr>
        <w:t>1</w:t>
      </w:r>
      <w:r w:rsidR="00A46421" w:rsidRPr="2C79DB7B">
        <w:rPr>
          <w:rFonts w:ascii="Verdana" w:hAnsi="Verdana" w:cs="Arial"/>
          <w:vertAlign w:val="superscript"/>
        </w:rPr>
        <w:t>er</w:t>
      </w:r>
      <w:r w:rsidR="00A46421">
        <w:rPr>
          <w:rFonts w:ascii="Verdana" w:hAnsi="Verdana" w:cs="Arial"/>
        </w:rPr>
        <w:t> </w:t>
      </w:r>
      <w:r w:rsidR="00945229" w:rsidRPr="2C79DB7B">
        <w:rPr>
          <w:rFonts w:ascii="Verdana" w:hAnsi="Verdana" w:cs="Arial"/>
        </w:rPr>
        <w:t xml:space="preserve">avril 2020. </w:t>
      </w:r>
      <w:r w:rsidR="00D05055" w:rsidRPr="2C79DB7B">
        <w:rPr>
          <w:rFonts w:ascii="Verdana" w:hAnsi="Verdana" w:cs="Arial"/>
        </w:rPr>
        <w:t xml:space="preserve">Cette </w:t>
      </w:r>
      <w:r w:rsidRPr="2C79DB7B">
        <w:rPr>
          <w:rFonts w:ascii="Verdana" w:hAnsi="Verdana" w:cs="Arial"/>
        </w:rPr>
        <w:t xml:space="preserve">opération majeure positionne le Groupe comme </w:t>
      </w:r>
      <w:r w:rsidR="1E43FF03" w:rsidRPr="2C79DB7B">
        <w:rPr>
          <w:rFonts w:ascii="Verdana" w:hAnsi="Verdana" w:cs="Arial"/>
        </w:rPr>
        <w:t xml:space="preserve">le </w:t>
      </w:r>
      <w:r w:rsidRPr="2C79DB7B">
        <w:rPr>
          <w:rFonts w:ascii="Verdana" w:hAnsi="Verdana" w:cs="Arial"/>
        </w:rPr>
        <w:t xml:space="preserve">partenaire de référence dans la transformation </w:t>
      </w:r>
      <w:r w:rsidR="00D05055" w:rsidRPr="2C79DB7B">
        <w:rPr>
          <w:rFonts w:ascii="Verdana" w:hAnsi="Verdana" w:cs="Arial"/>
        </w:rPr>
        <w:t xml:space="preserve">digitale </w:t>
      </w:r>
      <w:r w:rsidRPr="2C79DB7B">
        <w:rPr>
          <w:rFonts w:ascii="Verdana" w:hAnsi="Verdana" w:cs="Arial"/>
        </w:rPr>
        <w:t xml:space="preserve">des </w:t>
      </w:r>
      <w:r w:rsidR="00043802">
        <w:rPr>
          <w:rFonts w:ascii="Verdana" w:hAnsi="Verdana" w:cs="Arial"/>
        </w:rPr>
        <w:t>entreprises industrielles et de</w:t>
      </w:r>
      <w:r w:rsidR="00BE4435" w:rsidRPr="2C79DB7B">
        <w:rPr>
          <w:rFonts w:ascii="Verdana" w:hAnsi="Verdana" w:cs="Arial"/>
        </w:rPr>
        <w:t xml:space="preserve"> technologie</w:t>
      </w:r>
      <w:r w:rsidRPr="2C79DB7B">
        <w:rPr>
          <w:rFonts w:ascii="Verdana" w:hAnsi="Verdana" w:cs="Arial"/>
        </w:rPr>
        <w:t xml:space="preserve">. Sur la même période, le Groupe a </w:t>
      </w:r>
      <w:r w:rsidR="00C44E99">
        <w:rPr>
          <w:rFonts w:ascii="Verdana" w:hAnsi="Verdana" w:cs="Arial"/>
        </w:rPr>
        <w:t xml:space="preserve">fait </w:t>
      </w:r>
      <w:r w:rsidRPr="2C79DB7B">
        <w:rPr>
          <w:rFonts w:ascii="Verdana" w:hAnsi="Verdana" w:cs="Arial"/>
        </w:rPr>
        <w:t xml:space="preserve">face aux conséquences de la crise liée à la pandémie de Covid-19 </w:t>
      </w:r>
      <w:r w:rsidR="00FB4D1E">
        <w:rPr>
          <w:rFonts w:ascii="Verdana" w:hAnsi="Verdana" w:cs="Arial"/>
        </w:rPr>
        <w:t xml:space="preserve">sur </w:t>
      </w:r>
      <w:r w:rsidR="003307B7">
        <w:rPr>
          <w:rFonts w:ascii="Verdana" w:hAnsi="Verdana" w:cs="Arial"/>
        </w:rPr>
        <w:t xml:space="preserve">ses différents </w:t>
      </w:r>
      <w:r w:rsidR="00FB4D1E">
        <w:rPr>
          <w:rFonts w:ascii="Verdana" w:hAnsi="Verdana" w:cs="Arial"/>
        </w:rPr>
        <w:t>marché</w:t>
      </w:r>
      <w:r w:rsidR="003307B7">
        <w:rPr>
          <w:rFonts w:ascii="Verdana" w:hAnsi="Verdana" w:cs="Arial"/>
        </w:rPr>
        <w:t>s</w:t>
      </w:r>
      <w:r w:rsidRPr="2C79DB7B">
        <w:rPr>
          <w:rFonts w:ascii="Verdana" w:hAnsi="Verdana" w:cs="Arial"/>
        </w:rPr>
        <w:t xml:space="preserve"> tout en assurant la sécurité de ses collaborateurs et la continuité de ses services pour l’ensemble de ses clients. </w:t>
      </w:r>
    </w:p>
    <w:p w14:paraId="2693C931" w14:textId="2AEEC9CD" w:rsidR="00570588" w:rsidRDefault="00570588" w:rsidP="00570588">
      <w:pPr>
        <w:keepNext/>
        <w:spacing w:before="120" w:after="120" w:line="276" w:lineRule="auto"/>
        <w:rPr>
          <w:rFonts w:ascii="Verdana" w:hAnsi="Verdana" w:cs="Arial"/>
        </w:rPr>
      </w:pPr>
      <w:r w:rsidRPr="00570588">
        <w:rPr>
          <w:rFonts w:ascii="Verdana" w:hAnsi="Verdana" w:cs="Arial"/>
        </w:rPr>
        <w:t>Dans ce contexte sans précédent</w:t>
      </w:r>
      <w:r w:rsidR="009C03E6">
        <w:rPr>
          <w:rFonts w:ascii="Verdana" w:hAnsi="Verdana" w:cs="Arial"/>
        </w:rPr>
        <w:t>,</w:t>
      </w:r>
      <w:r w:rsidRPr="00570588">
        <w:rPr>
          <w:rFonts w:ascii="Verdana" w:hAnsi="Verdana" w:cs="Arial"/>
        </w:rPr>
        <w:t xml:space="preserve"> le Groupe a su démontrer </w:t>
      </w:r>
      <w:r w:rsidR="007A37F2">
        <w:rPr>
          <w:rFonts w:ascii="Verdana" w:hAnsi="Verdana" w:cs="Arial"/>
        </w:rPr>
        <w:t>une remarquable</w:t>
      </w:r>
      <w:r w:rsidR="007A37F2" w:rsidRPr="00570588">
        <w:rPr>
          <w:rFonts w:ascii="Verdana" w:hAnsi="Verdana" w:cs="Arial"/>
        </w:rPr>
        <w:t xml:space="preserve"> </w:t>
      </w:r>
      <w:r w:rsidRPr="00570588">
        <w:rPr>
          <w:rFonts w:ascii="Verdana" w:hAnsi="Verdana" w:cs="Arial"/>
        </w:rPr>
        <w:t xml:space="preserve">agilité </w:t>
      </w:r>
      <w:r w:rsidR="00E55E2A">
        <w:rPr>
          <w:rFonts w:ascii="Verdana" w:hAnsi="Verdana" w:cs="Arial"/>
        </w:rPr>
        <w:t>ainsi que</w:t>
      </w:r>
      <w:r w:rsidR="00E55E2A" w:rsidRPr="00570588">
        <w:rPr>
          <w:rFonts w:ascii="Verdana" w:hAnsi="Verdana" w:cs="Arial"/>
        </w:rPr>
        <w:t xml:space="preserve"> </w:t>
      </w:r>
      <w:r w:rsidRPr="00570588">
        <w:rPr>
          <w:rFonts w:ascii="Verdana" w:hAnsi="Verdana" w:cs="Arial"/>
        </w:rPr>
        <w:t>la résilience de ses opérations et de son modèle financier. Les résultats du 1</w:t>
      </w:r>
      <w:r w:rsidRPr="00294A67">
        <w:rPr>
          <w:rFonts w:ascii="Verdana" w:hAnsi="Verdana" w:cs="Arial"/>
          <w:vertAlign w:val="superscript"/>
        </w:rPr>
        <w:t>er</w:t>
      </w:r>
      <w:r w:rsidR="00945229">
        <w:rPr>
          <w:rFonts w:ascii="Verdana" w:hAnsi="Verdana" w:cs="Arial"/>
        </w:rPr>
        <w:t xml:space="preserve"> </w:t>
      </w:r>
      <w:r w:rsidRPr="00570588">
        <w:rPr>
          <w:rFonts w:ascii="Verdana" w:hAnsi="Verdana" w:cs="Arial"/>
        </w:rPr>
        <w:t xml:space="preserve">semestre </w:t>
      </w:r>
      <w:r w:rsidR="00933F51">
        <w:rPr>
          <w:rFonts w:ascii="Verdana" w:hAnsi="Verdana" w:cs="Arial"/>
        </w:rPr>
        <w:t>2020</w:t>
      </w:r>
      <w:r w:rsidR="00933F51" w:rsidRPr="00570588">
        <w:rPr>
          <w:rFonts w:ascii="Verdana" w:hAnsi="Verdana" w:cs="Arial"/>
        </w:rPr>
        <w:t xml:space="preserve"> </w:t>
      </w:r>
      <w:r w:rsidRPr="00570588">
        <w:rPr>
          <w:rFonts w:ascii="Verdana" w:hAnsi="Verdana" w:cs="Arial"/>
        </w:rPr>
        <w:t>témoignent clairement de la qualité de cette résilience</w:t>
      </w:r>
      <w:r w:rsidR="00E55E2A">
        <w:rPr>
          <w:rFonts w:ascii="Verdana" w:hAnsi="Verdana" w:cs="Arial"/>
        </w:rPr>
        <w:t>,</w:t>
      </w:r>
      <w:r w:rsidRPr="00570588">
        <w:rPr>
          <w:rFonts w:ascii="Verdana" w:hAnsi="Verdana" w:cs="Arial"/>
        </w:rPr>
        <w:t xml:space="preserve"> qui a été fortement renforcée depuis la crise de 2009</w:t>
      </w:r>
      <w:r w:rsidR="00616046">
        <w:rPr>
          <w:rFonts w:ascii="Verdana" w:hAnsi="Verdana" w:cs="Arial"/>
        </w:rPr>
        <w:t>.</w:t>
      </w:r>
    </w:p>
    <w:p w14:paraId="677A4F47" w14:textId="29D2E32D" w:rsidR="008C46B5" w:rsidRPr="002F446E" w:rsidRDefault="00067458">
      <w:pPr>
        <w:spacing w:before="120" w:after="120" w:line="276" w:lineRule="auto"/>
        <w:rPr>
          <w:rFonts w:ascii="Verdana" w:hAnsi="Verdana" w:cs="Arial"/>
        </w:rPr>
      </w:pPr>
      <w:r w:rsidRPr="2C79DB7B">
        <w:rPr>
          <w:rFonts w:ascii="Verdana" w:hAnsi="Verdana" w:cs="Arial"/>
        </w:rPr>
        <w:t xml:space="preserve">Capgemini a réalisé </w:t>
      </w:r>
      <w:r w:rsidR="00B23DCE" w:rsidRPr="2C79DB7B">
        <w:rPr>
          <w:rFonts w:ascii="Verdana" w:hAnsi="Verdana" w:cs="Arial"/>
        </w:rPr>
        <w:t xml:space="preserve">sur le </w:t>
      </w:r>
      <w:r w:rsidRPr="2C79DB7B">
        <w:rPr>
          <w:rFonts w:ascii="Verdana" w:hAnsi="Verdana" w:cs="Arial"/>
        </w:rPr>
        <w:t>1</w:t>
      </w:r>
      <w:r w:rsidRPr="2C79DB7B">
        <w:rPr>
          <w:rFonts w:ascii="Verdana" w:hAnsi="Verdana" w:cs="Arial"/>
          <w:vertAlign w:val="superscript"/>
        </w:rPr>
        <w:t>er</w:t>
      </w:r>
      <w:r w:rsidRPr="2C79DB7B">
        <w:rPr>
          <w:rFonts w:ascii="Verdana" w:hAnsi="Verdana" w:cs="Arial"/>
        </w:rPr>
        <w:t xml:space="preserve"> semestre </w:t>
      </w:r>
      <w:r w:rsidR="00B23DCE" w:rsidRPr="2C79DB7B">
        <w:rPr>
          <w:rFonts w:ascii="Verdana" w:hAnsi="Verdana" w:cs="Arial"/>
        </w:rPr>
        <w:t xml:space="preserve">de l’année </w:t>
      </w:r>
      <w:r w:rsidRPr="2C79DB7B">
        <w:rPr>
          <w:rFonts w:ascii="Verdana" w:hAnsi="Verdana" w:cs="Arial"/>
        </w:rPr>
        <w:t xml:space="preserve">un </w:t>
      </w:r>
      <w:r w:rsidRPr="2C79DB7B">
        <w:rPr>
          <w:rFonts w:ascii="Verdana" w:hAnsi="Verdana" w:cs="Arial"/>
          <w:b/>
          <w:bCs/>
        </w:rPr>
        <w:t>chiffre d'affaires</w:t>
      </w:r>
      <w:r w:rsidRPr="2C79DB7B">
        <w:rPr>
          <w:rFonts w:ascii="Verdana" w:hAnsi="Verdana" w:cs="Arial"/>
        </w:rPr>
        <w:t xml:space="preserve"> de 7 581 millions d'euros. </w:t>
      </w:r>
      <w:r w:rsidR="00762982" w:rsidRPr="2C79DB7B">
        <w:rPr>
          <w:rFonts w:ascii="Verdana" w:hAnsi="Verdana" w:cs="Arial"/>
        </w:rPr>
        <w:t>Après un 1</w:t>
      </w:r>
      <w:r w:rsidR="00762982" w:rsidRPr="2C79DB7B">
        <w:rPr>
          <w:rFonts w:ascii="Verdana" w:hAnsi="Verdana" w:cs="Arial"/>
          <w:vertAlign w:val="superscript"/>
        </w:rPr>
        <w:t>er</w:t>
      </w:r>
      <w:r w:rsidR="000C4B08" w:rsidRPr="2C79DB7B">
        <w:rPr>
          <w:rFonts w:ascii="Verdana" w:hAnsi="Verdana" w:cs="Arial"/>
        </w:rPr>
        <w:t> </w:t>
      </w:r>
      <w:r w:rsidR="00762982" w:rsidRPr="2C79DB7B">
        <w:rPr>
          <w:rFonts w:ascii="Verdana" w:hAnsi="Verdana" w:cs="Arial"/>
        </w:rPr>
        <w:t xml:space="preserve">trimestre 2020 globalement en ligne avec les tendances observées au dernier trimestre 2019, </w:t>
      </w:r>
      <w:r w:rsidR="00C40BF7">
        <w:rPr>
          <w:rFonts w:ascii="Verdana" w:hAnsi="Verdana" w:cs="Arial"/>
        </w:rPr>
        <w:t xml:space="preserve">l’impact de la pandémie sur </w:t>
      </w:r>
      <w:r w:rsidR="00762982" w:rsidRPr="2C79DB7B">
        <w:rPr>
          <w:rFonts w:ascii="Verdana" w:hAnsi="Verdana" w:cs="Arial"/>
        </w:rPr>
        <w:t xml:space="preserve">l’activité </w:t>
      </w:r>
      <w:r w:rsidR="00F31920">
        <w:rPr>
          <w:rFonts w:ascii="Verdana" w:hAnsi="Verdana" w:cs="Arial"/>
        </w:rPr>
        <w:t>au</w:t>
      </w:r>
      <w:r w:rsidR="00F31920" w:rsidRPr="2C79DB7B">
        <w:rPr>
          <w:rFonts w:ascii="Verdana" w:hAnsi="Verdana" w:cs="Arial"/>
        </w:rPr>
        <w:t xml:space="preserve"> </w:t>
      </w:r>
      <w:r w:rsidR="00762982" w:rsidRPr="2C79DB7B">
        <w:rPr>
          <w:rFonts w:ascii="Verdana" w:hAnsi="Verdana" w:cs="Arial"/>
        </w:rPr>
        <w:t>2</w:t>
      </w:r>
      <w:r w:rsidR="00762982" w:rsidRPr="2C79DB7B">
        <w:rPr>
          <w:rFonts w:ascii="Verdana" w:hAnsi="Verdana" w:cs="Arial"/>
          <w:vertAlign w:val="superscript"/>
        </w:rPr>
        <w:t>ème</w:t>
      </w:r>
      <w:r w:rsidR="00762982" w:rsidRPr="2C79DB7B">
        <w:rPr>
          <w:rFonts w:ascii="Verdana" w:hAnsi="Verdana" w:cs="Arial"/>
        </w:rPr>
        <w:t xml:space="preserve"> trimestre </w:t>
      </w:r>
      <w:r w:rsidR="00C40BF7">
        <w:rPr>
          <w:rFonts w:ascii="Verdana" w:hAnsi="Verdana" w:cs="Arial"/>
        </w:rPr>
        <w:t xml:space="preserve">est </w:t>
      </w:r>
      <w:r w:rsidR="005A19AE">
        <w:rPr>
          <w:rFonts w:ascii="Verdana" w:hAnsi="Verdana" w:cs="Arial"/>
        </w:rPr>
        <w:t>clairement visible</w:t>
      </w:r>
      <w:r w:rsidR="00DE6837">
        <w:rPr>
          <w:rFonts w:ascii="Verdana" w:hAnsi="Verdana" w:cs="Arial"/>
        </w:rPr>
        <w:t xml:space="preserve">, </w:t>
      </w:r>
      <w:r w:rsidR="001D50AF">
        <w:rPr>
          <w:rFonts w:ascii="Verdana" w:hAnsi="Verdana" w:cs="Arial"/>
        </w:rPr>
        <w:t>mais somme toute contenu</w:t>
      </w:r>
      <w:r w:rsidR="00762982" w:rsidRPr="2C79DB7B">
        <w:rPr>
          <w:rFonts w:ascii="Verdana" w:hAnsi="Verdana" w:cs="Arial"/>
        </w:rPr>
        <w:t>.</w:t>
      </w:r>
      <w:r w:rsidR="002C0A99" w:rsidRPr="2C79DB7B">
        <w:rPr>
          <w:rFonts w:ascii="Verdana" w:hAnsi="Verdana" w:cs="Arial"/>
        </w:rPr>
        <w:t xml:space="preserve"> </w:t>
      </w:r>
      <w:r w:rsidR="00276E7F" w:rsidRPr="2C79DB7B">
        <w:rPr>
          <w:rFonts w:ascii="Verdana" w:hAnsi="Verdana" w:cs="Arial"/>
        </w:rPr>
        <w:t>L</w:t>
      </w:r>
      <w:r w:rsidR="00A8440C" w:rsidRPr="2C79DB7B">
        <w:rPr>
          <w:rFonts w:ascii="Verdana" w:hAnsi="Verdana" w:cs="Arial"/>
        </w:rPr>
        <w:t xml:space="preserve">a consolidation </w:t>
      </w:r>
      <w:r w:rsidR="00DF681F" w:rsidRPr="2C79DB7B">
        <w:rPr>
          <w:rFonts w:ascii="Verdana" w:hAnsi="Verdana" w:cs="Arial"/>
        </w:rPr>
        <w:t xml:space="preserve">d’Altran </w:t>
      </w:r>
      <w:r w:rsidR="00A8440C" w:rsidRPr="2C79DB7B">
        <w:rPr>
          <w:rFonts w:ascii="Verdana" w:hAnsi="Verdana" w:cs="Arial"/>
        </w:rPr>
        <w:t>à compter du 2</w:t>
      </w:r>
      <w:r w:rsidR="00A8440C" w:rsidRPr="2C79DB7B">
        <w:rPr>
          <w:rFonts w:ascii="Verdana" w:hAnsi="Verdana" w:cs="Arial"/>
          <w:vertAlign w:val="superscript"/>
        </w:rPr>
        <w:t>ème</w:t>
      </w:r>
      <w:r w:rsidR="00A8440C" w:rsidRPr="2C79DB7B">
        <w:rPr>
          <w:rFonts w:ascii="Verdana" w:hAnsi="Verdana" w:cs="Arial"/>
        </w:rPr>
        <w:t xml:space="preserve"> trimestre </w:t>
      </w:r>
      <w:r w:rsidR="008D2E55">
        <w:rPr>
          <w:rFonts w:ascii="Verdana" w:hAnsi="Verdana" w:cs="Arial"/>
        </w:rPr>
        <w:t xml:space="preserve">a eu un impact important sur </w:t>
      </w:r>
      <w:r w:rsidR="0057402F">
        <w:rPr>
          <w:rFonts w:ascii="Verdana" w:hAnsi="Verdana" w:cs="Arial"/>
        </w:rPr>
        <w:t>notre chiffre d’affaires</w:t>
      </w:r>
      <w:r w:rsidR="00762982" w:rsidRPr="2C79DB7B">
        <w:rPr>
          <w:rFonts w:ascii="Verdana" w:hAnsi="Verdana" w:cs="Arial"/>
        </w:rPr>
        <w:t xml:space="preserve">. </w:t>
      </w:r>
      <w:r w:rsidR="00DF681F" w:rsidRPr="2C79DB7B">
        <w:rPr>
          <w:rFonts w:ascii="Verdana" w:hAnsi="Verdana" w:cs="Arial"/>
        </w:rPr>
        <w:t>Ainsi</w:t>
      </w:r>
      <w:r w:rsidR="006E63F9">
        <w:rPr>
          <w:rFonts w:ascii="Verdana" w:hAnsi="Verdana" w:cs="Arial"/>
        </w:rPr>
        <w:t>,</w:t>
      </w:r>
      <w:r w:rsidR="00DF681F" w:rsidRPr="2C79DB7B">
        <w:rPr>
          <w:rFonts w:ascii="Verdana" w:hAnsi="Verdana" w:cs="Arial"/>
        </w:rPr>
        <w:t xml:space="preserve"> sur l’ensemble du 1</w:t>
      </w:r>
      <w:r w:rsidR="00DF681F" w:rsidRPr="2C79DB7B">
        <w:rPr>
          <w:rFonts w:ascii="Verdana" w:hAnsi="Verdana" w:cs="Arial"/>
          <w:vertAlign w:val="superscript"/>
        </w:rPr>
        <w:t>er</w:t>
      </w:r>
      <w:r w:rsidR="00DF681F" w:rsidRPr="2C79DB7B">
        <w:rPr>
          <w:rFonts w:ascii="Verdana" w:hAnsi="Verdana" w:cs="Arial"/>
        </w:rPr>
        <w:t xml:space="preserve"> semestre</w:t>
      </w:r>
      <w:r w:rsidR="00C63CE2" w:rsidRPr="2C79DB7B">
        <w:rPr>
          <w:rFonts w:ascii="Verdana" w:hAnsi="Verdana" w:cs="Arial"/>
        </w:rPr>
        <w:t>,</w:t>
      </w:r>
      <w:r w:rsidR="00DF681F" w:rsidRPr="2C79DB7B">
        <w:rPr>
          <w:rFonts w:ascii="Verdana" w:hAnsi="Verdana" w:cs="Arial"/>
        </w:rPr>
        <w:t xml:space="preserve"> la croissance </w:t>
      </w:r>
      <w:r w:rsidR="00D00ABE" w:rsidRPr="2C79DB7B">
        <w:rPr>
          <w:rFonts w:ascii="Verdana" w:hAnsi="Verdana" w:cs="Arial"/>
        </w:rPr>
        <w:t xml:space="preserve">atteint </w:t>
      </w:r>
      <w:r w:rsidR="003F0312" w:rsidRPr="2C79DB7B">
        <w:rPr>
          <w:rFonts w:ascii="Verdana" w:hAnsi="Verdana" w:cs="Arial"/>
        </w:rPr>
        <w:t>+</w:t>
      </w:r>
      <w:r w:rsidR="00FF0FDA" w:rsidRPr="2C79DB7B">
        <w:rPr>
          <w:rFonts w:ascii="Verdana" w:hAnsi="Verdana" w:cs="Arial"/>
        </w:rPr>
        <w:t>8,2</w:t>
      </w:r>
      <w:r w:rsidR="00D00ABE" w:rsidRPr="2C79DB7B">
        <w:rPr>
          <w:rFonts w:ascii="Verdana" w:hAnsi="Verdana" w:cs="Arial"/>
        </w:rPr>
        <w:t xml:space="preserve">% en données publiées et </w:t>
      </w:r>
      <w:r w:rsidR="003F0312" w:rsidRPr="2C79DB7B">
        <w:rPr>
          <w:rFonts w:ascii="Verdana" w:hAnsi="Verdana" w:cs="Arial"/>
        </w:rPr>
        <w:t>+</w:t>
      </w:r>
      <w:r w:rsidR="00FF0FDA" w:rsidRPr="2C79DB7B">
        <w:rPr>
          <w:rFonts w:ascii="Verdana" w:hAnsi="Verdana" w:cs="Arial"/>
        </w:rPr>
        <w:t>7,9</w:t>
      </w:r>
      <w:r w:rsidR="00D00ABE" w:rsidRPr="2C79DB7B">
        <w:rPr>
          <w:rFonts w:ascii="Verdana" w:hAnsi="Verdana" w:cs="Arial"/>
        </w:rPr>
        <w:t>% à taux de change constants</w:t>
      </w:r>
      <w:r w:rsidR="009E1407">
        <w:rPr>
          <w:rFonts w:ascii="Verdana" w:hAnsi="Verdana" w:cs="Arial"/>
        </w:rPr>
        <w:t>.</w:t>
      </w:r>
      <w:r w:rsidR="00276E7F" w:rsidRPr="2C79DB7B">
        <w:rPr>
          <w:rFonts w:ascii="Verdana" w:hAnsi="Verdana" w:cs="Arial"/>
        </w:rPr>
        <w:t xml:space="preserve"> </w:t>
      </w:r>
      <w:r w:rsidR="009E1407">
        <w:rPr>
          <w:rFonts w:ascii="Verdana" w:hAnsi="Verdana" w:cs="Arial"/>
        </w:rPr>
        <w:t>L</w:t>
      </w:r>
      <w:r w:rsidR="00E60C29" w:rsidRPr="2C79DB7B">
        <w:rPr>
          <w:rFonts w:ascii="Verdana" w:hAnsi="Verdana" w:cs="Arial"/>
        </w:rPr>
        <w:t>a croissance « organique</w:t>
      </w:r>
      <w:r w:rsidR="00675750" w:rsidRPr="2C79DB7B">
        <w:rPr>
          <w:rFonts w:ascii="Verdana" w:hAnsi="Verdana" w:cs="Arial"/>
        </w:rPr>
        <w:t> » (corrigée des effets de périmètre et de taux de change</w:t>
      </w:r>
      <w:r w:rsidR="00D51CD7" w:rsidRPr="2C79DB7B">
        <w:rPr>
          <w:rFonts w:ascii="Verdana" w:hAnsi="Verdana" w:cs="Arial"/>
        </w:rPr>
        <w:t>)</w:t>
      </w:r>
      <w:r w:rsidR="00675750" w:rsidRPr="2C79DB7B">
        <w:rPr>
          <w:rFonts w:ascii="Verdana" w:hAnsi="Verdana" w:cs="Arial"/>
        </w:rPr>
        <w:t xml:space="preserve"> </w:t>
      </w:r>
      <w:r w:rsidR="007836AA" w:rsidRPr="2C79DB7B">
        <w:rPr>
          <w:rFonts w:ascii="Verdana" w:hAnsi="Verdana" w:cs="Arial"/>
        </w:rPr>
        <w:t>enregistre un</w:t>
      </w:r>
      <w:r w:rsidR="00AE60D5" w:rsidRPr="2C79DB7B">
        <w:rPr>
          <w:rFonts w:ascii="Verdana" w:hAnsi="Verdana" w:cs="Arial"/>
        </w:rPr>
        <w:t xml:space="preserve"> recul </w:t>
      </w:r>
      <w:r w:rsidR="30D18E7C" w:rsidRPr="2C79DB7B">
        <w:rPr>
          <w:rFonts w:ascii="Verdana" w:hAnsi="Verdana" w:cs="Arial"/>
        </w:rPr>
        <w:t>limité</w:t>
      </w:r>
      <w:r w:rsidR="00AE60D5" w:rsidRPr="2C79DB7B">
        <w:rPr>
          <w:rFonts w:ascii="Verdana" w:hAnsi="Verdana" w:cs="Arial"/>
        </w:rPr>
        <w:t xml:space="preserve"> </w:t>
      </w:r>
      <w:r w:rsidR="00436356" w:rsidRPr="2C79DB7B">
        <w:rPr>
          <w:rFonts w:ascii="Verdana" w:hAnsi="Verdana" w:cs="Arial"/>
        </w:rPr>
        <w:t>à</w:t>
      </w:r>
      <w:r w:rsidR="007A0271">
        <w:rPr>
          <w:rFonts w:ascii="Verdana" w:hAnsi="Verdana" w:cs="Arial"/>
        </w:rPr>
        <w:t xml:space="preserve"> </w:t>
      </w:r>
      <w:r w:rsidR="004C6E47">
        <w:rPr>
          <w:rFonts w:ascii="Verdana" w:hAnsi="Verdana" w:cs="Arial"/>
        </w:rPr>
        <w:softHyphen/>
      </w:r>
      <w:r w:rsidR="00693190">
        <w:rPr>
          <w:rFonts w:ascii="Verdana" w:hAnsi="Verdana" w:cs="Arial"/>
        </w:rPr>
        <w:noBreakHyphen/>
      </w:r>
      <w:r w:rsidR="00D51CD7" w:rsidRPr="2C79DB7B">
        <w:rPr>
          <w:rFonts w:ascii="Verdana" w:hAnsi="Verdana" w:cs="Arial"/>
        </w:rPr>
        <w:t>3,4% pour le nouvel ensemble</w:t>
      </w:r>
      <w:r w:rsidR="00002A32" w:rsidRPr="2C79DB7B">
        <w:rPr>
          <w:rFonts w:ascii="Verdana" w:hAnsi="Verdana" w:cs="Arial"/>
        </w:rPr>
        <w:t>.</w:t>
      </w:r>
      <w:r w:rsidR="00AF22C8">
        <w:rPr>
          <w:rFonts w:ascii="Verdana" w:hAnsi="Verdana" w:cs="Arial"/>
        </w:rPr>
        <w:t xml:space="preserve"> </w:t>
      </w:r>
      <w:r w:rsidR="001E774C">
        <w:rPr>
          <w:rFonts w:ascii="Verdana" w:hAnsi="Verdana" w:cs="Arial"/>
        </w:rPr>
        <w:t xml:space="preserve">Cela </w:t>
      </w:r>
      <w:r w:rsidR="00232C54">
        <w:rPr>
          <w:rFonts w:ascii="Verdana" w:hAnsi="Verdana" w:cs="Arial"/>
        </w:rPr>
        <w:t xml:space="preserve">démontre </w:t>
      </w:r>
      <w:r w:rsidR="000157C3">
        <w:rPr>
          <w:rFonts w:ascii="Verdana" w:hAnsi="Verdana" w:cs="Arial"/>
        </w:rPr>
        <w:t xml:space="preserve">que </w:t>
      </w:r>
      <w:r w:rsidR="000F3889">
        <w:rPr>
          <w:rFonts w:ascii="Verdana" w:hAnsi="Verdana" w:cs="Arial"/>
        </w:rPr>
        <w:t>la diversification sectorielle et géographique de la base de clients du Groupe</w:t>
      </w:r>
      <w:r w:rsidR="00E05BD7">
        <w:rPr>
          <w:rFonts w:ascii="Verdana" w:hAnsi="Verdana" w:cs="Arial"/>
        </w:rPr>
        <w:t xml:space="preserve"> </w:t>
      </w:r>
      <w:r w:rsidR="00BA4FF4">
        <w:rPr>
          <w:rFonts w:ascii="Verdana" w:hAnsi="Verdana" w:cs="Arial"/>
        </w:rPr>
        <w:t xml:space="preserve">et </w:t>
      </w:r>
      <w:r w:rsidR="00F6036A">
        <w:rPr>
          <w:rFonts w:ascii="Verdana" w:hAnsi="Verdana" w:cs="Arial"/>
        </w:rPr>
        <w:t>la qualité du</w:t>
      </w:r>
      <w:r w:rsidR="00B45AE1">
        <w:rPr>
          <w:rFonts w:ascii="Verdana" w:hAnsi="Verdana" w:cs="Arial"/>
        </w:rPr>
        <w:t xml:space="preserve"> </w:t>
      </w:r>
      <w:r w:rsidR="0059341B">
        <w:rPr>
          <w:rFonts w:ascii="Verdana" w:hAnsi="Verdana" w:cs="Arial"/>
        </w:rPr>
        <w:t xml:space="preserve">portefeuille </w:t>
      </w:r>
      <w:r w:rsidR="00D83030">
        <w:rPr>
          <w:rFonts w:ascii="Verdana" w:hAnsi="Verdana" w:cs="Arial"/>
        </w:rPr>
        <w:t xml:space="preserve">d’offres </w:t>
      </w:r>
      <w:r w:rsidR="00C77098">
        <w:rPr>
          <w:rFonts w:ascii="Verdana" w:hAnsi="Verdana" w:cs="Arial"/>
        </w:rPr>
        <w:t xml:space="preserve">développé ces dernières années </w:t>
      </w:r>
      <w:r w:rsidR="000009F9">
        <w:rPr>
          <w:rFonts w:ascii="Verdana" w:hAnsi="Verdana" w:cs="Arial"/>
        </w:rPr>
        <w:t xml:space="preserve">ont renforcé la </w:t>
      </w:r>
      <w:r w:rsidR="001E774C">
        <w:rPr>
          <w:rFonts w:ascii="Verdana" w:hAnsi="Verdana" w:cs="Arial"/>
        </w:rPr>
        <w:t xml:space="preserve">résilience </w:t>
      </w:r>
      <w:r w:rsidR="000009F9">
        <w:rPr>
          <w:rFonts w:ascii="Verdana" w:hAnsi="Verdana" w:cs="Arial"/>
        </w:rPr>
        <w:t xml:space="preserve">du </w:t>
      </w:r>
      <w:r w:rsidR="005F4B14">
        <w:rPr>
          <w:rFonts w:ascii="Verdana" w:hAnsi="Verdana" w:cs="Arial"/>
        </w:rPr>
        <w:t>chiffre d’affaires</w:t>
      </w:r>
      <w:r w:rsidR="00E37D70">
        <w:rPr>
          <w:rFonts w:ascii="Verdana" w:hAnsi="Verdana" w:cs="Arial"/>
        </w:rPr>
        <w:t xml:space="preserve"> de Capgemini</w:t>
      </w:r>
      <w:r w:rsidR="005F4B14">
        <w:rPr>
          <w:rFonts w:ascii="Verdana" w:hAnsi="Verdana" w:cs="Arial"/>
        </w:rPr>
        <w:t xml:space="preserve">. </w:t>
      </w:r>
      <w:r w:rsidR="00981D9D">
        <w:rPr>
          <w:rFonts w:ascii="Verdana" w:hAnsi="Verdana" w:cs="Arial"/>
        </w:rPr>
        <w:t xml:space="preserve">En particulier, </w:t>
      </w:r>
      <w:r w:rsidR="00E37D70">
        <w:rPr>
          <w:rFonts w:ascii="Verdana" w:hAnsi="Verdana" w:cs="Arial"/>
        </w:rPr>
        <w:t xml:space="preserve">le Groupe </w:t>
      </w:r>
      <w:r w:rsidR="00C13362">
        <w:rPr>
          <w:rFonts w:ascii="Verdana" w:hAnsi="Verdana" w:cs="Arial"/>
        </w:rPr>
        <w:t xml:space="preserve">conserve une dynamique soutenue dans les services liés au </w:t>
      </w:r>
      <w:r w:rsidR="00C13362" w:rsidRPr="001020C1">
        <w:rPr>
          <w:rFonts w:ascii="Verdana" w:hAnsi="Verdana" w:cs="Arial"/>
          <w:b/>
          <w:bCs/>
        </w:rPr>
        <w:t xml:space="preserve">Digital </w:t>
      </w:r>
      <w:r w:rsidR="00C13362" w:rsidRPr="008E7B28">
        <w:rPr>
          <w:rFonts w:ascii="Verdana" w:hAnsi="Verdana" w:cs="Arial"/>
        </w:rPr>
        <w:t>et au</w:t>
      </w:r>
      <w:r w:rsidR="00C13362" w:rsidRPr="001020C1">
        <w:rPr>
          <w:rFonts w:ascii="Verdana" w:hAnsi="Verdana" w:cs="Arial"/>
          <w:b/>
          <w:bCs/>
        </w:rPr>
        <w:t xml:space="preserve"> Cloud</w:t>
      </w:r>
      <w:r w:rsidR="00C13362" w:rsidRPr="002F446E">
        <w:rPr>
          <w:rFonts w:ascii="Verdana" w:hAnsi="Verdana" w:cs="Arial"/>
        </w:rPr>
        <w:t xml:space="preserve">, </w:t>
      </w:r>
      <w:r w:rsidR="00C13362">
        <w:rPr>
          <w:rFonts w:ascii="Verdana" w:hAnsi="Verdana" w:cs="Arial"/>
        </w:rPr>
        <w:t>qui enregistrent u</w:t>
      </w:r>
      <w:r w:rsidR="00C13362" w:rsidRPr="00820AD9">
        <w:rPr>
          <w:rFonts w:ascii="Verdana" w:hAnsi="Verdana" w:cs="Arial"/>
        </w:rPr>
        <w:t>n</w:t>
      </w:r>
      <w:r w:rsidR="00C13362">
        <w:rPr>
          <w:rFonts w:ascii="Verdana" w:hAnsi="Verdana" w:cs="Arial"/>
        </w:rPr>
        <w:t>e</w:t>
      </w:r>
      <w:r w:rsidR="00C13362" w:rsidRPr="00820AD9">
        <w:rPr>
          <w:rFonts w:ascii="Verdana" w:hAnsi="Verdana" w:cs="Arial"/>
        </w:rPr>
        <w:t xml:space="preserve"> hausse de </w:t>
      </w:r>
      <w:r w:rsidR="00C13362">
        <w:rPr>
          <w:rFonts w:ascii="Verdana" w:hAnsi="Verdana" w:cs="Arial"/>
        </w:rPr>
        <w:t xml:space="preserve">plus de </w:t>
      </w:r>
      <w:r w:rsidR="00C13362" w:rsidRPr="00820AD9">
        <w:rPr>
          <w:rFonts w:ascii="Verdana" w:hAnsi="Verdana" w:cs="Arial"/>
        </w:rPr>
        <w:t>1</w:t>
      </w:r>
      <w:r w:rsidR="00C13362">
        <w:rPr>
          <w:rFonts w:ascii="Verdana" w:hAnsi="Verdana" w:cs="Arial"/>
        </w:rPr>
        <w:t>0</w:t>
      </w:r>
      <w:r w:rsidR="00C13362" w:rsidRPr="00820AD9">
        <w:rPr>
          <w:rFonts w:ascii="Verdana" w:hAnsi="Verdana" w:cs="Arial"/>
        </w:rPr>
        <w:t>%</w:t>
      </w:r>
      <w:bookmarkStart w:id="6" w:name="_Ref48598760"/>
      <w:r w:rsidR="00E35020">
        <w:rPr>
          <w:rStyle w:val="FootnoteReference"/>
          <w:rFonts w:ascii="Verdana" w:hAnsi="Verdana" w:cs="Arial"/>
        </w:rPr>
        <w:footnoteReference w:id="4"/>
      </w:r>
      <w:bookmarkEnd w:id="6"/>
      <w:r w:rsidR="00D94DC5">
        <w:rPr>
          <w:rFonts w:ascii="Verdana" w:hAnsi="Verdana" w:cs="Arial"/>
        </w:rPr>
        <w:t xml:space="preserve"> sur le 1</w:t>
      </w:r>
      <w:r w:rsidR="00D94DC5" w:rsidRPr="00907331">
        <w:rPr>
          <w:rFonts w:ascii="Verdana" w:hAnsi="Verdana" w:cs="Arial"/>
          <w:vertAlign w:val="superscript"/>
        </w:rPr>
        <w:t>er</w:t>
      </w:r>
      <w:r w:rsidR="00D94DC5">
        <w:rPr>
          <w:rFonts w:ascii="Verdana" w:hAnsi="Verdana" w:cs="Arial"/>
        </w:rPr>
        <w:t xml:space="preserve"> semestre</w:t>
      </w:r>
      <w:r w:rsidR="00E8246F">
        <w:rPr>
          <w:rFonts w:ascii="Verdana" w:hAnsi="Verdana" w:cs="Arial"/>
        </w:rPr>
        <w:t>, illustrant le caractère structurel de la demande pour ces services</w:t>
      </w:r>
      <w:r w:rsidR="00C13362">
        <w:rPr>
          <w:rFonts w:ascii="Verdana" w:hAnsi="Verdana" w:cs="Arial"/>
        </w:rPr>
        <w:t>.</w:t>
      </w:r>
    </w:p>
    <w:p w14:paraId="721D2AB2" w14:textId="6D98A2B9" w:rsidR="00B00202" w:rsidRPr="002F446E" w:rsidRDefault="00B00202" w:rsidP="002C22BA">
      <w:pPr>
        <w:spacing w:before="120" w:after="120" w:line="276" w:lineRule="auto"/>
        <w:rPr>
          <w:rFonts w:ascii="Verdana" w:hAnsi="Verdana" w:cs="Arial"/>
          <w:bCs/>
        </w:rPr>
      </w:pPr>
      <w:r w:rsidRPr="002F446E">
        <w:rPr>
          <w:rFonts w:ascii="Verdana" w:hAnsi="Verdana" w:cs="Arial"/>
          <w:bCs/>
        </w:rPr>
        <w:t xml:space="preserve">Les </w:t>
      </w:r>
      <w:r w:rsidRPr="002F446E">
        <w:rPr>
          <w:rFonts w:ascii="Verdana" w:hAnsi="Verdana" w:cs="Arial"/>
          <w:b/>
          <w:bCs/>
        </w:rPr>
        <w:t>prises de commandes</w:t>
      </w:r>
      <w:r w:rsidRPr="002F446E">
        <w:rPr>
          <w:rFonts w:ascii="Verdana" w:hAnsi="Verdana" w:cs="Arial"/>
          <w:bCs/>
        </w:rPr>
        <w:t xml:space="preserve"> enregistrées sur le semestre </w:t>
      </w:r>
      <w:r w:rsidR="003F287D">
        <w:rPr>
          <w:rFonts w:ascii="Verdana" w:hAnsi="Verdana" w:cs="Arial"/>
          <w:bCs/>
        </w:rPr>
        <w:t xml:space="preserve">écoulé </w:t>
      </w:r>
      <w:r w:rsidRPr="002F446E">
        <w:rPr>
          <w:rFonts w:ascii="Verdana" w:hAnsi="Verdana" w:cs="Arial"/>
          <w:bCs/>
        </w:rPr>
        <w:t xml:space="preserve">s’élèvent à </w:t>
      </w:r>
      <w:r w:rsidR="005426EC">
        <w:rPr>
          <w:rFonts w:ascii="Verdana" w:hAnsi="Verdana" w:cs="Arial"/>
          <w:bCs/>
        </w:rPr>
        <w:t>7 841</w:t>
      </w:r>
      <w:r w:rsidRPr="002F446E">
        <w:rPr>
          <w:rFonts w:ascii="Verdana" w:hAnsi="Verdana" w:cs="Arial"/>
          <w:bCs/>
        </w:rPr>
        <w:t xml:space="preserve"> millions d’euros, </w:t>
      </w:r>
      <w:r w:rsidR="000612F0" w:rsidRPr="002F446E">
        <w:rPr>
          <w:rFonts w:ascii="Verdana" w:hAnsi="Verdana" w:cs="Arial"/>
          <w:bCs/>
        </w:rPr>
        <w:t xml:space="preserve">en hausse de </w:t>
      </w:r>
      <w:r w:rsidR="00BD21AE">
        <w:rPr>
          <w:rFonts w:ascii="Verdana" w:hAnsi="Verdana" w:cs="Arial"/>
          <w:bCs/>
        </w:rPr>
        <w:t>+</w:t>
      </w:r>
      <w:r w:rsidR="0016343C">
        <w:rPr>
          <w:rFonts w:ascii="Verdana" w:hAnsi="Verdana" w:cs="Arial"/>
          <w:bCs/>
        </w:rPr>
        <w:t>1</w:t>
      </w:r>
      <w:r w:rsidR="00122345">
        <w:rPr>
          <w:rFonts w:ascii="Verdana" w:hAnsi="Verdana" w:cs="Arial"/>
          <w:bCs/>
        </w:rPr>
        <w:t>0,3</w:t>
      </w:r>
      <w:r w:rsidR="000612F0" w:rsidRPr="002F446E">
        <w:rPr>
          <w:rFonts w:ascii="Verdana" w:hAnsi="Verdana" w:cs="Arial"/>
          <w:bCs/>
        </w:rPr>
        <w:t xml:space="preserve">% à taux de change constants par rapport à </w:t>
      </w:r>
      <w:r w:rsidRPr="002F446E">
        <w:rPr>
          <w:rFonts w:ascii="Verdana" w:hAnsi="Verdana" w:cs="Arial"/>
          <w:bCs/>
        </w:rPr>
        <w:t xml:space="preserve">la même période de </w:t>
      </w:r>
      <w:r w:rsidR="00580CAF">
        <w:rPr>
          <w:rFonts w:ascii="Verdana" w:hAnsi="Verdana" w:cs="Arial"/>
          <w:bCs/>
        </w:rPr>
        <w:t>2019</w:t>
      </w:r>
      <w:r w:rsidRPr="002F446E">
        <w:rPr>
          <w:rFonts w:ascii="Verdana" w:hAnsi="Verdana" w:cs="Arial"/>
          <w:bCs/>
        </w:rPr>
        <w:t xml:space="preserve">. </w:t>
      </w:r>
      <w:r w:rsidR="00C4473A">
        <w:rPr>
          <w:rFonts w:ascii="Verdana" w:hAnsi="Verdana" w:cs="Arial"/>
          <w:bCs/>
        </w:rPr>
        <w:t xml:space="preserve">Le ratio de </w:t>
      </w:r>
      <w:r w:rsidR="003E15F8">
        <w:rPr>
          <w:rFonts w:ascii="Verdana" w:hAnsi="Verdana" w:cs="Arial"/>
          <w:bCs/>
        </w:rPr>
        <w:t>« </w:t>
      </w:r>
      <w:r w:rsidR="00C4473A" w:rsidRPr="00D471E2">
        <w:rPr>
          <w:rFonts w:ascii="Verdana" w:hAnsi="Verdana" w:cs="Arial"/>
          <w:bCs/>
          <w:i/>
          <w:iCs/>
        </w:rPr>
        <w:t>book-to-bill</w:t>
      </w:r>
      <w:r w:rsidR="003E15F8">
        <w:rPr>
          <w:rFonts w:ascii="Verdana" w:hAnsi="Verdana" w:cs="Arial"/>
          <w:bCs/>
        </w:rPr>
        <w:t> »</w:t>
      </w:r>
      <w:r w:rsidR="00C4473A">
        <w:rPr>
          <w:rFonts w:ascii="Verdana" w:hAnsi="Verdana" w:cs="Arial"/>
          <w:bCs/>
        </w:rPr>
        <w:t xml:space="preserve"> </w:t>
      </w:r>
      <w:r w:rsidR="00026F41">
        <w:rPr>
          <w:rFonts w:ascii="Verdana" w:hAnsi="Verdana" w:cs="Arial"/>
          <w:bCs/>
        </w:rPr>
        <w:t xml:space="preserve">dépasse celui de 2019 sur la même période et </w:t>
      </w:r>
      <w:r w:rsidR="00D12A92">
        <w:rPr>
          <w:rFonts w:ascii="Verdana" w:hAnsi="Verdana" w:cs="Arial"/>
          <w:bCs/>
        </w:rPr>
        <w:t xml:space="preserve">atteint </w:t>
      </w:r>
      <w:r w:rsidR="00C82E6D">
        <w:rPr>
          <w:rFonts w:ascii="Verdana" w:hAnsi="Verdana" w:cs="Arial"/>
          <w:bCs/>
        </w:rPr>
        <w:t>103</w:t>
      </w:r>
      <w:r w:rsidR="00D12A92">
        <w:rPr>
          <w:rFonts w:ascii="Verdana" w:hAnsi="Verdana" w:cs="Arial"/>
          <w:bCs/>
        </w:rPr>
        <w:t xml:space="preserve">% </w:t>
      </w:r>
      <w:r w:rsidR="00026F41">
        <w:rPr>
          <w:rFonts w:ascii="Verdana" w:hAnsi="Verdana" w:cs="Arial"/>
          <w:bCs/>
        </w:rPr>
        <w:t xml:space="preserve">ce qui </w:t>
      </w:r>
      <w:r w:rsidR="00631014">
        <w:rPr>
          <w:rFonts w:ascii="Verdana" w:hAnsi="Verdana" w:cs="Arial"/>
          <w:bCs/>
        </w:rPr>
        <w:t>illustre</w:t>
      </w:r>
      <w:r w:rsidR="00A6620A">
        <w:rPr>
          <w:rFonts w:ascii="Verdana" w:hAnsi="Verdana" w:cs="Arial"/>
          <w:bCs/>
        </w:rPr>
        <w:t xml:space="preserve"> la bonne tenue de l’activité commerciale </w:t>
      </w:r>
      <w:r w:rsidR="00EF6656">
        <w:rPr>
          <w:rFonts w:ascii="Verdana" w:hAnsi="Verdana" w:cs="Arial"/>
          <w:bCs/>
        </w:rPr>
        <w:t>dans le contexte de la pandémie.</w:t>
      </w:r>
    </w:p>
    <w:p w14:paraId="1FB92214" w14:textId="25C07572" w:rsidR="00B80015" w:rsidRPr="00DD2EEB" w:rsidRDefault="00B00202" w:rsidP="002C22BA">
      <w:pPr>
        <w:spacing w:before="120" w:after="120" w:line="276" w:lineRule="auto"/>
        <w:rPr>
          <w:rFonts w:ascii="Verdana" w:hAnsi="Verdana" w:cs="Arial"/>
          <w:color w:val="FF0000"/>
        </w:rPr>
      </w:pPr>
      <w:r w:rsidRPr="002F446E">
        <w:rPr>
          <w:rFonts w:ascii="Verdana" w:hAnsi="Verdana" w:cs="Arial"/>
        </w:rPr>
        <w:t xml:space="preserve">La </w:t>
      </w:r>
      <w:r w:rsidRPr="002F446E">
        <w:rPr>
          <w:rFonts w:ascii="Verdana" w:hAnsi="Verdana" w:cs="Arial"/>
          <w:b/>
        </w:rPr>
        <w:t>marge opérationnelle</w:t>
      </w:r>
      <w:r w:rsidR="00701F43" w:rsidRPr="002F446E">
        <w:rPr>
          <w:rFonts w:ascii="Verdana" w:hAnsi="Verdana" w:cs="Arial"/>
          <w:bCs/>
          <w:vertAlign w:val="superscript"/>
        </w:rPr>
        <w:fldChar w:fldCharType="begin"/>
      </w:r>
      <w:r w:rsidR="00701F43" w:rsidRPr="002F446E">
        <w:rPr>
          <w:rFonts w:ascii="Verdana" w:hAnsi="Verdana" w:cs="Arial"/>
          <w:bCs/>
          <w:vertAlign w:val="superscript"/>
        </w:rPr>
        <w:instrText xml:space="preserve"> NOTEREF _Ref13738408 \h  \* MERGEFORMAT </w:instrText>
      </w:r>
      <w:r w:rsidR="00701F43" w:rsidRPr="002F446E">
        <w:rPr>
          <w:rFonts w:ascii="Verdana" w:hAnsi="Verdana" w:cs="Arial"/>
          <w:bCs/>
          <w:vertAlign w:val="superscript"/>
        </w:rPr>
      </w:r>
      <w:r w:rsidR="00701F43" w:rsidRPr="002F446E">
        <w:rPr>
          <w:rFonts w:ascii="Verdana" w:hAnsi="Verdana" w:cs="Arial"/>
          <w:bCs/>
          <w:vertAlign w:val="superscript"/>
        </w:rPr>
        <w:fldChar w:fldCharType="separate"/>
      </w:r>
      <w:r w:rsidR="00B02E5E" w:rsidRPr="00B02E5E">
        <w:t>*</w:t>
      </w:r>
      <w:r w:rsidR="00701F43" w:rsidRPr="002F446E">
        <w:rPr>
          <w:rFonts w:ascii="Verdana" w:hAnsi="Verdana" w:cs="Arial"/>
          <w:bCs/>
          <w:vertAlign w:val="superscript"/>
        </w:rPr>
        <w:fldChar w:fldCharType="end"/>
      </w:r>
      <w:r w:rsidRPr="002F446E">
        <w:rPr>
          <w:rFonts w:ascii="Verdana" w:hAnsi="Verdana" w:cs="Arial"/>
        </w:rPr>
        <w:t xml:space="preserve"> </w:t>
      </w:r>
      <w:r w:rsidR="009E7FA9">
        <w:rPr>
          <w:rFonts w:ascii="Verdana" w:hAnsi="Verdana" w:cs="Arial"/>
        </w:rPr>
        <w:t xml:space="preserve">progresse de </w:t>
      </w:r>
      <w:r w:rsidR="007719E7">
        <w:rPr>
          <w:rFonts w:ascii="Verdana" w:hAnsi="Verdana" w:cs="Arial"/>
        </w:rPr>
        <w:t>+</w:t>
      </w:r>
      <w:r w:rsidR="009E7FA9">
        <w:rPr>
          <w:rFonts w:ascii="Verdana" w:hAnsi="Verdana" w:cs="Arial"/>
        </w:rPr>
        <w:t>3%</w:t>
      </w:r>
      <w:r w:rsidR="00C05782">
        <w:rPr>
          <w:rFonts w:ascii="Verdana" w:hAnsi="Verdana" w:cs="Arial"/>
        </w:rPr>
        <w:t xml:space="preserve"> </w:t>
      </w:r>
      <w:r w:rsidR="00BD21AE">
        <w:rPr>
          <w:rFonts w:ascii="Verdana" w:hAnsi="Verdana" w:cs="Arial"/>
        </w:rPr>
        <w:t xml:space="preserve">en </w:t>
      </w:r>
      <w:r w:rsidR="004267BD">
        <w:rPr>
          <w:rFonts w:ascii="Verdana" w:hAnsi="Verdana" w:cs="Arial"/>
        </w:rPr>
        <w:t xml:space="preserve">valeur </w:t>
      </w:r>
      <w:r w:rsidR="00C05782">
        <w:rPr>
          <w:rFonts w:ascii="Verdana" w:hAnsi="Verdana" w:cs="Arial"/>
        </w:rPr>
        <w:t>à</w:t>
      </w:r>
      <w:r w:rsidR="00C540C3" w:rsidRPr="002F446E">
        <w:rPr>
          <w:rFonts w:ascii="Verdana" w:hAnsi="Verdana" w:cs="Arial"/>
        </w:rPr>
        <w:t xml:space="preserve"> </w:t>
      </w:r>
      <w:r w:rsidR="0016343C">
        <w:rPr>
          <w:rFonts w:ascii="Verdana" w:hAnsi="Verdana"/>
        </w:rPr>
        <w:t>818</w:t>
      </w:r>
      <w:r w:rsidR="00580CAF">
        <w:rPr>
          <w:rFonts w:ascii="Verdana" w:hAnsi="Verdana"/>
        </w:rPr>
        <w:t xml:space="preserve"> </w:t>
      </w:r>
      <w:r w:rsidRPr="002F446E">
        <w:rPr>
          <w:rFonts w:ascii="Verdana" w:hAnsi="Verdana" w:cs="Arial"/>
        </w:rPr>
        <w:t>millions d’euros</w:t>
      </w:r>
      <w:r w:rsidR="004267BD">
        <w:rPr>
          <w:rFonts w:ascii="Verdana" w:hAnsi="Verdana" w:cs="Arial"/>
        </w:rPr>
        <w:t xml:space="preserve">, </w:t>
      </w:r>
      <w:r w:rsidR="0006751B">
        <w:rPr>
          <w:rFonts w:ascii="Verdana" w:hAnsi="Verdana" w:cs="Arial"/>
        </w:rPr>
        <w:t xml:space="preserve">ce qui représente </w:t>
      </w:r>
      <w:r w:rsidR="003B5989">
        <w:rPr>
          <w:rFonts w:ascii="Verdana" w:hAnsi="Verdana" w:cs="Arial"/>
        </w:rPr>
        <w:t xml:space="preserve">un taux de </w:t>
      </w:r>
      <w:r w:rsidR="0006751B">
        <w:rPr>
          <w:rFonts w:ascii="Verdana" w:hAnsi="Verdana" w:cs="Arial"/>
        </w:rPr>
        <w:t>1</w:t>
      </w:r>
      <w:r w:rsidR="001A4F77">
        <w:rPr>
          <w:rFonts w:ascii="Verdana" w:hAnsi="Verdana" w:cs="Arial"/>
        </w:rPr>
        <w:t>0,8% du chiffre d’affaires</w:t>
      </w:r>
      <w:r w:rsidR="009E7FA9">
        <w:rPr>
          <w:rFonts w:ascii="Verdana" w:hAnsi="Verdana" w:cs="Arial"/>
        </w:rPr>
        <w:t>.</w:t>
      </w:r>
      <w:r w:rsidR="00E165A3" w:rsidRPr="002F446E">
        <w:rPr>
          <w:rFonts w:ascii="Verdana" w:hAnsi="Verdana" w:cs="Arial"/>
        </w:rPr>
        <w:t xml:space="preserve"> </w:t>
      </w:r>
      <w:r w:rsidR="009D617F">
        <w:rPr>
          <w:rFonts w:ascii="Verdana" w:hAnsi="Verdana" w:cs="Arial"/>
        </w:rPr>
        <w:t>L</w:t>
      </w:r>
      <w:r w:rsidR="000923CD" w:rsidRPr="000923CD">
        <w:rPr>
          <w:rFonts w:ascii="Verdana" w:hAnsi="Verdana" w:cs="Arial"/>
        </w:rPr>
        <w:t xml:space="preserve">a contraction du taux de marge opérationnelle par rapport à la même période de l’année 2019 est </w:t>
      </w:r>
      <w:r w:rsidR="009D617F">
        <w:rPr>
          <w:rFonts w:ascii="Verdana" w:hAnsi="Verdana" w:cs="Arial"/>
        </w:rPr>
        <w:t xml:space="preserve">ainsi </w:t>
      </w:r>
      <w:r w:rsidR="000923CD" w:rsidRPr="000923CD">
        <w:rPr>
          <w:rFonts w:ascii="Verdana" w:hAnsi="Verdana" w:cs="Arial"/>
        </w:rPr>
        <w:t>contenue à 60 points de base, en ligne avec le plan de marche du Groupe pour démontrer en 2020 le renforcement de sa résilience</w:t>
      </w:r>
      <w:r w:rsidR="009D617F">
        <w:rPr>
          <w:rFonts w:ascii="Verdana" w:hAnsi="Verdana" w:cs="Arial"/>
        </w:rPr>
        <w:t>.</w:t>
      </w:r>
    </w:p>
    <w:p w14:paraId="535808C6" w14:textId="3D556A78" w:rsidR="00B00202" w:rsidRPr="002F446E" w:rsidRDefault="00B00202" w:rsidP="002C22BA">
      <w:pPr>
        <w:spacing w:before="120" w:after="120" w:line="276" w:lineRule="auto"/>
        <w:rPr>
          <w:rFonts w:ascii="Verdana" w:hAnsi="Verdana" w:cs="Arial"/>
        </w:rPr>
      </w:pPr>
      <w:r w:rsidRPr="002F446E">
        <w:rPr>
          <w:rFonts w:ascii="Verdana" w:hAnsi="Verdana" w:cs="Arial"/>
        </w:rPr>
        <w:t xml:space="preserve">Les </w:t>
      </w:r>
      <w:r w:rsidRPr="00907331">
        <w:rPr>
          <w:rFonts w:ascii="Verdana" w:hAnsi="Verdana" w:cs="Arial"/>
          <w:b/>
          <w:bCs/>
        </w:rPr>
        <w:t>autres produits et charges opérationnels</w:t>
      </w:r>
      <w:r w:rsidRPr="002F446E">
        <w:rPr>
          <w:rFonts w:ascii="Verdana" w:hAnsi="Verdana" w:cs="Arial"/>
        </w:rPr>
        <w:t xml:space="preserve"> </w:t>
      </w:r>
      <w:r w:rsidR="004430A8" w:rsidRPr="002F446E">
        <w:rPr>
          <w:rFonts w:ascii="Verdana" w:hAnsi="Verdana" w:cs="Arial"/>
        </w:rPr>
        <w:t>représentent une charge nette de</w:t>
      </w:r>
      <w:r w:rsidRPr="002F446E">
        <w:rPr>
          <w:rFonts w:ascii="Verdana" w:hAnsi="Verdana" w:cs="Arial"/>
        </w:rPr>
        <w:t xml:space="preserve"> </w:t>
      </w:r>
      <w:r w:rsidR="00B40D84">
        <w:rPr>
          <w:rFonts w:ascii="Verdana" w:hAnsi="Verdana" w:cs="Arial"/>
        </w:rPr>
        <w:t>241</w:t>
      </w:r>
      <w:r w:rsidR="00156001" w:rsidRPr="002F446E">
        <w:rPr>
          <w:rFonts w:ascii="Verdana" w:hAnsi="Verdana" w:cs="Arial"/>
        </w:rPr>
        <w:t xml:space="preserve"> </w:t>
      </w:r>
      <w:r w:rsidRPr="002F446E">
        <w:rPr>
          <w:rFonts w:ascii="Verdana" w:hAnsi="Verdana" w:cs="Arial"/>
        </w:rPr>
        <w:t xml:space="preserve">millions d’euros, </w:t>
      </w:r>
      <w:r w:rsidR="00156001" w:rsidRPr="002F446E">
        <w:rPr>
          <w:rFonts w:ascii="Verdana" w:hAnsi="Verdana" w:cs="Arial"/>
        </w:rPr>
        <w:t xml:space="preserve">en </w:t>
      </w:r>
      <w:r w:rsidR="00B40D84">
        <w:rPr>
          <w:rFonts w:ascii="Verdana" w:hAnsi="Verdana" w:cs="Arial"/>
        </w:rPr>
        <w:t xml:space="preserve">hausse </w:t>
      </w:r>
      <w:r w:rsidR="00156001" w:rsidRPr="002F446E">
        <w:rPr>
          <w:rFonts w:ascii="Verdana" w:hAnsi="Verdana" w:cs="Arial"/>
        </w:rPr>
        <w:t xml:space="preserve">de </w:t>
      </w:r>
      <w:r w:rsidR="00E451D6">
        <w:rPr>
          <w:rFonts w:ascii="Verdana" w:hAnsi="Verdana" w:cs="Arial"/>
        </w:rPr>
        <w:t>102</w:t>
      </w:r>
      <w:r w:rsidR="00156001" w:rsidRPr="002F446E">
        <w:rPr>
          <w:rFonts w:ascii="Verdana" w:hAnsi="Verdana" w:cs="Arial"/>
        </w:rPr>
        <w:t xml:space="preserve"> </w:t>
      </w:r>
      <w:r w:rsidRPr="002F446E">
        <w:rPr>
          <w:rFonts w:ascii="Verdana" w:hAnsi="Verdana" w:cs="Arial"/>
        </w:rPr>
        <w:t xml:space="preserve">millions d’euros </w:t>
      </w:r>
      <w:r w:rsidR="00156001" w:rsidRPr="002F446E">
        <w:rPr>
          <w:rFonts w:ascii="Verdana" w:hAnsi="Verdana" w:cs="Arial"/>
        </w:rPr>
        <w:t xml:space="preserve">par rapport à </w:t>
      </w:r>
      <w:r w:rsidRPr="002F446E">
        <w:rPr>
          <w:rFonts w:ascii="Verdana" w:hAnsi="Verdana" w:cs="Arial"/>
        </w:rPr>
        <w:t xml:space="preserve">la même période de </w:t>
      </w:r>
      <w:r w:rsidR="00580CAF">
        <w:rPr>
          <w:rFonts w:ascii="Verdana" w:hAnsi="Verdana" w:cs="Arial"/>
        </w:rPr>
        <w:t>2019</w:t>
      </w:r>
      <w:r w:rsidR="00E90B5A">
        <w:rPr>
          <w:rFonts w:ascii="Verdana" w:hAnsi="Verdana" w:cs="Arial"/>
        </w:rPr>
        <w:t xml:space="preserve">. </w:t>
      </w:r>
      <w:r w:rsidR="00DF3237">
        <w:rPr>
          <w:rFonts w:ascii="Verdana" w:hAnsi="Verdana" w:cs="Arial"/>
        </w:rPr>
        <w:t xml:space="preserve">Cette hausse </w:t>
      </w:r>
      <w:r w:rsidR="00D4464C">
        <w:rPr>
          <w:rFonts w:ascii="Verdana" w:hAnsi="Verdana" w:cs="Arial"/>
        </w:rPr>
        <w:t xml:space="preserve">sensible </w:t>
      </w:r>
      <w:r w:rsidR="002C0A46">
        <w:rPr>
          <w:rFonts w:ascii="Verdana" w:hAnsi="Verdana" w:cs="Arial"/>
        </w:rPr>
        <w:t xml:space="preserve">s’explique principalement par les coûts d’acquisition et d’intégration </w:t>
      </w:r>
      <w:r w:rsidR="00AF4F5E">
        <w:rPr>
          <w:rFonts w:ascii="Verdana" w:hAnsi="Verdana" w:cs="Arial"/>
        </w:rPr>
        <w:t>d’</w:t>
      </w:r>
      <w:r w:rsidR="002C0A46">
        <w:rPr>
          <w:rFonts w:ascii="Verdana" w:hAnsi="Verdana" w:cs="Arial"/>
        </w:rPr>
        <w:t>Altran</w:t>
      </w:r>
      <w:r w:rsidR="00251C9E">
        <w:rPr>
          <w:rFonts w:ascii="Verdana" w:hAnsi="Verdana" w:cs="Arial"/>
        </w:rPr>
        <w:t xml:space="preserve">, </w:t>
      </w:r>
      <w:r w:rsidR="00CC2D46">
        <w:rPr>
          <w:rFonts w:ascii="Verdana" w:hAnsi="Verdana" w:cs="Arial"/>
        </w:rPr>
        <w:t xml:space="preserve">la prise en compte </w:t>
      </w:r>
      <w:r w:rsidR="00611562">
        <w:rPr>
          <w:rFonts w:ascii="Verdana" w:hAnsi="Verdana" w:cs="Arial"/>
        </w:rPr>
        <w:t xml:space="preserve">des charges de restructuration </w:t>
      </w:r>
      <w:r w:rsidR="009361B2">
        <w:rPr>
          <w:rFonts w:ascii="Verdana" w:hAnsi="Verdana" w:cs="Arial"/>
        </w:rPr>
        <w:t xml:space="preserve">propres </w:t>
      </w:r>
      <w:r w:rsidR="00251C9E">
        <w:rPr>
          <w:rFonts w:ascii="Verdana" w:hAnsi="Verdana" w:cs="Arial"/>
        </w:rPr>
        <w:t>à</w:t>
      </w:r>
      <w:r w:rsidR="006356DF">
        <w:rPr>
          <w:rFonts w:ascii="Verdana" w:hAnsi="Verdana" w:cs="Arial"/>
        </w:rPr>
        <w:t xml:space="preserve"> Altran</w:t>
      </w:r>
      <w:r w:rsidR="004A38A9">
        <w:rPr>
          <w:rFonts w:ascii="Verdana" w:hAnsi="Verdana" w:cs="Arial"/>
        </w:rPr>
        <w:t xml:space="preserve"> et la </w:t>
      </w:r>
      <w:r w:rsidR="000F6DB8">
        <w:rPr>
          <w:rFonts w:ascii="Verdana" w:hAnsi="Verdana" w:cs="Arial"/>
        </w:rPr>
        <w:t>saisonnalité</w:t>
      </w:r>
      <w:r w:rsidR="004A38A9">
        <w:rPr>
          <w:rFonts w:ascii="Verdana" w:hAnsi="Verdana" w:cs="Arial"/>
        </w:rPr>
        <w:t xml:space="preserve"> </w:t>
      </w:r>
      <w:r w:rsidR="000F6DB8">
        <w:rPr>
          <w:rFonts w:ascii="Verdana" w:hAnsi="Verdana" w:cs="Arial"/>
        </w:rPr>
        <w:t>des coûts de restructuration</w:t>
      </w:r>
      <w:r w:rsidR="00F241AD">
        <w:rPr>
          <w:rFonts w:ascii="Verdana" w:hAnsi="Verdana" w:cs="Arial"/>
        </w:rPr>
        <w:t xml:space="preserve"> plus marquée sur le 1</w:t>
      </w:r>
      <w:r w:rsidR="00F241AD" w:rsidRPr="00907331">
        <w:rPr>
          <w:rFonts w:ascii="Verdana" w:hAnsi="Verdana" w:cs="Arial"/>
          <w:vertAlign w:val="superscript"/>
        </w:rPr>
        <w:t>er</w:t>
      </w:r>
      <w:r w:rsidR="00F241AD">
        <w:rPr>
          <w:rFonts w:ascii="Verdana" w:hAnsi="Verdana" w:cs="Arial"/>
        </w:rPr>
        <w:t xml:space="preserve"> semestre de </w:t>
      </w:r>
      <w:r w:rsidR="00891189">
        <w:rPr>
          <w:rFonts w:ascii="Verdana" w:hAnsi="Verdana" w:cs="Arial"/>
        </w:rPr>
        <w:t xml:space="preserve">cette </w:t>
      </w:r>
      <w:r w:rsidR="00F241AD">
        <w:rPr>
          <w:rFonts w:ascii="Verdana" w:hAnsi="Verdana" w:cs="Arial"/>
        </w:rPr>
        <w:t>année</w:t>
      </w:r>
      <w:r w:rsidR="00CC2D46">
        <w:rPr>
          <w:rFonts w:ascii="Verdana" w:hAnsi="Verdana" w:cs="Arial"/>
        </w:rPr>
        <w:t>.</w:t>
      </w:r>
    </w:p>
    <w:p w14:paraId="735573FC" w14:textId="6894168D" w:rsidR="00B00202" w:rsidRPr="002F446E" w:rsidRDefault="00272F99" w:rsidP="002C22BA">
      <w:pPr>
        <w:spacing w:before="120" w:after="120" w:line="276" w:lineRule="auto"/>
        <w:rPr>
          <w:rFonts w:ascii="Verdana" w:hAnsi="Verdana" w:cs="Arial"/>
        </w:rPr>
      </w:pPr>
      <w:r>
        <w:rPr>
          <w:rFonts w:ascii="Verdana" w:hAnsi="Verdana" w:cs="Arial"/>
        </w:rPr>
        <w:t>En conséquence, le</w:t>
      </w:r>
      <w:r w:rsidR="00B00202" w:rsidRPr="002F446E">
        <w:rPr>
          <w:rFonts w:ascii="Verdana" w:hAnsi="Verdana" w:cs="Arial"/>
        </w:rPr>
        <w:t xml:space="preserve"> </w:t>
      </w:r>
      <w:r w:rsidR="00B00202" w:rsidRPr="002F446E">
        <w:rPr>
          <w:rFonts w:ascii="Verdana" w:hAnsi="Verdana" w:cs="Arial"/>
          <w:b/>
        </w:rPr>
        <w:t>résultat d’exploitation</w:t>
      </w:r>
      <w:r w:rsidR="00B00202" w:rsidRPr="002F446E">
        <w:rPr>
          <w:rFonts w:ascii="Verdana" w:hAnsi="Verdana" w:cs="Arial"/>
        </w:rPr>
        <w:t xml:space="preserve"> </w:t>
      </w:r>
      <w:r w:rsidR="00C631EB">
        <w:rPr>
          <w:rFonts w:ascii="Verdana" w:hAnsi="Verdana" w:cs="Arial"/>
        </w:rPr>
        <w:t xml:space="preserve">de Capgemini s’inscrit en baisse de </w:t>
      </w:r>
      <w:r w:rsidR="007719E7">
        <w:rPr>
          <w:rFonts w:ascii="Verdana" w:hAnsi="Verdana" w:cs="Arial"/>
        </w:rPr>
        <w:t>-</w:t>
      </w:r>
      <w:r w:rsidR="00C631EB">
        <w:rPr>
          <w:rFonts w:ascii="Verdana" w:hAnsi="Verdana" w:cs="Arial"/>
        </w:rPr>
        <w:t>12%</w:t>
      </w:r>
      <w:r w:rsidR="000F6CD2">
        <w:rPr>
          <w:rFonts w:ascii="Verdana" w:hAnsi="Verdana" w:cs="Arial"/>
        </w:rPr>
        <w:t xml:space="preserve"> à 57</w:t>
      </w:r>
      <w:r w:rsidR="006D402A">
        <w:rPr>
          <w:rFonts w:ascii="Verdana" w:hAnsi="Verdana" w:cs="Arial"/>
        </w:rPr>
        <w:t>7</w:t>
      </w:r>
      <w:r w:rsidR="000F6CD2">
        <w:rPr>
          <w:rFonts w:ascii="Verdana" w:hAnsi="Verdana" w:cs="Arial"/>
        </w:rPr>
        <w:t xml:space="preserve"> </w:t>
      </w:r>
      <w:r w:rsidR="00B00202" w:rsidRPr="002F446E">
        <w:rPr>
          <w:rFonts w:ascii="Verdana" w:hAnsi="Verdana" w:cs="Arial"/>
        </w:rPr>
        <w:t>millions d'euros</w:t>
      </w:r>
      <w:r w:rsidR="000F6CD2">
        <w:rPr>
          <w:rFonts w:ascii="Verdana" w:hAnsi="Verdana" w:cs="Arial"/>
        </w:rPr>
        <w:t>,</w:t>
      </w:r>
      <w:r w:rsidR="00961E03" w:rsidRPr="002F446E">
        <w:rPr>
          <w:rFonts w:ascii="Verdana" w:hAnsi="Verdana" w:cs="Arial"/>
        </w:rPr>
        <w:t xml:space="preserve"> </w:t>
      </w:r>
      <w:r w:rsidR="00C631EB">
        <w:rPr>
          <w:rFonts w:ascii="Verdana" w:hAnsi="Verdana" w:cs="Arial"/>
        </w:rPr>
        <w:t>soit 7,6</w:t>
      </w:r>
      <w:r w:rsidR="00C631EB" w:rsidRPr="002F446E">
        <w:rPr>
          <w:rFonts w:ascii="Verdana" w:hAnsi="Verdana" w:cs="Arial"/>
        </w:rPr>
        <w:t>% du chiffre d’affaires</w:t>
      </w:r>
      <w:r w:rsidR="00961E03" w:rsidRPr="002F446E">
        <w:rPr>
          <w:rFonts w:ascii="Verdana" w:hAnsi="Verdana" w:cs="Arial"/>
        </w:rPr>
        <w:t xml:space="preserve">. </w:t>
      </w:r>
    </w:p>
    <w:p w14:paraId="61D003C3" w14:textId="3103AEA2" w:rsidR="006F678E" w:rsidRDefault="00B00202" w:rsidP="00907331">
      <w:pPr>
        <w:spacing w:before="120" w:after="120" w:line="276" w:lineRule="auto"/>
        <w:rPr>
          <w:rFonts w:ascii="Verdana" w:hAnsi="Verdana" w:cs="Arial"/>
        </w:rPr>
      </w:pPr>
      <w:bookmarkStart w:id="7" w:name="_Hlk519508497"/>
      <w:r w:rsidRPr="002F446E">
        <w:rPr>
          <w:rFonts w:ascii="Verdana" w:hAnsi="Verdana" w:cs="Arial"/>
        </w:rPr>
        <w:t xml:space="preserve">Le </w:t>
      </w:r>
      <w:r w:rsidRPr="001020C1">
        <w:rPr>
          <w:rFonts w:ascii="Verdana" w:hAnsi="Verdana" w:cs="Arial"/>
          <w:b/>
          <w:bCs/>
        </w:rPr>
        <w:t>résultat financier</w:t>
      </w:r>
      <w:r w:rsidRPr="002F446E">
        <w:rPr>
          <w:rFonts w:ascii="Verdana" w:hAnsi="Verdana" w:cs="Arial"/>
        </w:rPr>
        <w:t xml:space="preserve"> représente une charge de </w:t>
      </w:r>
      <w:r w:rsidR="00F4558C">
        <w:rPr>
          <w:rFonts w:ascii="Verdana" w:hAnsi="Verdana" w:cs="Arial"/>
        </w:rPr>
        <w:t>64</w:t>
      </w:r>
      <w:r w:rsidRPr="002F446E">
        <w:rPr>
          <w:rFonts w:ascii="Verdana" w:hAnsi="Verdana" w:cs="Arial"/>
        </w:rPr>
        <w:t xml:space="preserve"> millions d’euros</w:t>
      </w:r>
      <w:r w:rsidR="000D4F9B">
        <w:rPr>
          <w:rFonts w:ascii="Verdana" w:hAnsi="Verdana" w:cs="Arial"/>
        </w:rPr>
        <w:t xml:space="preserve"> contre </w:t>
      </w:r>
      <w:r w:rsidR="00FC53BE">
        <w:rPr>
          <w:rFonts w:ascii="Verdana" w:hAnsi="Verdana" w:cs="Arial"/>
        </w:rPr>
        <w:t>39 millions d’euros</w:t>
      </w:r>
      <w:r w:rsidR="00386FF3">
        <w:rPr>
          <w:rFonts w:ascii="Verdana" w:hAnsi="Verdana" w:cs="Arial"/>
        </w:rPr>
        <w:t xml:space="preserve"> sur la même période en 2019</w:t>
      </w:r>
      <w:r w:rsidR="006B4A45">
        <w:rPr>
          <w:rFonts w:ascii="Verdana" w:hAnsi="Verdana" w:cs="Arial"/>
        </w:rPr>
        <w:t>. Cette hausse est due au coût du financement</w:t>
      </w:r>
      <w:r w:rsidR="00542A9A">
        <w:rPr>
          <w:rFonts w:ascii="Verdana" w:hAnsi="Verdana" w:cs="Arial"/>
        </w:rPr>
        <w:t xml:space="preserve"> mis en place pour l’acquisition d’Altran</w:t>
      </w:r>
      <w:r w:rsidR="00C8418F">
        <w:rPr>
          <w:rFonts w:ascii="Verdana" w:hAnsi="Verdana" w:cs="Arial"/>
        </w:rPr>
        <w:t xml:space="preserve"> et de la dette portée par cette société</w:t>
      </w:r>
      <w:r w:rsidR="00E0501B" w:rsidRPr="002F446E">
        <w:rPr>
          <w:rFonts w:ascii="Verdana" w:hAnsi="Verdana" w:cs="Arial"/>
        </w:rPr>
        <w:t>.</w:t>
      </w:r>
      <w:r w:rsidR="006A47A3" w:rsidRPr="002F446E">
        <w:rPr>
          <w:rFonts w:ascii="Verdana" w:hAnsi="Verdana" w:cs="Arial"/>
        </w:rPr>
        <w:t xml:space="preserve"> </w:t>
      </w:r>
      <w:bookmarkStart w:id="8" w:name="_Hlk519774751"/>
      <w:bookmarkEnd w:id="7"/>
    </w:p>
    <w:p w14:paraId="6388DFA2" w14:textId="5B29773A" w:rsidR="00076691" w:rsidRPr="002F446E" w:rsidRDefault="00076691" w:rsidP="002C22BA">
      <w:pPr>
        <w:spacing w:before="120" w:after="120" w:line="276" w:lineRule="auto"/>
        <w:rPr>
          <w:rFonts w:ascii="Verdana" w:hAnsi="Verdana" w:cs="Arial"/>
        </w:rPr>
      </w:pPr>
      <w:r w:rsidRPr="002F446E">
        <w:rPr>
          <w:rFonts w:ascii="Verdana" w:hAnsi="Verdana" w:cs="Arial"/>
        </w:rPr>
        <w:t>La charge d’</w:t>
      </w:r>
      <w:r w:rsidRPr="001020C1">
        <w:rPr>
          <w:rFonts w:ascii="Verdana" w:hAnsi="Verdana" w:cs="Arial"/>
          <w:b/>
          <w:bCs/>
        </w:rPr>
        <w:t xml:space="preserve">impôt </w:t>
      </w:r>
      <w:r w:rsidR="001320A1">
        <w:rPr>
          <w:rFonts w:ascii="Verdana" w:hAnsi="Verdana" w:cs="Arial"/>
        </w:rPr>
        <w:t>s’élève</w:t>
      </w:r>
      <w:r w:rsidR="00F21FCC">
        <w:rPr>
          <w:rFonts w:ascii="Verdana" w:hAnsi="Verdana" w:cs="Arial"/>
        </w:rPr>
        <w:t xml:space="preserve"> à </w:t>
      </w:r>
      <w:r w:rsidR="00BF44BC">
        <w:rPr>
          <w:rFonts w:ascii="Verdana" w:hAnsi="Verdana" w:cs="Arial"/>
        </w:rPr>
        <w:t>204</w:t>
      </w:r>
      <w:r w:rsidRPr="002F446E">
        <w:rPr>
          <w:rFonts w:ascii="Verdana" w:hAnsi="Verdana" w:cs="Arial"/>
        </w:rPr>
        <w:t xml:space="preserve"> millions d’euros</w:t>
      </w:r>
      <w:r w:rsidR="00A15F59">
        <w:rPr>
          <w:rFonts w:ascii="Verdana" w:hAnsi="Verdana" w:cs="Arial"/>
        </w:rPr>
        <w:t>,</w:t>
      </w:r>
      <w:r w:rsidRPr="002F446E">
        <w:rPr>
          <w:rFonts w:ascii="Verdana" w:hAnsi="Verdana" w:cs="Arial"/>
        </w:rPr>
        <w:t xml:space="preserve"> </w:t>
      </w:r>
      <w:r w:rsidR="006A47A3" w:rsidRPr="002F446E">
        <w:rPr>
          <w:rFonts w:ascii="Verdana" w:hAnsi="Verdana" w:cs="Arial"/>
        </w:rPr>
        <w:t xml:space="preserve">dont </w:t>
      </w:r>
      <w:r w:rsidR="00580CAF">
        <w:rPr>
          <w:rFonts w:ascii="Verdana" w:hAnsi="Verdana" w:cs="Arial"/>
        </w:rPr>
        <w:t>26</w:t>
      </w:r>
      <w:r w:rsidRPr="002F446E">
        <w:rPr>
          <w:rFonts w:ascii="Verdana" w:hAnsi="Verdana" w:cs="Arial"/>
        </w:rPr>
        <w:t xml:space="preserve"> millions d’euros lié</w:t>
      </w:r>
      <w:r w:rsidR="007D0F02" w:rsidRPr="002F446E">
        <w:rPr>
          <w:rFonts w:ascii="Verdana" w:hAnsi="Verdana" w:cs="Arial"/>
        </w:rPr>
        <w:t>s</w:t>
      </w:r>
      <w:r w:rsidRPr="002F446E">
        <w:rPr>
          <w:rFonts w:ascii="Verdana" w:hAnsi="Verdana" w:cs="Arial"/>
        </w:rPr>
        <w:t xml:space="preserve"> à </w:t>
      </w:r>
      <w:r w:rsidR="009717A5" w:rsidRPr="002F446E">
        <w:rPr>
          <w:rFonts w:ascii="Verdana" w:hAnsi="Verdana" w:cs="Arial"/>
        </w:rPr>
        <w:t xml:space="preserve">l’impact transitoire de </w:t>
      </w:r>
      <w:r w:rsidRPr="002F446E">
        <w:rPr>
          <w:rFonts w:ascii="Verdana" w:hAnsi="Verdana" w:cs="Arial"/>
        </w:rPr>
        <w:t>la réforme fiscale</w:t>
      </w:r>
      <w:r w:rsidR="00E55553" w:rsidRPr="002F446E">
        <w:rPr>
          <w:rFonts w:ascii="Verdana" w:hAnsi="Verdana" w:cs="Arial"/>
        </w:rPr>
        <w:t xml:space="preserve"> aux</w:t>
      </w:r>
      <w:r w:rsidRPr="002F446E">
        <w:rPr>
          <w:rFonts w:ascii="Verdana" w:hAnsi="Verdana" w:cs="Arial"/>
        </w:rPr>
        <w:t xml:space="preserve"> </w:t>
      </w:r>
      <w:r w:rsidR="00E55553" w:rsidRPr="002F446E">
        <w:rPr>
          <w:rFonts w:ascii="Verdana" w:hAnsi="Verdana" w:cs="Arial"/>
        </w:rPr>
        <w:t>Etat</w:t>
      </w:r>
      <w:r w:rsidR="00794241" w:rsidRPr="002F446E">
        <w:rPr>
          <w:rFonts w:ascii="Verdana" w:hAnsi="Verdana" w:cs="Arial"/>
        </w:rPr>
        <w:t>s-</w:t>
      </w:r>
      <w:r w:rsidR="00E55553" w:rsidRPr="002F446E">
        <w:rPr>
          <w:rFonts w:ascii="Verdana" w:hAnsi="Verdana" w:cs="Arial"/>
        </w:rPr>
        <w:t>Unis</w:t>
      </w:r>
      <w:r w:rsidR="006A47A3" w:rsidRPr="002F446E">
        <w:rPr>
          <w:rFonts w:ascii="Verdana" w:hAnsi="Verdana" w:cs="Arial"/>
        </w:rPr>
        <w:t xml:space="preserve"> contre </w:t>
      </w:r>
      <w:r w:rsidR="00580CAF">
        <w:rPr>
          <w:rFonts w:ascii="Verdana" w:hAnsi="Verdana" w:cs="Arial"/>
        </w:rPr>
        <w:t>30</w:t>
      </w:r>
      <w:r w:rsidR="006A47A3" w:rsidRPr="002F446E">
        <w:rPr>
          <w:rFonts w:ascii="Verdana" w:hAnsi="Verdana" w:cs="Arial"/>
        </w:rPr>
        <w:t xml:space="preserve"> millions d’euros l’année précédente</w:t>
      </w:r>
      <w:r w:rsidR="0085088C">
        <w:rPr>
          <w:rFonts w:ascii="Verdana" w:hAnsi="Verdana" w:cs="Arial"/>
        </w:rPr>
        <w:t>.</w:t>
      </w:r>
      <w:r w:rsidR="00627EFA">
        <w:rPr>
          <w:rFonts w:ascii="Verdana" w:hAnsi="Verdana" w:cs="Arial"/>
        </w:rPr>
        <w:t xml:space="preserve"> </w:t>
      </w:r>
      <w:r w:rsidRPr="002F446E">
        <w:rPr>
          <w:rFonts w:ascii="Verdana" w:hAnsi="Verdana" w:cs="Arial"/>
        </w:rPr>
        <w:t xml:space="preserve">Avant la prise en compte de </w:t>
      </w:r>
      <w:r w:rsidR="006A47A3" w:rsidRPr="002F446E">
        <w:rPr>
          <w:rFonts w:ascii="Verdana" w:hAnsi="Verdana" w:cs="Arial"/>
        </w:rPr>
        <w:t>ces</w:t>
      </w:r>
      <w:r w:rsidRPr="002F446E">
        <w:rPr>
          <w:rFonts w:ascii="Verdana" w:hAnsi="Verdana" w:cs="Arial"/>
        </w:rPr>
        <w:t xml:space="preserve"> charge</w:t>
      </w:r>
      <w:r w:rsidR="006A47A3" w:rsidRPr="002F446E">
        <w:rPr>
          <w:rFonts w:ascii="Verdana" w:hAnsi="Verdana" w:cs="Arial"/>
        </w:rPr>
        <w:t>s</w:t>
      </w:r>
      <w:r w:rsidR="00A15F59">
        <w:rPr>
          <w:rFonts w:ascii="Verdana" w:hAnsi="Verdana" w:cs="Arial"/>
        </w:rPr>
        <w:t xml:space="preserve"> transitoires</w:t>
      </w:r>
      <w:r w:rsidR="005A7689" w:rsidRPr="002F446E">
        <w:rPr>
          <w:rFonts w:ascii="Verdana" w:hAnsi="Verdana" w:cs="Arial"/>
        </w:rPr>
        <w:t>,</w:t>
      </w:r>
      <w:r w:rsidRPr="002F446E">
        <w:rPr>
          <w:rFonts w:ascii="Verdana" w:hAnsi="Verdana" w:cs="Arial"/>
        </w:rPr>
        <w:t xml:space="preserve"> le taux effectif d’impôt s’établit à </w:t>
      </w:r>
      <w:r w:rsidR="00AD6146">
        <w:rPr>
          <w:rFonts w:ascii="Verdana" w:hAnsi="Verdana" w:cs="Arial"/>
        </w:rPr>
        <w:t>34,6</w:t>
      </w:r>
      <w:r w:rsidRPr="002F446E">
        <w:rPr>
          <w:rFonts w:ascii="Verdana" w:hAnsi="Verdana" w:cs="Arial"/>
        </w:rPr>
        <w:t xml:space="preserve">% contre </w:t>
      </w:r>
      <w:r w:rsidR="00580CAF">
        <w:rPr>
          <w:rFonts w:ascii="Verdana" w:hAnsi="Verdana" w:cs="Arial"/>
        </w:rPr>
        <w:t>32,6</w:t>
      </w:r>
      <w:r w:rsidRPr="002F446E">
        <w:rPr>
          <w:rFonts w:ascii="Verdana" w:hAnsi="Verdana" w:cs="Arial"/>
        </w:rPr>
        <w:t xml:space="preserve">% </w:t>
      </w:r>
      <w:r w:rsidR="006A47A3" w:rsidRPr="002F446E">
        <w:rPr>
          <w:rFonts w:ascii="Verdana" w:hAnsi="Verdana" w:cs="Arial"/>
        </w:rPr>
        <w:t xml:space="preserve">sur le </w:t>
      </w:r>
      <w:r w:rsidR="00EF185B" w:rsidRPr="002F446E">
        <w:rPr>
          <w:rFonts w:ascii="Verdana" w:hAnsi="Verdana" w:cs="Arial"/>
        </w:rPr>
        <w:t>1</w:t>
      </w:r>
      <w:r w:rsidR="00EF185B" w:rsidRPr="002F446E">
        <w:rPr>
          <w:rFonts w:ascii="Verdana" w:hAnsi="Verdana" w:cs="Arial"/>
          <w:vertAlign w:val="superscript"/>
        </w:rPr>
        <w:t>er</w:t>
      </w:r>
      <w:r w:rsidR="00EF185B" w:rsidRPr="002F446E">
        <w:rPr>
          <w:rFonts w:ascii="Verdana" w:hAnsi="Verdana" w:cs="Arial"/>
        </w:rPr>
        <w:t xml:space="preserve"> </w:t>
      </w:r>
      <w:r w:rsidR="006A47A3" w:rsidRPr="002F446E">
        <w:rPr>
          <w:rFonts w:ascii="Verdana" w:hAnsi="Verdana" w:cs="Arial"/>
        </w:rPr>
        <w:t xml:space="preserve">semestre </w:t>
      </w:r>
      <w:r w:rsidR="00580CAF">
        <w:rPr>
          <w:rFonts w:ascii="Verdana" w:hAnsi="Verdana" w:cs="Arial"/>
        </w:rPr>
        <w:t>2019</w:t>
      </w:r>
      <w:r w:rsidR="006A47A3" w:rsidRPr="002F446E">
        <w:rPr>
          <w:rFonts w:ascii="Verdana" w:hAnsi="Verdana" w:cs="Arial"/>
        </w:rPr>
        <w:t xml:space="preserve"> </w:t>
      </w:r>
      <w:r w:rsidR="00A12999">
        <w:rPr>
          <w:rFonts w:ascii="Verdana" w:hAnsi="Verdana" w:cs="Arial"/>
        </w:rPr>
        <w:t>et</w:t>
      </w:r>
      <w:r w:rsidR="00795DE9">
        <w:rPr>
          <w:rFonts w:ascii="Verdana" w:hAnsi="Verdana" w:cs="Arial"/>
        </w:rPr>
        <w:t xml:space="preserve"> </w:t>
      </w:r>
      <w:r w:rsidR="006A47A3" w:rsidRPr="002F446E">
        <w:rPr>
          <w:rFonts w:ascii="Verdana" w:hAnsi="Verdana" w:cs="Arial"/>
        </w:rPr>
        <w:t xml:space="preserve">pour l’ensemble de l’année </w:t>
      </w:r>
      <w:r w:rsidR="00580CAF">
        <w:rPr>
          <w:rFonts w:ascii="Verdana" w:hAnsi="Verdana" w:cs="Arial"/>
        </w:rPr>
        <w:t>2019</w:t>
      </w:r>
      <w:r w:rsidRPr="002F446E">
        <w:rPr>
          <w:rFonts w:ascii="Verdana" w:hAnsi="Verdana" w:cs="Arial"/>
        </w:rPr>
        <w:t>.</w:t>
      </w:r>
      <w:r w:rsidR="001320A1" w:rsidRPr="001320A1">
        <w:rPr>
          <w:rFonts w:ascii="Verdana" w:hAnsi="Verdana" w:cs="Arial"/>
        </w:rPr>
        <w:t xml:space="preserve"> </w:t>
      </w:r>
      <w:r w:rsidR="001320A1">
        <w:rPr>
          <w:rFonts w:ascii="Verdana" w:hAnsi="Verdana" w:cs="Arial"/>
        </w:rPr>
        <w:t xml:space="preserve">Cette </w:t>
      </w:r>
      <w:r w:rsidR="00D4464C">
        <w:rPr>
          <w:rFonts w:ascii="Verdana" w:hAnsi="Verdana" w:cs="Arial"/>
        </w:rPr>
        <w:t>augmentation</w:t>
      </w:r>
      <w:r w:rsidR="001C34EC">
        <w:rPr>
          <w:rFonts w:ascii="Verdana" w:hAnsi="Verdana" w:cs="Arial"/>
        </w:rPr>
        <w:t xml:space="preserve"> du taux effectif d’impôt </w:t>
      </w:r>
      <w:r w:rsidR="001B3B1F">
        <w:rPr>
          <w:rFonts w:ascii="Verdana" w:hAnsi="Verdana" w:cs="Arial"/>
        </w:rPr>
        <w:t xml:space="preserve">s’explique pour l’essentiel </w:t>
      </w:r>
      <w:r w:rsidR="001B3B1F" w:rsidRPr="00C308D8">
        <w:rPr>
          <w:rFonts w:ascii="Verdana" w:hAnsi="Verdana" w:cs="Arial"/>
        </w:rPr>
        <w:t xml:space="preserve">par </w:t>
      </w:r>
      <w:r w:rsidR="001B3B1F" w:rsidRPr="00632C26">
        <w:rPr>
          <w:rFonts w:ascii="Verdana" w:hAnsi="Verdana" w:cs="Arial"/>
        </w:rPr>
        <w:t xml:space="preserve">les conséquences </w:t>
      </w:r>
      <w:r w:rsidR="003664B4" w:rsidRPr="00632C26">
        <w:rPr>
          <w:rFonts w:ascii="Verdana" w:hAnsi="Verdana" w:cs="Arial"/>
        </w:rPr>
        <w:t>temporaires</w:t>
      </w:r>
      <w:r w:rsidR="007608E3" w:rsidRPr="00632C26">
        <w:rPr>
          <w:rFonts w:ascii="Verdana" w:hAnsi="Verdana" w:cs="Arial"/>
        </w:rPr>
        <w:t xml:space="preserve"> </w:t>
      </w:r>
      <w:r w:rsidR="001B3B1F" w:rsidRPr="00632C26">
        <w:rPr>
          <w:rFonts w:ascii="Verdana" w:hAnsi="Verdana" w:cs="Arial"/>
        </w:rPr>
        <w:t>de</w:t>
      </w:r>
      <w:r w:rsidR="001320A1" w:rsidRPr="00632C26">
        <w:rPr>
          <w:rFonts w:ascii="Verdana" w:hAnsi="Verdana" w:cs="Arial"/>
        </w:rPr>
        <w:t xml:space="preserve"> l’intégration d’Altran dans le périmètre du Groupe</w:t>
      </w:r>
      <w:r w:rsidR="001320A1" w:rsidRPr="00C308D8">
        <w:rPr>
          <w:rFonts w:ascii="Verdana" w:hAnsi="Verdana" w:cs="Arial"/>
        </w:rPr>
        <w:t>.</w:t>
      </w:r>
    </w:p>
    <w:p w14:paraId="1BBA2927" w14:textId="63666430" w:rsidR="00B00202" w:rsidRPr="00A711B4" w:rsidRDefault="00B00202" w:rsidP="002C22BA">
      <w:pPr>
        <w:spacing w:line="276" w:lineRule="auto"/>
        <w:rPr>
          <w:rFonts w:ascii="Verdana" w:hAnsi="Verdana" w:cs="Arial"/>
        </w:rPr>
      </w:pPr>
      <w:r w:rsidRPr="002F446E">
        <w:rPr>
          <w:rFonts w:ascii="Verdana" w:hAnsi="Verdana" w:cs="Arial"/>
        </w:rPr>
        <w:t xml:space="preserve">Le </w:t>
      </w:r>
      <w:r w:rsidRPr="002F446E">
        <w:rPr>
          <w:rFonts w:ascii="Verdana" w:hAnsi="Verdana" w:cs="Arial"/>
          <w:b/>
        </w:rPr>
        <w:t>résultat net part du Groupe</w:t>
      </w:r>
      <w:r w:rsidRPr="002F446E">
        <w:rPr>
          <w:rFonts w:ascii="Verdana" w:hAnsi="Verdana" w:cs="Arial"/>
        </w:rPr>
        <w:t xml:space="preserve"> </w:t>
      </w:r>
      <w:r w:rsidR="0094439B">
        <w:rPr>
          <w:rFonts w:ascii="Verdana" w:hAnsi="Verdana" w:cs="Arial"/>
        </w:rPr>
        <w:t xml:space="preserve">enregistre une baisse de </w:t>
      </w:r>
      <w:r w:rsidR="007719E7">
        <w:rPr>
          <w:rFonts w:ascii="Verdana" w:hAnsi="Verdana" w:cs="Arial"/>
        </w:rPr>
        <w:t>-</w:t>
      </w:r>
      <w:r w:rsidR="0094439B">
        <w:rPr>
          <w:rFonts w:ascii="Verdana" w:hAnsi="Verdana" w:cs="Arial"/>
        </w:rPr>
        <w:t>20</w:t>
      </w:r>
      <w:r w:rsidR="006A47A3" w:rsidRPr="002F446E">
        <w:rPr>
          <w:rFonts w:ascii="Verdana" w:hAnsi="Verdana" w:cs="Arial"/>
        </w:rPr>
        <w:t xml:space="preserve">% sur un an pour </w:t>
      </w:r>
      <w:r w:rsidR="0094439B">
        <w:rPr>
          <w:rFonts w:ascii="Verdana" w:hAnsi="Verdana" w:cs="Arial"/>
        </w:rPr>
        <w:t>s’établir à</w:t>
      </w:r>
      <w:r w:rsidR="00E85D39" w:rsidRPr="002F446E">
        <w:rPr>
          <w:rFonts w:ascii="Verdana" w:hAnsi="Verdana" w:cs="Arial"/>
        </w:rPr>
        <w:t xml:space="preserve"> </w:t>
      </w:r>
      <w:r w:rsidR="002F5171">
        <w:rPr>
          <w:rFonts w:ascii="Verdana" w:hAnsi="Verdana" w:cs="Arial"/>
        </w:rPr>
        <w:t>311</w:t>
      </w:r>
      <w:r w:rsidR="006A47A3" w:rsidRPr="002F446E">
        <w:rPr>
          <w:rFonts w:ascii="Verdana" w:hAnsi="Verdana" w:cs="Arial"/>
        </w:rPr>
        <w:t xml:space="preserve"> </w:t>
      </w:r>
      <w:r w:rsidRPr="002F446E">
        <w:rPr>
          <w:rFonts w:ascii="Verdana" w:hAnsi="Verdana" w:cs="Arial"/>
        </w:rPr>
        <w:t xml:space="preserve">millions d’euros pour </w:t>
      </w:r>
      <w:r w:rsidR="006A47A3" w:rsidRPr="002F446E">
        <w:rPr>
          <w:rFonts w:ascii="Verdana" w:hAnsi="Verdana" w:cs="Arial"/>
        </w:rPr>
        <w:t>les 6</w:t>
      </w:r>
      <w:r w:rsidR="00407164" w:rsidRPr="002F446E">
        <w:rPr>
          <w:rFonts w:ascii="Verdana" w:hAnsi="Verdana" w:cs="Arial"/>
        </w:rPr>
        <w:t> </w:t>
      </w:r>
      <w:r w:rsidR="006A47A3" w:rsidRPr="002F446E">
        <w:rPr>
          <w:rFonts w:ascii="Verdana" w:hAnsi="Verdana" w:cs="Arial"/>
        </w:rPr>
        <w:t>premiers mois de l’année</w:t>
      </w:r>
      <w:r w:rsidRPr="002F446E">
        <w:rPr>
          <w:rFonts w:ascii="Verdana" w:hAnsi="Verdana" w:cs="Arial"/>
        </w:rPr>
        <w:t xml:space="preserve">. Le </w:t>
      </w:r>
      <w:r w:rsidRPr="002F446E">
        <w:rPr>
          <w:rFonts w:ascii="Verdana" w:hAnsi="Verdana" w:cs="Arial"/>
          <w:b/>
        </w:rPr>
        <w:t>bénéfice par action (non dilué)</w:t>
      </w:r>
      <w:r w:rsidRPr="002F446E">
        <w:rPr>
          <w:rFonts w:ascii="Verdana" w:hAnsi="Verdana" w:cs="Arial"/>
        </w:rPr>
        <w:t xml:space="preserve"> est </w:t>
      </w:r>
      <w:r w:rsidR="00B356EF" w:rsidRPr="002F446E">
        <w:rPr>
          <w:rFonts w:ascii="Verdana" w:hAnsi="Verdana" w:cs="Arial"/>
        </w:rPr>
        <w:t xml:space="preserve">en </w:t>
      </w:r>
      <w:r w:rsidR="00A11BFB">
        <w:rPr>
          <w:rFonts w:ascii="Verdana" w:hAnsi="Verdana" w:cs="Arial"/>
        </w:rPr>
        <w:t xml:space="preserve">baisse de </w:t>
      </w:r>
      <w:r w:rsidR="007719E7">
        <w:rPr>
          <w:rFonts w:ascii="Verdana" w:hAnsi="Verdana" w:cs="Arial"/>
        </w:rPr>
        <w:t>-</w:t>
      </w:r>
      <w:r w:rsidR="00A11BFB">
        <w:rPr>
          <w:rFonts w:ascii="Verdana" w:hAnsi="Verdana" w:cs="Arial"/>
        </w:rPr>
        <w:t>21</w:t>
      </w:r>
      <w:r w:rsidR="00B356EF" w:rsidRPr="002F446E">
        <w:rPr>
          <w:rFonts w:ascii="Verdana" w:hAnsi="Verdana" w:cs="Arial"/>
        </w:rPr>
        <w:t>% sur un an à</w:t>
      </w:r>
      <w:r w:rsidRPr="002F446E">
        <w:rPr>
          <w:rFonts w:ascii="Verdana" w:hAnsi="Verdana" w:cs="Arial"/>
        </w:rPr>
        <w:t xml:space="preserve"> </w:t>
      </w:r>
      <w:r w:rsidR="00B421E3">
        <w:rPr>
          <w:rFonts w:ascii="Verdana" w:hAnsi="Verdana" w:cs="Arial"/>
        </w:rPr>
        <w:t>1,86</w:t>
      </w:r>
      <w:r w:rsidR="00B9217C">
        <w:rPr>
          <w:rFonts w:ascii="Verdana" w:hAnsi="Verdana" w:cs="Arial"/>
        </w:rPr>
        <w:t xml:space="preserve"> </w:t>
      </w:r>
      <w:r w:rsidRPr="002F446E">
        <w:rPr>
          <w:rFonts w:ascii="Verdana" w:hAnsi="Verdana" w:cs="Arial"/>
        </w:rPr>
        <w:t>euro</w:t>
      </w:r>
      <w:r w:rsidR="00B356EF" w:rsidRPr="002F446E">
        <w:rPr>
          <w:rFonts w:ascii="Verdana" w:hAnsi="Verdana" w:cs="Arial"/>
        </w:rPr>
        <w:t xml:space="preserve"> </w:t>
      </w:r>
      <w:r w:rsidR="00B421E3">
        <w:rPr>
          <w:rFonts w:ascii="Verdana" w:hAnsi="Verdana" w:cs="Arial"/>
        </w:rPr>
        <w:t>tandis que</w:t>
      </w:r>
      <w:r w:rsidRPr="002F446E">
        <w:rPr>
          <w:rFonts w:ascii="Verdana" w:hAnsi="Verdana" w:cs="Arial"/>
        </w:rPr>
        <w:t xml:space="preserve"> le </w:t>
      </w:r>
      <w:r w:rsidRPr="002F446E">
        <w:rPr>
          <w:rFonts w:ascii="Verdana" w:hAnsi="Verdana" w:cs="Arial"/>
          <w:b/>
        </w:rPr>
        <w:t>résultat normalisé par action</w:t>
      </w:r>
      <w:r w:rsidR="00701F43" w:rsidRPr="002F446E">
        <w:rPr>
          <w:rFonts w:ascii="Verdana" w:hAnsi="Verdana" w:cs="Arial"/>
          <w:bCs/>
          <w:vertAlign w:val="superscript"/>
        </w:rPr>
        <w:fldChar w:fldCharType="begin"/>
      </w:r>
      <w:r w:rsidR="00701F43" w:rsidRPr="002F446E">
        <w:rPr>
          <w:rFonts w:ascii="Verdana" w:hAnsi="Verdana" w:cs="Arial"/>
          <w:bCs/>
          <w:vertAlign w:val="superscript"/>
        </w:rPr>
        <w:instrText xml:space="preserve"> NOTEREF _Ref13738408 \h  \* MERGEFORMAT </w:instrText>
      </w:r>
      <w:r w:rsidR="00701F43" w:rsidRPr="002F446E">
        <w:rPr>
          <w:rFonts w:ascii="Verdana" w:hAnsi="Verdana" w:cs="Arial"/>
          <w:bCs/>
          <w:vertAlign w:val="superscript"/>
        </w:rPr>
      </w:r>
      <w:r w:rsidR="00701F43" w:rsidRPr="002F446E">
        <w:rPr>
          <w:rFonts w:ascii="Verdana" w:hAnsi="Verdana" w:cs="Arial"/>
          <w:bCs/>
          <w:vertAlign w:val="superscript"/>
        </w:rPr>
        <w:fldChar w:fldCharType="separate"/>
      </w:r>
      <w:r w:rsidR="00B02E5E" w:rsidRPr="00B02E5E">
        <w:t>*</w:t>
      </w:r>
      <w:r w:rsidR="00701F43" w:rsidRPr="002F446E">
        <w:rPr>
          <w:rFonts w:ascii="Verdana" w:hAnsi="Verdana" w:cs="Arial"/>
          <w:bCs/>
          <w:vertAlign w:val="superscript"/>
        </w:rPr>
        <w:fldChar w:fldCharType="end"/>
      </w:r>
      <w:r w:rsidRPr="002F446E">
        <w:rPr>
          <w:rFonts w:ascii="Verdana" w:hAnsi="Verdana" w:cs="Arial"/>
        </w:rPr>
        <w:t xml:space="preserve"> </w:t>
      </w:r>
      <w:r w:rsidR="00BF796A">
        <w:rPr>
          <w:rFonts w:ascii="Verdana" w:hAnsi="Verdana" w:cs="Arial"/>
        </w:rPr>
        <w:t>résiste bien avec un</w:t>
      </w:r>
      <w:r w:rsidR="001A0C9F">
        <w:rPr>
          <w:rFonts w:ascii="Verdana" w:hAnsi="Verdana" w:cs="Arial"/>
        </w:rPr>
        <w:t>e baisse modérée</w:t>
      </w:r>
      <w:r w:rsidR="00D81A9C" w:rsidRPr="00E930E6">
        <w:rPr>
          <w:rFonts w:ascii="Verdana" w:hAnsi="Verdana" w:cs="Arial"/>
        </w:rPr>
        <w:t xml:space="preserve"> de</w:t>
      </w:r>
      <w:r w:rsidR="00443AE1" w:rsidRPr="00E930E6">
        <w:rPr>
          <w:rFonts w:ascii="Verdana" w:hAnsi="Verdana" w:cs="Arial"/>
        </w:rPr>
        <w:t xml:space="preserve"> </w:t>
      </w:r>
      <w:r w:rsidR="007719E7">
        <w:rPr>
          <w:rFonts w:ascii="Verdana" w:hAnsi="Verdana" w:cs="Arial"/>
        </w:rPr>
        <w:t>-</w:t>
      </w:r>
      <w:r w:rsidR="00E930E6" w:rsidRPr="00E930E6">
        <w:rPr>
          <w:rFonts w:ascii="Verdana" w:hAnsi="Verdana" w:cs="Arial"/>
        </w:rPr>
        <w:t>4</w:t>
      </w:r>
      <w:r w:rsidR="00443AE1" w:rsidRPr="00E930E6">
        <w:rPr>
          <w:rFonts w:ascii="Verdana" w:hAnsi="Verdana" w:cs="Arial"/>
        </w:rPr>
        <w:t>% à</w:t>
      </w:r>
      <w:r w:rsidR="00BE38FF" w:rsidRPr="00E930E6">
        <w:rPr>
          <w:rFonts w:ascii="Verdana" w:hAnsi="Verdana" w:cs="Arial"/>
        </w:rPr>
        <w:t xml:space="preserve"> </w:t>
      </w:r>
      <w:r w:rsidR="00F6378F" w:rsidRPr="00E930E6">
        <w:rPr>
          <w:rFonts w:ascii="Verdana" w:hAnsi="Verdana" w:cs="Arial"/>
        </w:rPr>
        <w:t>2,</w:t>
      </w:r>
      <w:r w:rsidR="008664B6">
        <w:rPr>
          <w:rFonts w:ascii="Verdana" w:hAnsi="Verdana" w:cs="Arial"/>
        </w:rPr>
        <w:t>80</w:t>
      </w:r>
      <w:r w:rsidR="008664B6" w:rsidRPr="00E930E6">
        <w:rPr>
          <w:rFonts w:ascii="Verdana" w:hAnsi="Verdana" w:cs="Arial"/>
        </w:rPr>
        <w:t xml:space="preserve"> </w:t>
      </w:r>
      <w:r w:rsidR="00BE38FF" w:rsidRPr="00E930E6">
        <w:rPr>
          <w:rFonts w:ascii="Verdana" w:hAnsi="Verdana" w:cs="Arial"/>
        </w:rPr>
        <w:t>euros</w:t>
      </w:r>
      <w:r w:rsidR="00443AE1" w:rsidRPr="00E930E6">
        <w:rPr>
          <w:rFonts w:ascii="Verdana" w:hAnsi="Verdana" w:cs="Arial"/>
        </w:rPr>
        <w:t xml:space="preserve">. </w:t>
      </w:r>
      <w:r w:rsidR="00443AE1" w:rsidRPr="002F446E">
        <w:rPr>
          <w:rFonts w:ascii="Verdana" w:hAnsi="Verdana" w:cs="Arial"/>
        </w:rPr>
        <w:t xml:space="preserve">Avant reconnaissance de la charge transitoire d’impôt, le résultat normalisé par action </w:t>
      </w:r>
      <w:r w:rsidR="001A0C9F">
        <w:rPr>
          <w:rFonts w:ascii="Verdana" w:hAnsi="Verdana" w:cs="Arial"/>
        </w:rPr>
        <w:t>recule également</w:t>
      </w:r>
      <w:r w:rsidR="00A711B4" w:rsidRPr="00A711B4">
        <w:rPr>
          <w:rFonts w:ascii="Verdana" w:hAnsi="Verdana" w:cs="Arial"/>
        </w:rPr>
        <w:t xml:space="preserve"> </w:t>
      </w:r>
      <w:r w:rsidR="00E930E6">
        <w:rPr>
          <w:rFonts w:ascii="Verdana" w:hAnsi="Verdana" w:cs="Arial"/>
        </w:rPr>
        <w:t xml:space="preserve">de </w:t>
      </w:r>
      <w:r w:rsidR="007719E7">
        <w:rPr>
          <w:rFonts w:ascii="Verdana" w:hAnsi="Verdana" w:cs="Arial"/>
        </w:rPr>
        <w:t>-</w:t>
      </w:r>
      <w:r w:rsidR="00A711B4" w:rsidRPr="00A711B4">
        <w:rPr>
          <w:rFonts w:ascii="Verdana" w:hAnsi="Verdana" w:cs="Arial"/>
        </w:rPr>
        <w:t>4</w:t>
      </w:r>
      <w:r w:rsidR="00443AE1" w:rsidRPr="00A711B4">
        <w:rPr>
          <w:rFonts w:ascii="Verdana" w:hAnsi="Verdana" w:cs="Arial"/>
        </w:rPr>
        <w:t xml:space="preserve">% à </w:t>
      </w:r>
      <w:r w:rsidR="00A711B4" w:rsidRPr="00A711B4">
        <w:rPr>
          <w:rFonts w:ascii="Verdana" w:hAnsi="Verdana" w:cs="Arial"/>
        </w:rPr>
        <w:t>2,95</w:t>
      </w:r>
      <w:r w:rsidR="00443AE1" w:rsidRPr="00A711B4">
        <w:rPr>
          <w:rFonts w:ascii="Verdana" w:hAnsi="Verdana" w:cs="Arial"/>
        </w:rPr>
        <w:t> euros</w:t>
      </w:r>
      <w:r w:rsidRPr="00A711B4">
        <w:rPr>
          <w:rFonts w:ascii="Verdana" w:hAnsi="Verdana" w:cs="Arial"/>
        </w:rPr>
        <w:t>.</w:t>
      </w:r>
    </w:p>
    <w:bookmarkEnd w:id="8"/>
    <w:p w14:paraId="78D3F7DC" w14:textId="224ED1E9" w:rsidR="00216752" w:rsidRPr="002F446E" w:rsidRDefault="00E06107" w:rsidP="002C22BA">
      <w:pPr>
        <w:spacing w:before="120" w:after="120" w:line="276" w:lineRule="auto"/>
        <w:rPr>
          <w:rFonts w:ascii="Verdana" w:hAnsi="Verdana" w:cs="Arial"/>
        </w:rPr>
      </w:pPr>
      <w:r w:rsidRPr="002F446E">
        <w:rPr>
          <w:rFonts w:ascii="Verdana" w:hAnsi="Verdana" w:cs="Arial"/>
        </w:rPr>
        <w:t>La génération de</w:t>
      </w:r>
      <w:r w:rsidR="00B00202" w:rsidRPr="002F446E">
        <w:rPr>
          <w:rFonts w:ascii="Verdana" w:hAnsi="Verdana" w:cs="Arial"/>
        </w:rPr>
        <w:t xml:space="preserve"> </w:t>
      </w:r>
      <w:r w:rsidR="00B00202" w:rsidRPr="002F446E">
        <w:rPr>
          <w:rFonts w:ascii="Verdana" w:hAnsi="Verdana" w:cs="Arial"/>
          <w:b/>
          <w:i/>
        </w:rPr>
        <w:t>free cash</w:t>
      </w:r>
      <w:r w:rsidR="00D73FD4" w:rsidRPr="002F446E">
        <w:rPr>
          <w:rFonts w:ascii="Verdana" w:hAnsi="Verdana" w:cs="Arial"/>
          <w:b/>
          <w:i/>
        </w:rPr>
        <w:t>-</w:t>
      </w:r>
      <w:r w:rsidR="00B00202" w:rsidRPr="002F446E">
        <w:rPr>
          <w:rFonts w:ascii="Verdana" w:hAnsi="Verdana" w:cs="Arial"/>
          <w:b/>
          <w:i/>
        </w:rPr>
        <w:t xml:space="preserve">flow </w:t>
      </w:r>
      <w:r w:rsidR="00B00202" w:rsidRPr="002F446E">
        <w:rPr>
          <w:rFonts w:ascii="Verdana" w:hAnsi="Verdana" w:cs="Arial"/>
          <w:b/>
        </w:rPr>
        <w:t>organique</w:t>
      </w:r>
      <w:r w:rsidR="00701F43" w:rsidRPr="002F446E">
        <w:rPr>
          <w:rFonts w:ascii="Verdana" w:hAnsi="Verdana" w:cs="Arial"/>
          <w:bCs/>
          <w:vertAlign w:val="superscript"/>
        </w:rPr>
        <w:fldChar w:fldCharType="begin"/>
      </w:r>
      <w:r w:rsidR="00701F43" w:rsidRPr="002F446E">
        <w:rPr>
          <w:rFonts w:ascii="Verdana" w:hAnsi="Verdana" w:cs="Arial"/>
          <w:bCs/>
          <w:vertAlign w:val="superscript"/>
        </w:rPr>
        <w:instrText xml:space="preserve"> NOTEREF _Ref13738408 \h  \* MERGEFORMAT </w:instrText>
      </w:r>
      <w:r w:rsidR="00701F43" w:rsidRPr="002F446E">
        <w:rPr>
          <w:rFonts w:ascii="Verdana" w:hAnsi="Verdana" w:cs="Arial"/>
          <w:bCs/>
          <w:vertAlign w:val="superscript"/>
        </w:rPr>
      </w:r>
      <w:r w:rsidR="00701F43" w:rsidRPr="002F446E">
        <w:rPr>
          <w:rFonts w:ascii="Verdana" w:hAnsi="Verdana" w:cs="Arial"/>
          <w:bCs/>
          <w:vertAlign w:val="superscript"/>
        </w:rPr>
        <w:fldChar w:fldCharType="separate"/>
      </w:r>
      <w:r w:rsidR="00B02E5E" w:rsidRPr="00B02E5E">
        <w:t>*</w:t>
      </w:r>
      <w:r w:rsidR="00701F43" w:rsidRPr="002F446E">
        <w:rPr>
          <w:rFonts w:ascii="Verdana" w:hAnsi="Verdana" w:cs="Arial"/>
          <w:bCs/>
          <w:vertAlign w:val="superscript"/>
        </w:rPr>
        <w:fldChar w:fldCharType="end"/>
      </w:r>
      <w:r w:rsidR="00B00202" w:rsidRPr="002F446E">
        <w:rPr>
          <w:rFonts w:ascii="Verdana" w:hAnsi="Verdana" w:cs="Arial"/>
        </w:rPr>
        <w:t xml:space="preserve"> </w:t>
      </w:r>
      <w:r w:rsidR="00FD38B6">
        <w:rPr>
          <w:rFonts w:ascii="Verdana" w:hAnsi="Verdana" w:cs="Arial"/>
        </w:rPr>
        <w:t>atteint</w:t>
      </w:r>
      <w:r w:rsidR="003E3D4D" w:rsidRPr="002F446E">
        <w:rPr>
          <w:rFonts w:ascii="Verdana" w:hAnsi="Verdana" w:cs="Arial"/>
        </w:rPr>
        <w:t xml:space="preserve"> </w:t>
      </w:r>
      <w:r w:rsidR="00F0163E">
        <w:rPr>
          <w:rFonts w:ascii="Verdana" w:hAnsi="Verdana"/>
        </w:rPr>
        <w:t>106</w:t>
      </w:r>
      <w:r w:rsidR="00B00202" w:rsidRPr="002F446E">
        <w:rPr>
          <w:rFonts w:ascii="Verdana" w:hAnsi="Verdana" w:cs="Arial"/>
        </w:rPr>
        <w:t> millions d'euros</w:t>
      </w:r>
      <w:r w:rsidR="00F0163E">
        <w:rPr>
          <w:rFonts w:ascii="Verdana" w:hAnsi="Verdana" w:cs="Arial"/>
        </w:rPr>
        <w:t xml:space="preserve"> </w:t>
      </w:r>
      <w:r w:rsidR="00380BB7">
        <w:rPr>
          <w:rFonts w:ascii="Verdana" w:hAnsi="Verdana" w:cs="Arial"/>
        </w:rPr>
        <w:t>contre</w:t>
      </w:r>
      <w:r w:rsidR="00F0163E">
        <w:rPr>
          <w:rFonts w:ascii="Verdana" w:hAnsi="Verdana" w:cs="Arial"/>
        </w:rPr>
        <w:t xml:space="preserve"> 90 </w:t>
      </w:r>
      <w:r w:rsidR="00336E67">
        <w:rPr>
          <w:rFonts w:ascii="Verdana" w:hAnsi="Verdana" w:cs="Arial"/>
        </w:rPr>
        <w:t>millions</w:t>
      </w:r>
      <w:r w:rsidR="00F0163E">
        <w:rPr>
          <w:rFonts w:ascii="Verdana" w:hAnsi="Verdana" w:cs="Arial"/>
        </w:rPr>
        <w:t xml:space="preserve"> d’euros</w:t>
      </w:r>
      <w:r w:rsidR="00FD38B6">
        <w:rPr>
          <w:rFonts w:ascii="Verdana" w:hAnsi="Verdana" w:cs="Arial"/>
        </w:rPr>
        <w:t xml:space="preserve"> </w:t>
      </w:r>
      <w:r w:rsidR="00143A54">
        <w:rPr>
          <w:rFonts w:ascii="Verdana" w:hAnsi="Verdana" w:cs="Arial"/>
        </w:rPr>
        <w:t>en</w:t>
      </w:r>
      <w:r w:rsidR="00807252">
        <w:rPr>
          <w:rFonts w:ascii="Verdana" w:hAnsi="Verdana" w:cs="Arial"/>
        </w:rPr>
        <w:t xml:space="preserve"> 2019</w:t>
      </w:r>
      <w:r w:rsidR="00143A54">
        <w:rPr>
          <w:rFonts w:ascii="Verdana" w:hAnsi="Verdana" w:cs="Arial"/>
        </w:rPr>
        <w:t>,</w:t>
      </w:r>
      <w:r w:rsidR="007D2869" w:rsidRPr="007D2869">
        <w:rPr>
          <w:rFonts w:ascii="Verdana" w:hAnsi="Verdana" w:cs="Arial"/>
        </w:rPr>
        <w:t xml:space="preserve"> en dépit </w:t>
      </w:r>
      <w:r w:rsidR="004303D4">
        <w:rPr>
          <w:rFonts w:ascii="Verdana" w:hAnsi="Verdana" w:cs="Arial"/>
        </w:rPr>
        <w:t>de la hausse</w:t>
      </w:r>
      <w:r w:rsidR="007467F9">
        <w:rPr>
          <w:rFonts w:ascii="Verdana" w:hAnsi="Verdana" w:cs="Arial"/>
        </w:rPr>
        <w:t xml:space="preserve"> </w:t>
      </w:r>
      <w:r w:rsidR="007D2869" w:rsidRPr="007D2869">
        <w:rPr>
          <w:rFonts w:ascii="Verdana" w:hAnsi="Verdana" w:cs="Arial"/>
        </w:rPr>
        <w:t xml:space="preserve">des </w:t>
      </w:r>
      <w:r w:rsidR="008553F6">
        <w:rPr>
          <w:rFonts w:ascii="Verdana" w:hAnsi="Verdana" w:cs="Arial"/>
        </w:rPr>
        <w:t>charges</w:t>
      </w:r>
      <w:r w:rsidR="007D2869" w:rsidRPr="007D2869">
        <w:rPr>
          <w:rFonts w:ascii="Verdana" w:hAnsi="Verdana" w:cs="Arial"/>
        </w:rPr>
        <w:t xml:space="preserve"> financi</w:t>
      </w:r>
      <w:r w:rsidR="008553F6">
        <w:rPr>
          <w:rFonts w:ascii="Verdana" w:hAnsi="Verdana" w:cs="Arial"/>
        </w:rPr>
        <w:t>è</w:t>
      </w:r>
      <w:r w:rsidR="007D2869" w:rsidRPr="007D2869">
        <w:rPr>
          <w:rFonts w:ascii="Verdana" w:hAnsi="Verdana" w:cs="Arial"/>
        </w:rPr>
        <w:t>r</w:t>
      </w:r>
      <w:r w:rsidR="008553F6">
        <w:rPr>
          <w:rFonts w:ascii="Verdana" w:hAnsi="Verdana" w:cs="Arial"/>
        </w:rPr>
        <w:t>e</w:t>
      </w:r>
      <w:r w:rsidR="007D2869" w:rsidRPr="007D2869">
        <w:rPr>
          <w:rFonts w:ascii="Verdana" w:hAnsi="Verdana" w:cs="Arial"/>
        </w:rPr>
        <w:t xml:space="preserve">s </w:t>
      </w:r>
      <w:r w:rsidR="001C5284">
        <w:rPr>
          <w:rFonts w:ascii="Verdana" w:hAnsi="Verdana" w:cs="Arial"/>
        </w:rPr>
        <w:t>et</w:t>
      </w:r>
      <w:r w:rsidR="00AD27EF">
        <w:rPr>
          <w:rFonts w:ascii="Verdana" w:hAnsi="Verdana" w:cs="Arial"/>
        </w:rPr>
        <w:t xml:space="preserve"> des</w:t>
      </w:r>
      <w:r w:rsidR="007D2869" w:rsidRPr="007D2869">
        <w:rPr>
          <w:rFonts w:ascii="Verdana" w:hAnsi="Verdana" w:cs="Arial"/>
        </w:rPr>
        <w:t xml:space="preserve"> autres charges opérationnelles</w:t>
      </w:r>
      <w:r w:rsidR="00123281" w:rsidRPr="00123281">
        <w:rPr>
          <w:rFonts w:ascii="Verdana" w:hAnsi="Verdana" w:cs="Arial"/>
        </w:rPr>
        <w:t xml:space="preserve"> </w:t>
      </w:r>
      <w:r w:rsidR="00123281" w:rsidRPr="007D2869">
        <w:rPr>
          <w:rFonts w:ascii="Verdana" w:hAnsi="Verdana" w:cs="Arial"/>
        </w:rPr>
        <w:t>liée à l’acquisition d’Altran</w:t>
      </w:r>
      <w:r w:rsidR="001C5284">
        <w:rPr>
          <w:rFonts w:ascii="Verdana" w:hAnsi="Verdana" w:cs="Arial"/>
        </w:rPr>
        <w:t>.</w:t>
      </w:r>
    </w:p>
    <w:p w14:paraId="4FC96D0C" w14:textId="010E4277" w:rsidR="00B00202" w:rsidRDefault="00807252" w:rsidP="2C79DB7B">
      <w:pPr>
        <w:spacing w:before="120" w:after="120" w:line="276" w:lineRule="auto"/>
        <w:rPr>
          <w:rFonts w:ascii="Verdana" w:hAnsi="Verdana" w:cs="Arial"/>
        </w:rPr>
      </w:pPr>
      <w:r w:rsidRPr="2C79DB7B">
        <w:rPr>
          <w:rFonts w:ascii="Verdana" w:hAnsi="Verdana" w:cs="Arial"/>
        </w:rPr>
        <w:t xml:space="preserve">Le </w:t>
      </w:r>
      <w:r w:rsidR="00B00202" w:rsidRPr="2C79DB7B">
        <w:rPr>
          <w:rFonts w:ascii="Verdana" w:hAnsi="Verdana" w:cs="Arial"/>
        </w:rPr>
        <w:t xml:space="preserve">retour aux actionnaires s’élève à </w:t>
      </w:r>
      <w:r w:rsidR="00AF36FA" w:rsidRPr="2C79DB7B">
        <w:rPr>
          <w:rFonts w:ascii="Verdana" w:hAnsi="Verdana" w:cs="Arial"/>
        </w:rPr>
        <w:t>4</w:t>
      </w:r>
      <w:r w:rsidR="005000DF" w:rsidRPr="2C79DB7B">
        <w:rPr>
          <w:rFonts w:ascii="Verdana" w:hAnsi="Verdana" w:cs="Arial"/>
        </w:rPr>
        <w:t>26</w:t>
      </w:r>
      <w:r w:rsidR="00FC1781" w:rsidRPr="2C79DB7B">
        <w:rPr>
          <w:rFonts w:ascii="Verdana" w:hAnsi="Verdana" w:cs="Arial"/>
        </w:rPr>
        <w:t xml:space="preserve"> </w:t>
      </w:r>
      <w:r w:rsidR="00B00202" w:rsidRPr="2C79DB7B">
        <w:rPr>
          <w:rFonts w:ascii="Verdana" w:hAnsi="Verdana" w:cs="Arial"/>
        </w:rPr>
        <w:t>millions d’euros</w:t>
      </w:r>
      <w:r w:rsidR="003C4BE9" w:rsidRPr="2C79DB7B">
        <w:rPr>
          <w:rFonts w:ascii="Verdana" w:hAnsi="Verdana" w:cs="Arial"/>
        </w:rPr>
        <w:t xml:space="preserve"> pour le 1</w:t>
      </w:r>
      <w:r w:rsidR="003C4BE9" w:rsidRPr="2C79DB7B">
        <w:rPr>
          <w:rFonts w:ascii="Verdana" w:hAnsi="Verdana" w:cs="Arial"/>
          <w:vertAlign w:val="superscript"/>
        </w:rPr>
        <w:t>er</w:t>
      </w:r>
      <w:r w:rsidR="003C4BE9" w:rsidRPr="2C79DB7B">
        <w:rPr>
          <w:rFonts w:ascii="Verdana" w:hAnsi="Verdana" w:cs="Arial"/>
        </w:rPr>
        <w:t xml:space="preserve"> semestre 2020</w:t>
      </w:r>
      <w:r w:rsidR="00AA54E1" w:rsidRPr="2C79DB7B">
        <w:rPr>
          <w:rFonts w:ascii="Verdana" w:hAnsi="Verdana" w:cs="Arial"/>
        </w:rPr>
        <w:t>,</w:t>
      </w:r>
      <w:r w:rsidR="00B00202" w:rsidRPr="2C79DB7B">
        <w:rPr>
          <w:rFonts w:ascii="Verdana" w:hAnsi="Verdana" w:cs="Arial"/>
        </w:rPr>
        <w:t xml:space="preserve"> </w:t>
      </w:r>
      <w:r w:rsidR="00AA54E1" w:rsidRPr="2C79DB7B">
        <w:rPr>
          <w:rFonts w:ascii="Verdana" w:hAnsi="Verdana" w:cs="Arial"/>
        </w:rPr>
        <w:t>avec</w:t>
      </w:r>
      <w:r w:rsidR="00CB68ED" w:rsidRPr="2C79DB7B">
        <w:rPr>
          <w:rFonts w:ascii="Verdana" w:hAnsi="Verdana" w:cs="Arial"/>
        </w:rPr>
        <w:t xml:space="preserve"> </w:t>
      </w:r>
      <w:r w:rsidR="00924A8C" w:rsidRPr="2C79DB7B">
        <w:rPr>
          <w:rFonts w:ascii="Verdana" w:hAnsi="Verdana" w:cs="Arial"/>
        </w:rPr>
        <w:t xml:space="preserve">d’une part </w:t>
      </w:r>
      <w:r w:rsidR="3B007DB4" w:rsidRPr="2C79DB7B">
        <w:rPr>
          <w:rFonts w:ascii="Verdana" w:hAnsi="Verdana" w:cs="Arial"/>
        </w:rPr>
        <w:t xml:space="preserve">les </w:t>
      </w:r>
      <w:r w:rsidR="00D51D26" w:rsidRPr="2C79DB7B">
        <w:rPr>
          <w:rFonts w:ascii="Verdana" w:hAnsi="Verdana" w:cs="Arial"/>
        </w:rPr>
        <w:t>200</w:t>
      </w:r>
      <w:r w:rsidR="00D51D26">
        <w:rPr>
          <w:rFonts w:ascii="Verdana" w:hAnsi="Verdana" w:cs="Arial"/>
        </w:rPr>
        <w:t> </w:t>
      </w:r>
      <w:r w:rsidR="3B007DB4" w:rsidRPr="2C79DB7B">
        <w:rPr>
          <w:rFonts w:ascii="Verdana" w:hAnsi="Verdana" w:cs="Arial"/>
        </w:rPr>
        <w:t>millions d’euros consacrés au programme pluriannuel de rachat d’actions Capgemini SE</w:t>
      </w:r>
      <w:r w:rsidR="005C519D">
        <w:rPr>
          <w:rFonts w:ascii="Verdana" w:hAnsi="Verdana" w:cs="Arial"/>
        </w:rPr>
        <w:t>,</w:t>
      </w:r>
      <w:r w:rsidR="3B007DB4" w:rsidRPr="2C79DB7B">
        <w:rPr>
          <w:rFonts w:ascii="Verdana" w:hAnsi="Verdana" w:cs="Arial"/>
        </w:rPr>
        <w:t xml:space="preserve"> </w:t>
      </w:r>
      <w:r w:rsidR="0D2A9BE8" w:rsidRPr="2C79DB7B">
        <w:rPr>
          <w:rFonts w:ascii="Verdana" w:hAnsi="Verdana" w:cs="Arial"/>
        </w:rPr>
        <w:t xml:space="preserve">et d’autre part </w:t>
      </w:r>
      <w:r w:rsidR="45D9FCDB" w:rsidRPr="2C79DB7B">
        <w:rPr>
          <w:rFonts w:ascii="Verdana" w:hAnsi="Verdana" w:cs="Arial"/>
        </w:rPr>
        <w:t xml:space="preserve">le versement de 226 millions d’euros de dividendes </w:t>
      </w:r>
      <w:r w:rsidR="12576310" w:rsidRPr="2C79DB7B">
        <w:rPr>
          <w:rFonts w:ascii="Verdana" w:hAnsi="Verdana" w:cs="Arial"/>
        </w:rPr>
        <w:t>(</w:t>
      </w:r>
      <w:r w:rsidR="3E11EEC7" w:rsidRPr="2C79DB7B">
        <w:rPr>
          <w:rFonts w:ascii="Verdana" w:hAnsi="Verdana" w:cs="Arial"/>
        </w:rPr>
        <w:t xml:space="preserve">correspondant à 1,35 euro par action, </w:t>
      </w:r>
      <w:r w:rsidR="12576310" w:rsidRPr="2C79DB7B">
        <w:rPr>
          <w:rFonts w:ascii="Verdana" w:hAnsi="Verdana" w:cs="Arial"/>
        </w:rPr>
        <w:t xml:space="preserve">après réduction de </w:t>
      </w:r>
      <w:r w:rsidR="2B1E68A1" w:rsidRPr="2C79DB7B">
        <w:rPr>
          <w:rFonts w:ascii="Verdana" w:hAnsi="Verdana" w:cs="Arial"/>
        </w:rPr>
        <w:t xml:space="preserve">29% par rapport à la </w:t>
      </w:r>
      <w:r w:rsidR="08A2A49B" w:rsidRPr="2C79DB7B">
        <w:rPr>
          <w:rFonts w:ascii="Verdana" w:hAnsi="Verdana" w:cs="Arial"/>
        </w:rPr>
        <w:t>proposition initiale</w:t>
      </w:r>
      <w:r w:rsidR="33AAA27C" w:rsidRPr="2C79DB7B">
        <w:rPr>
          <w:rFonts w:ascii="Verdana" w:hAnsi="Verdana" w:cs="Arial"/>
        </w:rPr>
        <w:t xml:space="preserve"> </w:t>
      </w:r>
      <w:r w:rsidR="2B1E68A1" w:rsidRPr="2C79DB7B">
        <w:rPr>
          <w:rFonts w:ascii="Verdana" w:hAnsi="Verdana" w:cs="Arial"/>
        </w:rPr>
        <w:t>décidé</w:t>
      </w:r>
      <w:r w:rsidR="063311E8" w:rsidRPr="2C79DB7B">
        <w:rPr>
          <w:rFonts w:ascii="Verdana" w:hAnsi="Verdana" w:cs="Arial"/>
        </w:rPr>
        <w:t>e</w:t>
      </w:r>
      <w:r w:rsidR="2B1E68A1" w:rsidRPr="2C79DB7B">
        <w:rPr>
          <w:rFonts w:ascii="Verdana" w:hAnsi="Verdana" w:cs="Arial"/>
        </w:rPr>
        <w:t xml:space="preserve"> par le Conseil d’administration dans le cadre des mesures de solidarité)</w:t>
      </w:r>
      <w:r w:rsidR="00B00202" w:rsidRPr="2C79DB7B">
        <w:rPr>
          <w:rFonts w:ascii="Verdana" w:hAnsi="Verdana" w:cs="Arial"/>
        </w:rPr>
        <w:t>.</w:t>
      </w:r>
      <w:r w:rsidR="00E85D39" w:rsidRPr="2C79DB7B">
        <w:rPr>
          <w:rFonts w:ascii="Verdana" w:hAnsi="Verdana" w:cs="Arial"/>
        </w:rPr>
        <w:t xml:space="preserve"> </w:t>
      </w:r>
      <w:r w:rsidR="004F5BB0" w:rsidRPr="2C79DB7B">
        <w:rPr>
          <w:rFonts w:ascii="Verdana" w:hAnsi="Verdana" w:cs="Arial"/>
        </w:rPr>
        <w:t xml:space="preserve">Par ailleurs </w:t>
      </w:r>
      <w:r w:rsidR="0092619D" w:rsidRPr="2C79DB7B">
        <w:rPr>
          <w:rFonts w:ascii="Verdana" w:hAnsi="Verdana" w:cs="Arial"/>
        </w:rPr>
        <w:t xml:space="preserve">le Groupe a </w:t>
      </w:r>
      <w:r w:rsidR="00DB1976">
        <w:rPr>
          <w:rFonts w:ascii="Verdana" w:hAnsi="Verdana" w:cs="Arial"/>
        </w:rPr>
        <w:t xml:space="preserve">consacré </w:t>
      </w:r>
      <w:r w:rsidR="003930CD" w:rsidRPr="2C79DB7B">
        <w:rPr>
          <w:rFonts w:ascii="Verdana" w:hAnsi="Verdana" w:cs="Arial"/>
        </w:rPr>
        <w:t xml:space="preserve">sur la période </w:t>
      </w:r>
      <w:r w:rsidR="0092619D" w:rsidRPr="2C79DB7B">
        <w:rPr>
          <w:rFonts w:ascii="Verdana" w:hAnsi="Verdana" w:cs="Arial"/>
        </w:rPr>
        <w:t xml:space="preserve">un montant </w:t>
      </w:r>
      <w:r w:rsidR="000C3824" w:rsidRPr="2C79DB7B">
        <w:rPr>
          <w:rFonts w:ascii="Verdana" w:hAnsi="Verdana" w:cs="Arial"/>
        </w:rPr>
        <w:t xml:space="preserve">net </w:t>
      </w:r>
      <w:r w:rsidR="0092619D" w:rsidRPr="2C79DB7B">
        <w:rPr>
          <w:rFonts w:ascii="Verdana" w:hAnsi="Verdana" w:cs="Arial"/>
        </w:rPr>
        <w:t xml:space="preserve">de </w:t>
      </w:r>
      <w:r w:rsidR="005E5A23" w:rsidRPr="2C79DB7B">
        <w:rPr>
          <w:rFonts w:ascii="Verdana" w:hAnsi="Verdana" w:cs="Arial"/>
        </w:rPr>
        <w:t xml:space="preserve">3 </w:t>
      </w:r>
      <w:r w:rsidR="006B7614" w:rsidRPr="2C79DB7B">
        <w:rPr>
          <w:rFonts w:ascii="Verdana" w:hAnsi="Verdana" w:cs="Arial"/>
        </w:rPr>
        <w:t xml:space="preserve">234 </w:t>
      </w:r>
      <w:r w:rsidR="0092619D" w:rsidRPr="2C79DB7B">
        <w:rPr>
          <w:rFonts w:ascii="Verdana" w:hAnsi="Verdana" w:cs="Arial"/>
        </w:rPr>
        <w:t xml:space="preserve">millions </w:t>
      </w:r>
      <w:r w:rsidR="00AA54E1" w:rsidRPr="2C79DB7B">
        <w:rPr>
          <w:rFonts w:ascii="Verdana" w:hAnsi="Verdana" w:cs="Arial"/>
        </w:rPr>
        <w:t xml:space="preserve">d’euros </w:t>
      </w:r>
      <w:r w:rsidR="00DB1976">
        <w:rPr>
          <w:rFonts w:ascii="Verdana" w:hAnsi="Verdana" w:cs="Arial"/>
        </w:rPr>
        <w:t>à</w:t>
      </w:r>
      <w:r w:rsidR="00DB1976" w:rsidRPr="2C79DB7B">
        <w:rPr>
          <w:rFonts w:ascii="Verdana" w:hAnsi="Verdana" w:cs="Arial"/>
        </w:rPr>
        <w:t xml:space="preserve"> </w:t>
      </w:r>
      <w:r w:rsidR="003930CD" w:rsidRPr="2C79DB7B">
        <w:rPr>
          <w:rFonts w:ascii="Verdana" w:hAnsi="Verdana" w:cs="Arial"/>
        </w:rPr>
        <w:t xml:space="preserve">ses opérations </w:t>
      </w:r>
      <w:r w:rsidR="00A02C99" w:rsidRPr="2C79DB7B">
        <w:rPr>
          <w:rFonts w:ascii="Verdana" w:hAnsi="Verdana" w:cs="Arial"/>
        </w:rPr>
        <w:t>de croissance externe</w:t>
      </w:r>
      <w:r w:rsidR="003E4771" w:rsidRPr="2C79DB7B">
        <w:rPr>
          <w:rFonts w:ascii="Verdana" w:hAnsi="Verdana" w:cs="Arial"/>
        </w:rPr>
        <w:t xml:space="preserve">, </w:t>
      </w:r>
      <w:r w:rsidR="008817A3" w:rsidRPr="2C79DB7B">
        <w:rPr>
          <w:rFonts w:ascii="Verdana" w:hAnsi="Verdana" w:cs="Arial"/>
        </w:rPr>
        <w:t xml:space="preserve">correspondant pour l’essentiel </w:t>
      </w:r>
      <w:r w:rsidR="00C70078" w:rsidRPr="2C79DB7B">
        <w:rPr>
          <w:rFonts w:ascii="Verdana" w:hAnsi="Verdana" w:cs="Arial"/>
        </w:rPr>
        <w:t xml:space="preserve">au montant déboursé </w:t>
      </w:r>
      <w:r w:rsidR="002C5A14" w:rsidRPr="2C79DB7B">
        <w:rPr>
          <w:rFonts w:ascii="Verdana" w:hAnsi="Verdana" w:cs="Arial"/>
        </w:rPr>
        <w:t>sur l’exercice 2020 dans le cadre de</w:t>
      </w:r>
      <w:r w:rsidR="008817A3" w:rsidRPr="2C79DB7B">
        <w:rPr>
          <w:rFonts w:ascii="Verdana" w:hAnsi="Verdana" w:cs="Arial"/>
        </w:rPr>
        <w:t xml:space="preserve"> </w:t>
      </w:r>
      <w:r w:rsidR="00C70078" w:rsidRPr="2C79DB7B">
        <w:rPr>
          <w:rFonts w:ascii="Verdana" w:hAnsi="Verdana" w:cs="Arial"/>
        </w:rPr>
        <w:t>l’acquisition</w:t>
      </w:r>
      <w:r w:rsidR="0081740C" w:rsidRPr="2C79DB7B">
        <w:rPr>
          <w:rFonts w:ascii="Verdana" w:hAnsi="Verdana" w:cs="Arial"/>
        </w:rPr>
        <w:t xml:space="preserve"> d’Altran</w:t>
      </w:r>
      <w:r w:rsidR="002F239A">
        <w:rPr>
          <w:rFonts w:ascii="Verdana" w:hAnsi="Verdana" w:cs="Arial"/>
        </w:rPr>
        <w:t xml:space="preserve"> (cf. </w:t>
      </w:r>
      <w:r w:rsidR="00D86B3D">
        <w:rPr>
          <w:rFonts w:ascii="Verdana" w:hAnsi="Verdana" w:cs="Arial"/>
        </w:rPr>
        <w:t xml:space="preserve">section </w:t>
      </w:r>
      <w:r w:rsidR="005D2F5A">
        <w:rPr>
          <w:rFonts w:ascii="Verdana" w:hAnsi="Verdana" w:cs="Arial"/>
        </w:rPr>
        <w:t xml:space="preserve">spécifique </w:t>
      </w:r>
      <w:r w:rsidR="002F239A">
        <w:rPr>
          <w:rFonts w:ascii="Verdana" w:hAnsi="Verdana" w:cs="Arial"/>
        </w:rPr>
        <w:t>ci-dessous)</w:t>
      </w:r>
      <w:r w:rsidR="0081740C" w:rsidRPr="2C79DB7B">
        <w:rPr>
          <w:rFonts w:ascii="Verdana" w:hAnsi="Verdana" w:cs="Arial"/>
        </w:rPr>
        <w:t>.</w:t>
      </w:r>
    </w:p>
    <w:p w14:paraId="4E1FAD3D" w14:textId="12A69B21" w:rsidR="00042751" w:rsidRDefault="00042751" w:rsidP="002C22BA">
      <w:pPr>
        <w:spacing w:before="120" w:after="120" w:line="276" w:lineRule="auto"/>
        <w:rPr>
          <w:rFonts w:ascii="Verdana" w:hAnsi="Verdana" w:cs="Arial"/>
        </w:rPr>
      </w:pPr>
    </w:p>
    <w:p w14:paraId="69D75CC6" w14:textId="7547F66C" w:rsidR="00042751" w:rsidRPr="00325F27" w:rsidRDefault="00325F27" w:rsidP="00907331">
      <w:pPr>
        <w:keepNext/>
        <w:spacing w:before="120" w:after="120" w:line="276" w:lineRule="auto"/>
        <w:jc w:val="left"/>
        <w:rPr>
          <w:rFonts w:ascii="Verdana" w:hAnsi="Verdana" w:cs="Arial"/>
          <w:b/>
          <w:bCs/>
        </w:rPr>
      </w:pPr>
      <w:r w:rsidRPr="00325F27">
        <w:rPr>
          <w:rFonts w:ascii="Verdana" w:hAnsi="Verdana" w:cs="Arial"/>
          <w:b/>
          <w:bCs/>
        </w:rPr>
        <w:t>ÉVOLUTION DE L’ACTIVITÉ</w:t>
      </w:r>
      <w:r w:rsidR="00704715">
        <w:rPr>
          <w:rFonts w:ascii="Verdana" w:hAnsi="Verdana" w:cs="Arial"/>
          <w:b/>
          <w:bCs/>
        </w:rPr>
        <w:t xml:space="preserve"> PAR REGION</w:t>
      </w:r>
    </w:p>
    <w:tbl>
      <w:tblPr>
        <w:tblW w:w="8280" w:type="dxa"/>
        <w:jc w:val="center"/>
        <w:tblLayout w:type="fixed"/>
        <w:tblCellMar>
          <w:left w:w="0" w:type="dxa"/>
          <w:right w:w="0" w:type="dxa"/>
        </w:tblCellMar>
        <w:tblLook w:val="01E0" w:firstRow="1" w:lastRow="1" w:firstColumn="1" w:lastColumn="1" w:noHBand="0" w:noVBand="0"/>
      </w:tblPr>
      <w:tblGrid>
        <w:gridCol w:w="3261"/>
        <w:gridCol w:w="57"/>
        <w:gridCol w:w="1502"/>
        <w:gridCol w:w="1644"/>
        <w:gridCol w:w="1559"/>
        <w:gridCol w:w="257"/>
      </w:tblGrid>
      <w:tr w:rsidR="00042751" w:rsidRPr="00F70D7D" w14:paraId="1A80548E" w14:textId="77777777" w:rsidTr="00E33335">
        <w:trPr>
          <w:trHeight w:hRule="exact" w:val="620"/>
          <w:jc w:val="center"/>
        </w:trPr>
        <w:tc>
          <w:tcPr>
            <w:tcW w:w="3261" w:type="dxa"/>
          </w:tcPr>
          <w:p w14:paraId="667DEB96" w14:textId="77777777" w:rsidR="00042751" w:rsidRPr="00F70D7D" w:rsidRDefault="00042751" w:rsidP="00391FBA">
            <w:pPr>
              <w:keepNext/>
              <w:rPr>
                <w:sz w:val="16"/>
                <w:szCs w:val="16"/>
              </w:rPr>
            </w:pPr>
          </w:p>
        </w:tc>
        <w:tc>
          <w:tcPr>
            <w:tcW w:w="57" w:type="dxa"/>
          </w:tcPr>
          <w:p w14:paraId="07C3BB94" w14:textId="77777777" w:rsidR="00042751" w:rsidRPr="00F70D7D" w:rsidRDefault="00042751" w:rsidP="00391FBA">
            <w:pPr>
              <w:pStyle w:val="TableParagraph"/>
              <w:keepNext/>
              <w:ind w:right="105"/>
              <w:jc w:val="center"/>
              <w:rPr>
                <w:b/>
                <w:sz w:val="16"/>
                <w:szCs w:val="16"/>
                <w:lang w:val="fr-FR"/>
              </w:rPr>
            </w:pPr>
          </w:p>
        </w:tc>
        <w:tc>
          <w:tcPr>
            <w:tcW w:w="4962" w:type="dxa"/>
            <w:gridSpan w:val="4"/>
            <w:tcBorders>
              <w:bottom w:val="single" w:sz="8" w:space="0" w:color="0070AD" w:themeColor="accent1"/>
            </w:tcBorders>
            <w:vAlign w:val="center"/>
          </w:tcPr>
          <w:p w14:paraId="7AFFC752" w14:textId="77777777" w:rsidR="00042751" w:rsidRDefault="00042751" w:rsidP="00391FBA">
            <w:pPr>
              <w:pStyle w:val="TableParagraph"/>
              <w:keepNext/>
              <w:ind w:right="-1"/>
              <w:jc w:val="center"/>
              <w:rPr>
                <w:b/>
                <w:sz w:val="16"/>
                <w:szCs w:val="16"/>
                <w:lang w:val="fr-FR"/>
              </w:rPr>
            </w:pPr>
            <w:r w:rsidRPr="00F70D7D">
              <w:rPr>
                <w:b/>
                <w:sz w:val="16"/>
                <w:szCs w:val="16"/>
                <w:lang w:val="fr-FR"/>
              </w:rPr>
              <w:t xml:space="preserve">Variation du chiffre d’affaires par rapport à 2019 </w:t>
            </w:r>
          </w:p>
          <w:p w14:paraId="16F39AA4" w14:textId="653F26AA" w:rsidR="00042751" w:rsidRPr="00F70D7D" w:rsidRDefault="00042751" w:rsidP="00E872EA">
            <w:pPr>
              <w:pStyle w:val="TableParagraph"/>
              <w:keepNext/>
              <w:ind w:right="-1"/>
              <w:jc w:val="center"/>
              <w:rPr>
                <w:b/>
                <w:sz w:val="16"/>
                <w:szCs w:val="16"/>
                <w:lang w:val="fr-FR"/>
              </w:rPr>
            </w:pPr>
            <w:proofErr w:type="gramStart"/>
            <w:r w:rsidRPr="00F70D7D">
              <w:rPr>
                <w:b/>
                <w:sz w:val="16"/>
                <w:szCs w:val="16"/>
                <w:lang w:val="fr-FR"/>
              </w:rPr>
              <w:t>à</w:t>
            </w:r>
            <w:proofErr w:type="gramEnd"/>
            <w:r w:rsidRPr="00F70D7D">
              <w:rPr>
                <w:b/>
                <w:sz w:val="16"/>
                <w:szCs w:val="16"/>
                <w:lang w:val="fr-FR"/>
              </w:rPr>
              <w:t xml:space="preserve"> taux de change constants</w:t>
            </w:r>
          </w:p>
        </w:tc>
      </w:tr>
      <w:tr w:rsidR="00042751" w:rsidRPr="00F70D7D" w14:paraId="5515E81D" w14:textId="77777777" w:rsidTr="006B1196">
        <w:trPr>
          <w:trHeight w:hRule="exact" w:val="498"/>
          <w:jc w:val="center"/>
        </w:trPr>
        <w:tc>
          <w:tcPr>
            <w:tcW w:w="3261" w:type="dxa"/>
            <w:tcBorders>
              <w:bottom w:val="single" w:sz="8" w:space="0" w:color="0070AD" w:themeColor="accent1"/>
            </w:tcBorders>
          </w:tcPr>
          <w:p w14:paraId="4838904C" w14:textId="77777777" w:rsidR="00042751" w:rsidRPr="00F70D7D" w:rsidRDefault="00042751" w:rsidP="00391FBA">
            <w:pPr>
              <w:keepNext/>
              <w:rPr>
                <w:sz w:val="16"/>
                <w:szCs w:val="16"/>
              </w:rPr>
            </w:pPr>
          </w:p>
        </w:tc>
        <w:tc>
          <w:tcPr>
            <w:tcW w:w="57" w:type="dxa"/>
            <w:tcBorders>
              <w:bottom w:val="single" w:sz="8" w:space="0" w:color="0070AD" w:themeColor="accent1"/>
            </w:tcBorders>
          </w:tcPr>
          <w:p w14:paraId="3D047CBD" w14:textId="77777777" w:rsidR="00042751" w:rsidRPr="00F70D7D" w:rsidRDefault="00042751" w:rsidP="00391FBA">
            <w:pPr>
              <w:pStyle w:val="TableParagraph"/>
              <w:keepNext/>
              <w:spacing w:before="27"/>
              <w:ind w:right="162" w:firstLine="26"/>
              <w:jc w:val="center"/>
              <w:rPr>
                <w:b/>
                <w:sz w:val="16"/>
                <w:szCs w:val="16"/>
                <w:lang w:val="fr-FR"/>
              </w:rPr>
            </w:pPr>
          </w:p>
        </w:tc>
        <w:tc>
          <w:tcPr>
            <w:tcW w:w="1502" w:type="dxa"/>
            <w:tcBorders>
              <w:top w:val="single" w:sz="8" w:space="0" w:color="0070AD" w:themeColor="accent1"/>
              <w:bottom w:val="single" w:sz="8" w:space="0" w:color="0070AD" w:themeColor="accent1"/>
            </w:tcBorders>
            <w:vAlign w:val="center"/>
          </w:tcPr>
          <w:p w14:paraId="70324349" w14:textId="77777777" w:rsidR="00042751" w:rsidRPr="00F70D7D" w:rsidRDefault="00042751" w:rsidP="00391FBA">
            <w:pPr>
              <w:pStyle w:val="TableParagraph"/>
              <w:keepNext/>
              <w:spacing w:before="27"/>
              <w:jc w:val="center"/>
              <w:rPr>
                <w:rFonts w:eastAsia="Arial" w:cs="Arial"/>
                <w:b/>
                <w:sz w:val="16"/>
                <w:szCs w:val="16"/>
                <w:lang w:val="fr-FR"/>
              </w:rPr>
            </w:pPr>
            <w:r w:rsidRPr="00F70D7D">
              <w:rPr>
                <w:b/>
                <w:sz w:val="16"/>
                <w:szCs w:val="16"/>
                <w:lang w:val="fr-FR"/>
              </w:rPr>
              <w:t>1</w:t>
            </w:r>
            <w:r w:rsidRPr="00F70D7D">
              <w:rPr>
                <w:b/>
                <w:sz w:val="16"/>
                <w:szCs w:val="16"/>
                <w:vertAlign w:val="superscript"/>
                <w:lang w:val="fr-FR"/>
              </w:rPr>
              <w:t>er</w:t>
            </w:r>
            <w:r w:rsidRPr="00F70D7D">
              <w:rPr>
                <w:b/>
                <w:sz w:val="16"/>
                <w:szCs w:val="16"/>
                <w:lang w:val="fr-FR"/>
              </w:rPr>
              <w:t xml:space="preserve"> trimestre 2020</w:t>
            </w:r>
          </w:p>
        </w:tc>
        <w:tc>
          <w:tcPr>
            <w:tcW w:w="1644" w:type="dxa"/>
            <w:tcBorders>
              <w:top w:val="single" w:sz="8" w:space="0" w:color="0070AD" w:themeColor="accent1"/>
              <w:bottom w:val="single" w:sz="8" w:space="0" w:color="0070AD" w:themeColor="accent1"/>
            </w:tcBorders>
            <w:shd w:val="clear" w:color="auto" w:fill="auto"/>
            <w:vAlign w:val="center"/>
          </w:tcPr>
          <w:p w14:paraId="534C458C" w14:textId="77777777" w:rsidR="00042751" w:rsidRPr="00F70D7D" w:rsidRDefault="00042751" w:rsidP="00391FBA">
            <w:pPr>
              <w:pStyle w:val="TableParagraph"/>
              <w:keepNext/>
              <w:spacing w:before="27"/>
              <w:ind w:right="-1"/>
              <w:jc w:val="center"/>
              <w:rPr>
                <w:b/>
                <w:sz w:val="16"/>
                <w:szCs w:val="16"/>
                <w:lang w:val="fr-FR"/>
              </w:rPr>
            </w:pPr>
            <w:r w:rsidRPr="00F70D7D">
              <w:rPr>
                <w:b/>
                <w:sz w:val="16"/>
                <w:szCs w:val="16"/>
                <w:lang w:val="fr-FR"/>
              </w:rPr>
              <w:t>2</w:t>
            </w:r>
            <w:r w:rsidRPr="00F70D7D">
              <w:rPr>
                <w:b/>
                <w:sz w:val="16"/>
                <w:szCs w:val="16"/>
                <w:vertAlign w:val="superscript"/>
                <w:lang w:val="fr-FR"/>
              </w:rPr>
              <w:t>ème</w:t>
            </w:r>
            <w:r w:rsidRPr="00F70D7D">
              <w:rPr>
                <w:b/>
                <w:sz w:val="16"/>
                <w:szCs w:val="16"/>
                <w:lang w:val="fr-FR"/>
              </w:rPr>
              <w:t xml:space="preserve"> trimestre 2020</w:t>
            </w:r>
          </w:p>
        </w:tc>
        <w:tc>
          <w:tcPr>
            <w:tcW w:w="1559" w:type="dxa"/>
            <w:tcBorders>
              <w:top w:val="single" w:sz="8" w:space="0" w:color="0070AD" w:themeColor="accent1"/>
              <w:bottom w:val="single" w:sz="8" w:space="0" w:color="0070AD" w:themeColor="accent1"/>
            </w:tcBorders>
            <w:shd w:val="clear" w:color="auto" w:fill="BBE7FF" w:themeFill="accent1" w:themeFillTint="33"/>
            <w:vAlign w:val="center"/>
          </w:tcPr>
          <w:p w14:paraId="3014F9C8" w14:textId="1B188EB3" w:rsidR="00042751" w:rsidRPr="00F70D7D" w:rsidRDefault="00042751" w:rsidP="00391FBA">
            <w:pPr>
              <w:pStyle w:val="TableParagraph"/>
              <w:keepNext/>
              <w:spacing w:before="27"/>
              <w:ind w:right="-1"/>
              <w:jc w:val="center"/>
              <w:rPr>
                <w:b/>
                <w:sz w:val="16"/>
                <w:szCs w:val="16"/>
                <w:lang w:val="fr-FR"/>
              </w:rPr>
            </w:pPr>
            <w:r w:rsidRPr="00F70D7D">
              <w:rPr>
                <w:b/>
                <w:sz w:val="16"/>
                <w:szCs w:val="16"/>
                <w:lang w:val="fr-FR"/>
              </w:rPr>
              <w:t>1</w:t>
            </w:r>
            <w:r w:rsidRPr="000F5D5A">
              <w:rPr>
                <w:b/>
                <w:sz w:val="16"/>
                <w:szCs w:val="16"/>
                <w:vertAlign w:val="superscript"/>
                <w:lang w:val="fr-FR"/>
              </w:rPr>
              <w:t>er</w:t>
            </w:r>
            <w:r w:rsidR="00D51D26">
              <w:rPr>
                <w:b/>
                <w:sz w:val="16"/>
                <w:szCs w:val="16"/>
                <w:lang w:val="fr-FR"/>
              </w:rPr>
              <w:t xml:space="preserve"> </w:t>
            </w:r>
            <w:r w:rsidRPr="00F70D7D">
              <w:rPr>
                <w:b/>
                <w:sz w:val="16"/>
                <w:szCs w:val="16"/>
                <w:lang w:val="fr-FR"/>
              </w:rPr>
              <w:t>semestre 2020</w:t>
            </w:r>
          </w:p>
        </w:tc>
        <w:tc>
          <w:tcPr>
            <w:tcW w:w="257" w:type="dxa"/>
            <w:tcBorders>
              <w:top w:val="single" w:sz="8" w:space="0" w:color="0070AD" w:themeColor="accent1"/>
              <w:bottom w:val="single" w:sz="8" w:space="0" w:color="0070AD" w:themeColor="accent1"/>
            </w:tcBorders>
          </w:tcPr>
          <w:p w14:paraId="2FBF330B" w14:textId="77777777" w:rsidR="00042751" w:rsidRPr="00F70D7D" w:rsidRDefault="00042751" w:rsidP="00391FBA">
            <w:pPr>
              <w:pStyle w:val="TableParagraph"/>
              <w:keepNext/>
              <w:spacing w:before="27"/>
              <w:ind w:right="-1"/>
              <w:jc w:val="center"/>
              <w:rPr>
                <w:b/>
                <w:sz w:val="16"/>
                <w:szCs w:val="16"/>
                <w:lang w:val="fr-FR"/>
              </w:rPr>
            </w:pPr>
          </w:p>
        </w:tc>
      </w:tr>
      <w:tr w:rsidR="00042751" w:rsidRPr="00F70D7D" w14:paraId="1ABFD47E" w14:textId="77777777" w:rsidTr="006B1196">
        <w:trPr>
          <w:trHeight w:val="227"/>
          <w:jc w:val="center"/>
        </w:trPr>
        <w:tc>
          <w:tcPr>
            <w:tcW w:w="3261" w:type="dxa"/>
            <w:tcBorders>
              <w:top w:val="single" w:sz="8" w:space="0" w:color="0070AD" w:themeColor="accent1"/>
            </w:tcBorders>
            <w:vAlign w:val="center"/>
          </w:tcPr>
          <w:p w14:paraId="44768670" w14:textId="77777777" w:rsidR="00042751" w:rsidRPr="00F70D7D" w:rsidRDefault="00042751" w:rsidP="00391FBA">
            <w:pPr>
              <w:pStyle w:val="TableParagraph"/>
              <w:keepNext/>
              <w:spacing w:before="100" w:beforeAutospacing="1" w:after="100" w:afterAutospacing="1"/>
              <w:ind w:left="142"/>
              <w:rPr>
                <w:sz w:val="16"/>
                <w:szCs w:val="16"/>
                <w:lang w:val="fr-FR"/>
              </w:rPr>
            </w:pPr>
            <w:r w:rsidRPr="00F70D7D">
              <w:rPr>
                <w:sz w:val="16"/>
                <w:szCs w:val="16"/>
                <w:lang w:val="fr-FR"/>
              </w:rPr>
              <w:t>Amérique du Nord</w:t>
            </w:r>
          </w:p>
        </w:tc>
        <w:tc>
          <w:tcPr>
            <w:tcW w:w="57" w:type="dxa"/>
            <w:tcBorders>
              <w:top w:val="single" w:sz="8" w:space="0" w:color="0070AD"/>
              <w:left w:val="nil"/>
              <w:bottom w:val="nil"/>
              <w:right w:val="nil"/>
            </w:tcBorders>
            <w:shd w:val="clear" w:color="auto" w:fill="auto"/>
            <w:vAlign w:val="center"/>
          </w:tcPr>
          <w:p w14:paraId="121051BA" w14:textId="77777777" w:rsidR="00042751" w:rsidRPr="00F70D7D" w:rsidRDefault="00042751" w:rsidP="00391FBA">
            <w:pPr>
              <w:pStyle w:val="TableParagraph"/>
              <w:keepNext/>
              <w:spacing w:before="100" w:beforeAutospacing="1" w:after="100" w:afterAutospacing="1"/>
              <w:ind w:left="1" w:right="537"/>
              <w:jc w:val="right"/>
              <w:rPr>
                <w:sz w:val="16"/>
                <w:szCs w:val="16"/>
              </w:rPr>
            </w:pPr>
            <w:r w:rsidRPr="00F70D7D">
              <w:rPr>
                <w:sz w:val="16"/>
                <w:szCs w:val="16"/>
              </w:rPr>
              <w:t> </w:t>
            </w:r>
          </w:p>
        </w:tc>
        <w:tc>
          <w:tcPr>
            <w:tcW w:w="1502" w:type="dxa"/>
            <w:tcBorders>
              <w:top w:val="single" w:sz="8" w:space="0" w:color="0070AD"/>
              <w:left w:val="nil"/>
              <w:bottom w:val="nil"/>
              <w:right w:val="nil"/>
            </w:tcBorders>
            <w:shd w:val="clear" w:color="auto" w:fill="auto"/>
            <w:vAlign w:val="center"/>
          </w:tcPr>
          <w:p w14:paraId="171C1AA6" w14:textId="77777777" w:rsidR="00042751" w:rsidRPr="00F70D7D" w:rsidRDefault="00042751" w:rsidP="00391FBA">
            <w:pPr>
              <w:keepNext/>
              <w:widowControl w:val="0"/>
              <w:spacing w:before="100" w:beforeAutospacing="1" w:after="100" w:afterAutospacing="1"/>
              <w:ind w:right="452"/>
              <w:jc w:val="right"/>
              <w:rPr>
                <w:rFonts w:eastAsia="Arial" w:cs="Arial"/>
                <w:sz w:val="16"/>
                <w:szCs w:val="16"/>
              </w:rPr>
            </w:pPr>
            <w:r w:rsidRPr="00F70D7D">
              <w:rPr>
                <w:rFonts w:eastAsia="Arial" w:cs="Arial"/>
                <w:sz w:val="16"/>
                <w:szCs w:val="16"/>
              </w:rPr>
              <w:t>-0,6%</w:t>
            </w:r>
          </w:p>
        </w:tc>
        <w:tc>
          <w:tcPr>
            <w:tcW w:w="1644" w:type="dxa"/>
            <w:tcBorders>
              <w:top w:val="single" w:sz="8" w:space="0" w:color="0070AD"/>
              <w:left w:val="nil"/>
              <w:bottom w:val="nil"/>
              <w:right w:val="nil"/>
            </w:tcBorders>
            <w:shd w:val="clear" w:color="auto" w:fill="auto"/>
            <w:vAlign w:val="center"/>
          </w:tcPr>
          <w:p w14:paraId="2C37101F" w14:textId="77777777" w:rsidR="00042751" w:rsidRPr="00F70D7D" w:rsidRDefault="00042751" w:rsidP="00391FBA">
            <w:pPr>
              <w:keepNext/>
              <w:widowControl w:val="0"/>
              <w:spacing w:before="100" w:beforeAutospacing="1" w:after="100" w:afterAutospacing="1"/>
              <w:ind w:right="452"/>
              <w:jc w:val="right"/>
              <w:rPr>
                <w:rFonts w:eastAsia="Arial" w:cs="Arial"/>
                <w:sz w:val="16"/>
                <w:szCs w:val="16"/>
              </w:rPr>
            </w:pPr>
            <w:r w:rsidRPr="00F70D7D">
              <w:rPr>
                <w:rFonts w:eastAsia="Arial" w:cs="Arial"/>
                <w:sz w:val="16"/>
                <w:szCs w:val="16"/>
              </w:rPr>
              <w:t>+</w:t>
            </w:r>
            <w:r>
              <w:rPr>
                <w:rFonts w:eastAsia="Arial" w:cs="Arial"/>
                <w:sz w:val="16"/>
                <w:szCs w:val="16"/>
              </w:rPr>
              <w:t>9,0</w:t>
            </w:r>
            <w:r w:rsidRPr="00F70D7D">
              <w:rPr>
                <w:rFonts w:eastAsia="Arial" w:cs="Arial"/>
                <w:sz w:val="16"/>
                <w:szCs w:val="16"/>
              </w:rPr>
              <w:t>%</w:t>
            </w:r>
          </w:p>
        </w:tc>
        <w:tc>
          <w:tcPr>
            <w:tcW w:w="1559" w:type="dxa"/>
            <w:tcBorders>
              <w:top w:val="single" w:sz="8" w:space="0" w:color="0070AD"/>
              <w:left w:val="nil"/>
              <w:bottom w:val="nil"/>
              <w:right w:val="nil"/>
            </w:tcBorders>
            <w:shd w:val="clear" w:color="auto" w:fill="BBE7FF" w:themeFill="accent1" w:themeFillTint="33"/>
            <w:vAlign w:val="center"/>
          </w:tcPr>
          <w:p w14:paraId="5772497B" w14:textId="77777777" w:rsidR="00042751" w:rsidRPr="00ED0DA2" w:rsidRDefault="00042751" w:rsidP="00391FBA">
            <w:pPr>
              <w:keepNext/>
              <w:widowControl w:val="0"/>
              <w:spacing w:before="100" w:beforeAutospacing="1" w:after="100" w:afterAutospacing="1"/>
              <w:ind w:right="452"/>
              <w:jc w:val="right"/>
              <w:rPr>
                <w:rFonts w:eastAsia="Arial" w:cs="Arial"/>
                <w:sz w:val="16"/>
                <w:szCs w:val="16"/>
              </w:rPr>
            </w:pPr>
            <w:r w:rsidRPr="00ED0DA2">
              <w:rPr>
                <w:rFonts w:eastAsia="Arial" w:cs="Arial"/>
                <w:sz w:val="16"/>
                <w:szCs w:val="16"/>
              </w:rPr>
              <w:t>+4,2%</w:t>
            </w:r>
          </w:p>
        </w:tc>
        <w:tc>
          <w:tcPr>
            <w:tcW w:w="257" w:type="dxa"/>
            <w:tcBorders>
              <w:top w:val="single" w:sz="8" w:space="0" w:color="0070AD"/>
              <w:left w:val="nil"/>
              <w:bottom w:val="nil"/>
              <w:right w:val="nil"/>
            </w:tcBorders>
          </w:tcPr>
          <w:p w14:paraId="5679D3D1" w14:textId="77777777" w:rsidR="00042751" w:rsidRPr="00F70D7D" w:rsidRDefault="00042751" w:rsidP="00391FBA">
            <w:pPr>
              <w:keepNext/>
              <w:widowControl w:val="0"/>
              <w:spacing w:before="100" w:beforeAutospacing="1" w:after="100" w:afterAutospacing="1"/>
              <w:ind w:right="452"/>
              <w:jc w:val="right"/>
              <w:rPr>
                <w:rFonts w:eastAsia="Arial" w:cs="Arial"/>
                <w:sz w:val="16"/>
                <w:szCs w:val="16"/>
              </w:rPr>
            </w:pPr>
          </w:p>
        </w:tc>
      </w:tr>
      <w:tr w:rsidR="00042751" w:rsidRPr="00F70D7D" w14:paraId="33B236CF" w14:textId="77777777" w:rsidTr="006B1196">
        <w:trPr>
          <w:trHeight w:val="227"/>
          <w:jc w:val="center"/>
        </w:trPr>
        <w:tc>
          <w:tcPr>
            <w:tcW w:w="3261" w:type="dxa"/>
            <w:vAlign w:val="center"/>
          </w:tcPr>
          <w:p w14:paraId="4C4797E6" w14:textId="77777777" w:rsidR="00042751" w:rsidRPr="00F70D7D" w:rsidRDefault="00042751" w:rsidP="00391FBA">
            <w:pPr>
              <w:pStyle w:val="TableParagraph"/>
              <w:keepNext/>
              <w:spacing w:before="100" w:beforeAutospacing="1" w:after="100" w:afterAutospacing="1"/>
              <w:ind w:left="142"/>
              <w:rPr>
                <w:sz w:val="16"/>
                <w:szCs w:val="16"/>
                <w:lang w:val="fr-FR"/>
              </w:rPr>
            </w:pPr>
            <w:r w:rsidRPr="00F70D7D">
              <w:rPr>
                <w:sz w:val="16"/>
                <w:szCs w:val="16"/>
                <w:lang w:val="fr-FR"/>
              </w:rPr>
              <w:t>Royaume-Uni et Irlande</w:t>
            </w:r>
          </w:p>
        </w:tc>
        <w:tc>
          <w:tcPr>
            <w:tcW w:w="57" w:type="dxa"/>
            <w:tcBorders>
              <w:top w:val="nil"/>
              <w:left w:val="nil"/>
              <w:bottom w:val="nil"/>
              <w:right w:val="nil"/>
            </w:tcBorders>
            <w:shd w:val="clear" w:color="auto" w:fill="auto"/>
            <w:vAlign w:val="center"/>
          </w:tcPr>
          <w:p w14:paraId="719B403F" w14:textId="77777777" w:rsidR="00042751" w:rsidRPr="00F70D7D" w:rsidRDefault="00042751" w:rsidP="00391FBA">
            <w:pPr>
              <w:pStyle w:val="TableParagraph"/>
              <w:keepNext/>
              <w:spacing w:before="100" w:beforeAutospacing="1" w:after="100" w:afterAutospacing="1"/>
              <w:ind w:left="1" w:right="537"/>
              <w:jc w:val="right"/>
              <w:rPr>
                <w:sz w:val="16"/>
                <w:szCs w:val="16"/>
              </w:rPr>
            </w:pPr>
          </w:p>
        </w:tc>
        <w:tc>
          <w:tcPr>
            <w:tcW w:w="1502" w:type="dxa"/>
            <w:tcBorders>
              <w:top w:val="nil"/>
              <w:left w:val="nil"/>
              <w:bottom w:val="nil"/>
              <w:right w:val="nil"/>
            </w:tcBorders>
            <w:shd w:val="clear" w:color="auto" w:fill="auto"/>
            <w:vAlign w:val="center"/>
          </w:tcPr>
          <w:p w14:paraId="6BFCAE17" w14:textId="77777777" w:rsidR="00042751" w:rsidRPr="00F70D7D" w:rsidRDefault="00042751" w:rsidP="00391FBA">
            <w:pPr>
              <w:keepNext/>
              <w:widowControl w:val="0"/>
              <w:spacing w:before="100" w:beforeAutospacing="1" w:after="100" w:afterAutospacing="1"/>
              <w:ind w:right="452"/>
              <w:jc w:val="right"/>
              <w:rPr>
                <w:rFonts w:eastAsia="Arial" w:cs="Arial"/>
                <w:sz w:val="16"/>
                <w:szCs w:val="16"/>
              </w:rPr>
            </w:pPr>
            <w:r w:rsidRPr="00F70D7D">
              <w:rPr>
                <w:rFonts w:eastAsia="Arial" w:cs="Arial"/>
                <w:sz w:val="16"/>
                <w:szCs w:val="16"/>
              </w:rPr>
              <w:t>-2,6%</w:t>
            </w:r>
          </w:p>
        </w:tc>
        <w:tc>
          <w:tcPr>
            <w:tcW w:w="1644" w:type="dxa"/>
            <w:tcBorders>
              <w:top w:val="nil"/>
              <w:left w:val="nil"/>
              <w:bottom w:val="nil"/>
              <w:right w:val="nil"/>
            </w:tcBorders>
            <w:shd w:val="clear" w:color="auto" w:fill="auto"/>
            <w:vAlign w:val="center"/>
          </w:tcPr>
          <w:p w14:paraId="57AF9646" w14:textId="77777777" w:rsidR="00042751" w:rsidRPr="00F70D7D" w:rsidRDefault="00042751" w:rsidP="00391FBA">
            <w:pPr>
              <w:keepNext/>
              <w:widowControl w:val="0"/>
              <w:spacing w:before="100" w:beforeAutospacing="1" w:after="100" w:afterAutospacing="1"/>
              <w:ind w:right="452"/>
              <w:jc w:val="right"/>
              <w:rPr>
                <w:rFonts w:eastAsia="Arial" w:cs="Arial"/>
                <w:sz w:val="16"/>
                <w:szCs w:val="16"/>
              </w:rPr>
            </w:pPr>
            <w:r w:rsidRPr="00F70D7D">
              <w:rPr>
                <w:rFonts w:eastAsia="Arial" w:cs="Arial"/>
                <w:sz w:val="16"/>
                <w:szCs w:val="16"/>
              </w:rPr>
              <w:t>+</w:t>
            </w:r>
            <w:r>
              <w:rPr>
                <w:rFonts w:eastAsia="Arial" w:cs="Arial"/>
                <w:sz w:val="16"/>
                <w:szCs w:val="16"/>
              </w:rPr>
              <w:t>3,7</w:t>
            </w:r>
            <w:r w:rsidRPr="00F70D7D">
              <w:rPr>
                <w:rFonts w:eastAsia="Arial" w:cs="Arial"/>
                <w:sz w:val="16"/>
                <w:szCs w:val="16"/>
              </w:rPr>
              <w:t>%</w:t>
            </w:r>
          </w:p>
        </w:tc>
        <w:tc>
          <w:tcPr>
            <w:tcW w:w="1559" w:type="dxa"/>
            <w:tcBorders>
              <w:top w:val="nil"/>
              <w:left w:val="nil"/>
              <w:bottom w:val="nil"/>
              <w:right w:val="nil"/>
            </w:tcBorders>
            <w:shd w:val="clear" w:color="auto" w:fill="BBE7FF" w:themeFill="accent1" w:themeFillTint="33"/>
            <w:vAlign w:val="center"/>
          </w:tcPr>
          <w:p w14:paraId="0624E741" w14:textId="77777777" w:rsidR="00042751" w:rsidRPr="00ED0DA2" w:rsidRDefault="00042751" w:rsidP="00391FBA">
            <w:pPr>
              <w:keepNext/>
              <w:widowControl w:val="0"/>
              <w:spacing w:before="100" w:beforeAutospacing="1" w:after="100" w:afterAutospacing="1"/>
              <w:ind w:right="452"/>
              <w:jc w:val="right"/>
              <w:rPr>
                <w:rFonts w:eastAsia="Arial" w:cs="Arial"/>
                <w:sz w:val="16"/>
                <w:szCs w:val="16"/>
              </w:rPr>
            </w:pPr>
            <w:r w:rsidRPr="00ED0DA2">
              <w:rPr>
                <w:rFonts w:eastAsia="Arial" w:cs="Arial"/>
                <w:sz w:val="16"/>
                <w:szCs w:val="16"/>
              </w:rPr>
              <w:t>+0,6%</w:t>
            </w:r>
          </w:p>
        </w:tc>
        <w:tc>
          <w:tcPr>
            <w:tcW w:w="257" w:type="dxa"/>
            <w:tcBorders>
              <w:top w:val="nil"/>
              <w:left w:val="nil"/>
              <w:bottom w:val="nil"/>
              <w:right w:val="nil"/>
            </w:tcBorders>
          </w:tcPr>
          <w:p w14:paraId="50C86AB3" w14:textId="77777777" w:rsidR="00042751" w:rsidRPr="00F70D7D" w:rsidRDefault="00042751" w:rsidP="00391FBA">
            <w:pPr>
              <w:keepNext/>
              <w:widowControl w:val="0"/>
              <w:spacing w:before="100" w:beforeAutospacing="1" w:after="100" w:afterAutospacing="1"/>
              <w:ind w:right="452"/>
              <w:jc w:val="right"/>
              <w:rPr>
                <w:rFonts w:eastAsia="Arial" w:cs="Arial"/>
                <w:sz w:val="16"/>
                <w:szCs w:val="16"/>
              </w:rPr>
            </w:pPr>
          </w:p>
        </w:tc>
      </w:tr>
      <w:tr w:rsidR="00042751" w:rsidRPr="00F70D7D" w14:paraId="1A612BC4" w14:textId="77777777" w:rsidTr="006B1196">
        <w:trPr>
          <w:trHeight w:val="227"/>
          <w:jc w:val="center"/>
        </w:trPr>
        <w:tc>
          <w:tcPr>
            <w:tcW w:w="3261" w:type="dxa"/>
            <w:vAlign w:val="center"/>
          </w:tcPr>
          <w:p w14:paraId="56ED7E9C" w14:textId="77777777" w:rsidR="00042751" w:rsidRPr="00F70D7D" w:rsidRDefault="00042751" w:rsidP="00391FBA">
            <w:pPr>
              <w:pStyle w:val="TableParagraph"/>
              <w:keepNext/>
              <w:spacing w:before="100" w:beforeAutospacing="1" w:after="100" w:afterAutospacing="1"/>
              <w:ind w:left="142"/>
              <w:rPr>
                <w:rFonts w:eastAsia="Arial" w:cs="Arial"/>
                <w:sz w:val="16"/>
                <w:szCs w:val="16"/>
                <w:lang w:val="fr-FR"/>
              </w:rPr>
            </w:pPr>
            <w:r w:rsidRPr="00F70D7D">
              <w:rPr>
                <w:sz w:val="16"/>
                <w:szCs w:val="16"/>
                <w:lang w:val="fr-FR"/>
              </w:rPr>
              <w:t>France</w:t>
            </w:r>
          </w:p>
        </w:tc>
        <w:tc>
          <w:tcPr>
            <w:tcW w:w="57" w:type="dxa"/>
            <w:tcBorders>
              <w:top w:val="nil"/>
              <w:left w:val="nil"/>
              <w:bottom w:val="nil"/>
              <w:right w:val="nil"/>
            </w:tcBorders>
            <w:shd w:val="clear" w:color="auto" w:fill="auto"/>
            <w:vAlign w:val="center"/>
          </w:tcPr>
          <w:p w14:paraId="701F1796" w14:textId="77777777" w:rsidR="00042751" w:rsidRPr="00F70D7D" w:rsidRDefault="00042751" w:rsidP="00391FBA">
            <w:pPr>
              <w:pStyle w:val="TableParagraph"/>
              <w:keepNext/>
              <w:spacing w:before="100" w:beforeAutospacing="1" w:after="100" w:afterAutospacing="1"/>
              <w:ind w:left="1" w:right="537"/>
              <w:jc w:val="right"/>
              <w:rPr>
                <w:sz w:val="16"/>
                <w:szCs w:val="16"/>
              </w:rPr>
            </w:pPr>
          </w:p>
        </w:tc>
        <w:tc>
          <w:tcPr>
            <w:tcW w:w="1502" w:type="dxa"/>
            <w:tcBorders>
              <w:top w:val="nil"/>
              <w:left w:val="nil"/>
              <w:bottom w:val="nil"/>
              <w:right w:val="nil"/>
            </w:tcBorders>
            <w:shd w:val="clear" w:color="auto" w:fill="auto"/>
            <w:vAlign w:val="center"/>
          </w:tcPr>
          <w:p w14:paraId="73D8CB6D" w14:textId="77777777" w:rsidR="00042751" w:rsidRPr="00F70D7D" w:rsidRDefault="00042751" w:rsidP="00391FBA">
            <w:pPr>
              <w:keepNext/>
              <w:widowControl w:val="0"/>
              <w:spacing w:before="100" w:beforeAutospacing="1" w:after="100" w:afterAutospacing="1"/>
              <w:ind w:right="452"/>
              <w:jc w:val="right"/>
              <w:rPr>
                <w:rFonts w:eastAsia="Arial" w:cs="Arial"/>
                <w:sz w:val="16"/>
                <w:szCs w:val="16"/>
              </w:rPr>
            </w:pPr>
            <w:r w:rsidRPr="00F70D7D">
              <w:rPr>
                <w:rFonts w:eastAsia="Arial" w:cs="Arial"/>
                <w:sz w:val="16"/>
                <w:szCs w:val="16"/>
              </w:rPr>
              <w:t>+3,3%</w:t>
            </w:r>
          </w:p>
        </w:tc>
        <w:tc>
          <w:tcPr>
            <w:tcW w:w="1644" w:type="dxa"/>
            <w:tcBorders>
              <w:top w:val="nil"/>
              <w:left w:val="nil"/>
              <w:bottom w:val="nil"/>
              <w:right w:val="nil"/>
            </w:tcBorders>
            <w:shd w:val="clear" w:color="auto" w:fill="auto"/>
            <w:vAlign w:val="center"/>
          </w:tcPr>
          <w:p w14:paraId="5F011134" w14:textId="77777777" w:rsidR="00042751" w:rsidRPr="00F70D7D" w:rsidRDefault="00042751" w:rsidP="00391FBA">
            <w:pPr>
              <w:keepNext/>
              <w:widowControl w:val="0"/>
              <w:spacing w:before="100" w:beforeAutospacing="1" w:after="100" w:afterAutospacing="1"/>
              <w:ind w:right="452"/>
              <w:jc w:val="right"/>
              <w:rPr>
                <w:rFonts w:eastAsia="Arial" w:cs="Arial"/>
                <w:sz w:val="16"/>
                <w:szCs w:val="16"/>
              </w:rPr>
            </w:pPr>
            <w:r w:rsidRPr="00F70D7D">
              <w:rPr>
                <w:rFonts w:eastAsia="Arial" w:cs="Arial"/>
                <w:sz w:val="16"/>
                <w:szCs w:val="16"/>
              </w:rPr>
              <w:t>+</w:t>
            </w:r>
            <w:r>
              <w:rPr>
                <w:rFonts w:eastAsia="Arial" w:cs="Arial"/>
                <w:sz w:val="16"/>
                <w:szCs w:val="16"/>
              </w:rPr>
              <w:t>11,8</w:t>
            </w:r>
            <w:r w:rsidRPr="00F70D7D">
              <w:rPr>
                <w:rFonts w:eastAsia="Arial" w:cs="Arial"/>
                <w:sz w:val="16"/>
                <w:szCs w:val="16"/>
              </w:rPr>
              <w:t>%</w:t>
            </w:r>
          </w:p>
        </w:tc>
        <w:tc>
          <w:tcPr>
            <w:tcW w:w="1559" w:type="dxa"/>
            <w:tcBorders>
              <w:top w:val="nil"/>
              <w:left w:val="nil"/>
              <w:bottom w:val="nil"/>
              <w:right w:val="nil"/>
            </w:tcBorders>
            <w:shd w:val="clear" w:color="auto" w:fill="BBE7FF" w:themeFill="accent1" w:themeFillTint="33"/>
            <w:vAlign w:val="center"/>
          </w:tcPr>
          <w:p w14:paraId="46FDD46D" w14:textId="77777777" w:rsidR="00042751" w:rsidRPr="00ED0DA2" w:rsidRDefault="00042751" w:rsidP="00391FBA">
            <w:pPr>
              <w:keepNext/>
              <w:widowControl w:val="0"/>
              <w:spacing w:before="100" w:beforeAutospacing="1" w:after="100" w:afterAutospacing="1"/>
              <w:ind w:right="452"/>
              <w:jc w:val="right"/>
              <w:rPr>
                <w:rFonts w:eastAsia="Arial" w:cs="Arial"/>
                <w:sz w:val="16"/>
                <w:szCs w:val="16"/>
              </w:rPr>
            </w:pPr>
            <w:r w:rsidRPr="00ED0DA2">
              <w:rPr>
                <w:rFonts w:eastAsia="Arial" w:cs="Arial"/>
                <w:sz w:val="16"/>
                <w:szCs w:val="16"/>
              </w:rPr>
              <w:t>+7,6%</w:t>
            </w:r>
          </w:p>
        </w:tc>
        <w:tc>
          <w:tcPr>
            <w:tcW w:w="257" w:type="dxa"/>
            <w:tcBorders>
              <w:top w:val="nil"/>
              <w:left w:val="nil"/>
              <w:bottom w:val="nil"/>
              <w:right w:val="nil"/>
            </w:tcBorders>
          </w:tcPr>
          <w:p w14:paraId="12CB3FF4" w14:textId="77777777" w:rsidR="00042751" w:rsidRPr="00F70D7D" w:rsidRDefault="00042751" w:rsidP="00391FBA">
            <w:pPr>
              <w:keepNext/>
              <w:widowControl w:val="0"/>
              <w:spacing w:before="100" w:beforeAutospacing="1" w:after="100" w:afterAutospacing="1"/>
              <w:ind w:right="452"/>
              <w:jc w:val="right"/>
              <w:rPr>
                <w:rFonts w:eastAsia="Arial" w:cs="Arial"/>
                <w:sz w:val="16"/>
                <w:szCs w:val="16"/>
              </w:rPr>
            </w:pPr>
          </w:p>
        </w:tc>
      </w:tr>
      <w:tr w:rsidR="00042751" w:rsidRPr="00F70D7D" w14:paraId="09C6861A" w14:textId="77777777" w:rsidTr="006B1196">
        <w:trPr>
          <w:trHeight w:val="227"/>
          <w:jc w:val="center"/>
        </w:trPr>
        <w:tc>
          <w:tcPr>
            <w:tcW w:w="3261" w:type="dxa"/>
            <w:vAlign w:val="center"/>
          </w:tcPr>
          <w:p w14:paraId="1CD8B38E" w14:textId="77777777" w:rsidR="00042751" w:rsidRPr="00F70D7D" w:rsidRDefault="00042751" w:rsidP="00391FBA">
            <w:pPr>
              <w:pStyle w:val="TableParagraph"/>
              <w:keepNext/>
              <w:spacing w:before="100" w:beforeAutospacing="1" w:after="100" w:afterAutospacing="1"/>
              <w:ind w:left="142"/>
              <w:rPr>
                <w:sz w:val="16"/>
                <w:szCs w:val="16"/>
                <w:lang w:val="fr-FR"/>
              </w:rPr>
            </w:pPr>
            <w:r w:rsidRPr="00F70D7D">
              <w:rPr>
                <w:sz w:val="16"/>
                <w:szCs w:val="16"/>
                <w:lang w:val="fr-FR"/>
              </w:rPr>
              <w:t>Reste de l’Europe</w:t>
            </w:r>
          </w:p>
        </w:tc>
        <w:tc>
          <w:tcPr>
            <w:tcW w:w="57" w:type="dxa"/>
            <w:tcBorders>
              <w:top w:val="nil"/>
              <w:left w:val="nil"/>
              <w:bottom w:val="nil"/>
              <w:right w:val="nil"/>
            </w:tcBorders>
            <w:shd w:val="clear" w:color="auto" w:fill="auto"/>
            <w:vAlign w:val="center"/>
          </w:tcPr>
          <w:p w14:paraId="406D0EA6" w14:textId="77777777" w:rsidR="00042751" w:rsidRPr="00F70D7D" w:rsidRDefault="00042751" w:rsidP="00391FBA">
            <w:pPr>
              <w:pStyle w:val="TableParagraph"/>
              <w:keepNext/>
              <w:spacing w:before="100" w:beforeAutospacing="1" w:after="100" w:afterAutospacing="1"/>
              <w:ind w:left="1" w:right="537"/>
              <w:jc w:val="right"/>
              <w:rPr>
                <w:sz w:val="16"/>
                <w:szCs w:val="16"/>
              </w:rPr>
            </w:pPr>
          </w:p>
        </w:tc>
        <w:tc>
          <w:tcPr>
            <w:tcW w:w="1502" w:type="dxa"/>
            <w:tcBorders>
              <w:top w:val="nil"/>
              <w:left w:val="nil"/>
              <w:bottom w:val="nil"/>
              <w:right w:val="nil"/>
            </w:tcBorders>
            <w:shd w:val="clear" w:color="auto" w:fill="auto"/>
            <w:vAlign w:val="center"/>
          </w:tcPr>
          <w:p w14:paraId="32D7DBC2" w14:textId="77777777" w:rsidR="00042751" w:rsidRPr="00F70D7D" w:rsidRDefault="00042751" w:rsidP="00391FBA">
            <w:pPr>
              <w:keepNext/>
              <w:widowControl w:val="0"/>
              <w:spacing w:before="100" w:beforeAutospacing="1" w:after="100" w:afterAutospacing="1"/>
              <w:ind w:right="452"/>
              <w:jc w:val="right"/>
              <w:rPr>
                <w:rFonts w:eastAsia="Arial" w:cs="Arial"/>
                <w:sz w:val="16"/>
                <w:szCs w:val="16"/>
              </w:rPr>
            </w:pPr>
            <w:r w:rsidRPr="00F70D7D">
              <w:rPr>
                <w:rFonts w:eastAsia="Arial" w:cs="Arial"/>
                <w:sz w:val="16"/>
                <w:szCs w:val="16"/>
              </w:rPr>
              <w:t>+</w:t>
            </w:r>
            <w:r>
              <w:rPr>
                <w:rFonts w:eastAsia="Arial" w:cs="Arial"/>
                <w:sz w:val="16"/>
                <w:szCs w:val="16"/>
              </w:rPr>
              <w:t>5,1</w:t>
            </w:r>
            <w:r w:rsidRPr="00F70D7D">
              <w:rPr>
                <w:rFonts w:eastAsia="Arial" w:cs="Arial"/>
                <w:sz w:val="16"/>
                <w:szCs w:val="16"/>
              </w:rPr>
              <w:t>%</w:t>
            </w:r>
          </w:p>
        </w:tc>
        <w:tc>
          <w:tcPr>
            <w:tcW w:w="1644" w:type="dxa"/>
            <w:tcBorders>
              <w:top w:val="nil"/>
              <w:left w:val="nil"/>
              <w:bottom w:val="nil"/>
              <w:right w:val="nil"/>
            </w:tcBorders>
            <w:shd w:val="clear" w:color="auto" w:fill="auto"/>
            <w:vAlign w:val="center"/>
          </w:tcPr>
          <w:p w14:paraId="1E167912" w14:textId="77777777" w:rsidR="00042751" w:rsidRPr="00F70D7D" w:rsidRDefault="00042751" w:rsidP="00391FBA">
            <w:pPr>
              <w:keepNext/>
              <w:widowControl w:val="0"/>
              <w:spacing w:before="100" w:beforeAutospacing="1" w:after="100" w:afterAutospacing="1"/>
              <w:ind w:right="452"/>
              <w:jc w:val="right"/>
              <w:rPr>
                <w:rFonts w:eastAsia="Arial" w:cs="Arial"/>
                <w:sz w:val="16"/>
                <w:szCs w:val="16"/>
              </w:rPr>
            </w:pPr>
            <w:r w:rsidRPr="00F70D7D">
              <w:rPr>
                <w:rFonts w:eastAsia="Arial" w:cs="Arial"/>
                <w:sz w:val="16"/>
                <w:szCs w:val="16"/>
              </w:rPr>
              <w:t>+</w:t>
            </w:r>
            <w:r>
              <w:rPr>
                <w:rFonts w:eastAsia="Arial" w:cs="Arial"/>
                <w:sz w:val="16"/>
                <w:szCs w:val="16"/>
              </w:rPr>
              <w:t>24,9</w:t>
            </w:r>
            <w:r w:rsidRPr="00F70D7D">
              <w:rPr>
                <w:rFonts w:eastAsia="Arial" w:cs="Arial"/>
                <w:sz w:val="16"/>
                <w:szCs w:val="16"/>
              </w:rPr>
              <w:t>%</w:t>
            </w:r>
          </w:p>
        </w:tc>
        <w:tc>
          <w:tcPr>
            <w:tcW w:w="1559" w:type="dxa"/>
            <w:tcBorders>
              <w:top w:val="nil"/>
              <w:left w:val="nil"/>
              <w:bottom w:val="nil"/>
              <w:right w:val="nil"/>
            </w:tcBorders>
            <w:shd w:val="clear" w:color="auto" w:fill="BBE7FF" w:themeFill="accent1" w:themeFillTint="33"/>
            <w:vAlign w:val="center"/>
          </w:tcPr>
          <w:p w14:paraId="5F2F67FA" w14:textId="77777777" w:rsidR="00042751" w:rsidRPr="00ED0DA2" w:rsidRDefault="00042751" w:rsidP="00391FBA">
            <w:pPr>
              <w:keepNext/>
              <w:widowControl w:val="0"/>
              <w:spacing w:before="100" w:beforeAutospacing="1" w:after="100" w:afterAutospacing="1"/>
              <w:ind w:right="452"/>
              <w:jc w:val="right"/>
              <w:rPr>
                <w:rFonts w:eastAsia="Arial" w:cs="Arial"/>
                <w:sz w:val="16"/>
                <w:szCs w:val="16"/>
              </w:rPr>
            </w:pPr>
            <w:r w:rsidRPr="00ED0DA2">
              <w:rPr>
                <w:rFonts w:eastAsia="Arial" w:cs="Arial"/>
                <w:sz w:val="16"/>
                <w:szCs w:val="16"/>
              </w:rPr>
              <w:t>+15,1%</w:t>
            </w:r>
          </w:p>
        </w:tc>
        <w:tc>
          <w:tcPr>
            <w:tcW w:w="257" w:type="dxa"/>
            <w:tcBorders>
              <w:top w:val="nil"/>
              <w:left w:val="nil"/>
              <w:bottom w:val="nil"/>
              <w:right w:val="nil"/>
            </w:tcBorders>
          </w:tcPr>
          <w:p w14:paraId="38B4C3C1" w14:textId="77777777" w:rsidR="00042751" w:rsidRPr="00F70D7D" w:rsidRDefault="00042751" w:rsidP="00391FBA">
            <w:pPr>
              <w:keepNext/>
              <w:widowControl w:val="0"/>
              <w:spacing w:before="100" w:beforeAutospacing="1" w:after="100" w:afterAutospacing="1"/>
              <w:ind w:right="452"/>
              <w:jc w:val="right"/>
              <w:rPr>
                <w:rFonts w:eastAsia="Arial" w:cs="Arial"/>
                <w:sz w:val="16"/>
                <w:szCs w:val="16"/>
              </w:rPr>
            </w:pPr>
          </w:p>
        </w:tc>
      </w:tr>
      <w:tr w:rsidR="00042751" w:rsidRPr="00F70D7D" w14:paraId="11FD53E1" w14:textId="77777777" w:rsidTr="006B1196">
        <w:trPr>
          <w:trHeight w:val="227"/>
          <w:jc w:val="center"/>
        </w:trPr>
        <w:tc>
          <w:tcPr>
            <w:tcW w:w="3261" w:type="dxa"/>
            <w:tcBorders>
              <w:bottom w:val="single" w:sz="8" w:space="0" w:color="0070AD" w:themeColor="accent1"/>
            </w:tcBorders>
            <w:vAlign w:val="center"/>
          </w:tcPr>
          <w:p w14:paraId="201355C2" w14:textId="44D7A246" w:rsidR="00042751" w:rsidRPr="00F70D7D" w:rsidRDefault="00042751" w:rsidP="00391FBA">
            <w:pPr>
              <w:pStyle w:val="TableParagraph"/>
              <w:keepNext/>
              <w:spacing w:before="100" w:beforeAutospacing="1" w:after="100" w:afterAutospacing="1"/>
              <w:ind w:left="142"/>
              <w:rPr>
                <w:sz w:val="16"/>
                <w:szCs w:val="16"/>
                <w:lang w:val="fr-FR"/>
              </w:rPr>
            </w:pPr>
            <w:bookmarkStart w:id="9" w:name="_Hlk48292655"/>
            <w:r w:rsidRPr="00F70D7D">
              <w:rPr>
                <w:sz w:val="16"/>
                <w:szCs w:val="16"/>
                <w:lang w:val="fr-FR"/>
              </w:rPr>
              <w:t>Asie</w:t>
            </w:r>
            <w:r w:rsidR="00A06AD3">
              <w:rPr>
                <w:sz w:val="16"/>
                <w:szCs w:val="16"/>
                <w:lang w:val="fr-FR"/>
              </w:rPr>
              <w:t>-</w:t>
            </w:r>
            <w:r w:rsidRPr="00F70D7D">
              <w:rPr>
                <w:sz w:val="16"/>
                <w:szCs w:val="16"/>
                <w:lang w:val="fr-FR"/>
              </w:rPr>
              <w:t>Pacifique et Amérique latine</w:t>
            </w:r>
            <w:bookmarkEnd w:id="9"/>
          </w:p>
        </w:tc>
        <w:tc>
          <w:tcPr>
            <w:tcW w:w="57" w:type="dxa"/>
            <w:tcBorders>
              <w:top w:val="nil"/>
              <w:left w:val="nil"/>
              <w:bottom w:val="single" w:sz="8" w:space="0" w:color="0070AD"/>
              <w:right w:val="nil"/>
            </w:tcBorders>
            <w:shd w:val="clear" w:color="auto" w:fill="auto"/>
            <w:vAlign w:val="center"/>
          </w:tcPr>
          <w:p w14:paraId="20CDC3CD" w14:textId="77777777" w:rsidR="00042751" w:rsidRPr="00F70D7D" w:rsidRDefault="00042751" w:rsidP="00391FBA">
            <w:pPr>
              <w:pStyle w:val="TableParagraph"/>
              <w:keepNext/>
              <w:spacing w:before="100" w:beforeAutospacing="1" w:after="100" w:afterAutospacing="1"/>
              <w:ind w:left="1" w:right="537"/>
              <w:jc w:val="right"/>
              <w:rPr>
                <w:sz w:val="16"/>
                <w:szCs w:val="16"/>
                <w:lang w:val="fr-FR"/>
              </w:rPr>
            </w:pPr>
            <w:r w:rsidRPr="00F70D7D">
              <w:rPr>
                <w:sz w:val="16"/>
                <w:szCs w:val="16"/>
                <w:lang w:val="fr-FR"/>
              </w:rPr>
              <w:t> </w:t>
            </w:r>
          </w:p>
        </w:tc>
        <w:tc>
          <w:tcPr>
            <w:tcW w:w="1502" w:type="dxa"/>
            <w:tcBorders>
              <w:top w:val="nil"/>
              <w:left w:val="nil"/>
              <w:bottom w:val="single" w:sz="8" w:space="0" w:color="0070AD"/>
              <w:right w:val="nil"/>
            </w:tcBorders>
            <w:shd w:val="clear" w:color="auto" w:fill="auto"/>
            <w:vAlign w:val="center"/>
          </w:tcPr>
          <w:p w14:paraId="10DD5E86" w14:textId="77777777" w:rsidR="00042751" w:rsidRPr="00F70D7D" w:rsidRDefault="00042751" w:rsidP="00391FBA">
            <w:pPr>
              <w:keepNext/>
              <w:widowControl w:val="0"/>
              <w:spacing w:before="100" w:beforeAutospacing="1" w:after="100" w:afterAutospacing="1"/>
              <w:ind w:right="452"/>
              <w:jc w:val="right"/>
              <w:rPr>
                <w:rFonts w:eastAsia="Arial" w:cs="Arial"/>
                <w:sz w:val="16"/>
                <w:szCs w:val="16"/>
              </w:rPr>
            </w:pPr>
            <w:r w:rsidRPr="00F70D7D">
              <w:rPr>
                <w:rFonts w:eastAsia="Arial" w:cs="Arial"/>
                <w:sz w:val="16"/>
                <w:szCs w:val="16"/>
              </w:rPr>
              <w:t>+</w:t>
            </w:r>
            <w:r>
              <w:rPr>
                <w:rFonts w:eastAsia="Arial" w:cs="Arial"/>
                <w:sz w:val="16"/>
                <w:szCs w:val="16"/>
              </w:rPr>
              <w:t>11,2</w:t>
            </w:r>
            <w:r w:rsidRPr="00F70D7D">
              <w:rPr>
                <w:rFonts w:eastAsia="Arial" w:cs="Arial"/>
                <w:sz w:val="16"/>
                <w:szCs w:val="16"/>
              </w:rPr>
              <w:t>%</w:t>
            </w:r>
          </w:p>
        </w:tc>
        <w:tc>
          <w:tcPr>
            <w:tcW w:w="1644" w:type="dxa"/>
            <w:tcBorders>
              <w:top w:val="nil"/>
              <w:left w:val="nil"/>
              <w:bottom w:val="single" w:sz="8" w:space="0" w:color="0070AD"/>
              <w:right w:val="nil"/>
            </w:tcBorders>
            <w:shd w:val="clear" w:color="auto" w:fill="auto"/>
            <w:vAlign w:val="center"/>
          </w:tcPr>
          <w:p w14:paraId="1780065C" w14:textId="77777777" w:rsidR="00042751" w:rsidRPr="00F70D7D" w:rsidRDefault="00042751" w:rsidP="00391FBA">
            <w:pPr>
              <w:keepNext/>
              <w:widowControl w:val="0"/>
              <w:spacing w:before="100" w:beforeAutospacing="1" w:after="100" w:afterAutospacing="1"/>
              <w:ind w:right="452"/>
              <w:jc w:val="right"/>
              <w:rPr>
                <w:rFonts w:eastAsia="Arial" w:cs="Arial"/>
                <w:sz w:val="16"/>
                <w:szCs w:val="16"/>
              </w:rPr>
            </w:pPr>
            <w:r w:rsidRPr="00F70D7D">
              <w:rPr>
                <w:rFonts w:eastAsia="Arial" w:cs="Arial"/>
                <w:sz w:val="16"/>
                <w:szCs w:val="16"/>
              </w:rPr>
              <w:t>+11,</w:t>
            </w:r>
            <w:r>
              <w:rPr>
                <w:rFonts w:eastAsia="Arial" w:cs="Arial"/>
                <w:sz w:val="16"/>
                <w:szCs w:val="16"/>
              </w:rPr>
              <w:t>7</w:t>
            </w:r>
            <w:r w:rsidRPr="00F70D7D">
              <w:rPr>
                <w:rFonts w:eastAsia="Arial" w:cs="Arial"/>
                <w:sz w:val="16"/>
                <w:szCs w:val="16"/>
              </w:rPr>
              <w:t>%</w:t>
            </w:r>
          </w:p>
        </w:tc>
        <w:tc>
          <w:tcPr>
            <w:tcW w:w="1559" w:type="dxa"/>
            <w:tcBorders>
              <w:top w:val="nil"/>
              <w:left w:val="nil"/>
              <w:bottom w:val="single" w:sz="8" w:space="0" w:color="0070AD"/>
              <w:right w:val="nil"/>
            </w:tcBorders>
            <w:shd w:val="clear" w:color="auto" w:fill="BBE7FF" w:themeFill="accent1" w:themeFillTint="33"/>
            <w:vAlign w:val="center"/>
          </w:tcPr>
          <w:p w14:paraId="2580BC6F" w14:textId="77777777" w:rsidR="00042751" w:rsidRPr="00ED0DA2" w:rsidRDefault="00042751" w:rsidP="00391FBA">
            <w:pPr>
              <w:keepNext/>
              <w:widowControl w:val="0"/>
              <w:spacing w:before="100" w:beforeAutospacing="1" w:after="100" w:afterAutospacing="1"/>
              <w:ind w:right="452"/>
              <w:jc w:val="right"/>
              <w:rPr>
                <w:rFonts w:eastAsia="Arial" w:cs="Arial"/>
                <w:sz w:val="16"/>
                <w:szCs w:val="16"/>
              </w:rPr>
            </w:pPr>
            <w:r w:rsidRPr="00ED0DA2">
              <w:rPr>
                <w:rFonts w:eastAsia="Arial" w:cs="Arial"/>
                <w:sz w:val="16"/>
                <w:szCs w:val="16"/>
              </w:rPr>
              <w:t>+11,4%</w:t>
            </w:r>
          </w:p>
        </w:tc>
        <w:tc>
          <w:tcPr>
            <w:tcW w:w="257" w:type="dxa"/>
            <w:tcBorders>
              <w:top w:val="nil"/>
              <w:left w:val="nil"/>
              <w:bottom w:val="single" w:sz="8" w:space="0" w:color="0070AD"/>
              <w:right w:val="nil"/>
            </w:tcBorders>
          </w:tcPr>
          <w:p w14:paraId="56C9ACF7" w14:textId="77777777" w:rsidR="00042751" w:rsidRPr="00F70D7D" w:rsidRDefault="00042751" w:rsidP="00391FBA">
            <w:pPr>
              <w:keepNext/>
              <w:widowControl w:val="0"/>
              <w:spacing w:before="100" w:beforeAutospacing="1" w:after="100" w:afterAutospacing="1"/>
              <w:ind w:right="452"/>
              <w:jc w:val="right"/>
              <w:rPr>
                <w:rFonts w:eastAsia="Arial" w:cs="Arial"/>
                <w:sz w:val="16"/>
                <w:szCs w:val="16"/>
              </w:rPr>
            </w:pPr>
          </w:p>
        </w:tc>
      </w:tr>
      <w:tr w:rsidR="00042751" w:rsidRPr="00F70D7D" w14:paraId="64BAFDF7" w14:textId="77777777" w:rsidTr="006B1196">
        <w:trPr>
          <w:trHeight w:val="227"/>
          <w:jc w:val="center"/>
        </w:trPr>
        <w:tc>
          <w:tcPr>
            <w:tcW w:w="3261" w:type="dxa"/>
            <w:tcBorders>
              <w:top w:val="single" w:sz="8" w:space="0" w:color="0070AD" w:themeColor="accent1"/>
              <w:bottom w:val="single" w:sz="8" w:space="0" w:color="0070AD" w:themeColor="accent1"/>
            </w:tcBorders>
            <w:vAlign w:val="center"/>
          </w:tcPr>
          <w:p w14:paraId="3E87918A" w14:textId="77777777" w:rsidR="00042751" w:rsidRPr="00F70D7D" w:rsidRDefault="00042751" w:rsidP="00391FBA">
            <w:pPr>
              <w:pStyle w:val="TableParagraph"/>
              <w:keepNext/>
              <w:spacing w:before="100" w:beforeAutospacing="1" w:after="100" w:afterAutospacing="1"/>
              <w:ind w:left="63"/>
              <w:rPr>
                <w:b/>
                <w:color w:val="0070AD" w:themeColor="accent1"/>
                <w:sz w:val="16"/>
                <w:szCs w:val="16"/>
                <w:lang w:val="fr-FR"/>
              </w:rPr>
            </w:pPr>
            <w:r w:rsidRPr="00F70D7D">
              <w:rPr>
                <w:b/>
                <w:color w:val="0070AD" w:themeColor="accent1"/>
                <w:sz w:val="16"/>
                <w:szCs w:val="16"/>
                <w:lang w:val="fr-FR"/>
              </w:rPr>
              <w:t>TOTAL</w:t>
            </w:r>
          </w:p>
        </w:tc>
        <w:tc>
          <w:tcPr>
            <w:tcW w:w="57" w:type="dxa"/>
            <w:tcBorders>
              <w:top w:val="nil"/>
              <w:left w:val="nil"/>
              <w:bottom w:val="single" w:sz="8" w:space="0" w:color="0070AD"/>
              <w:right w:val="nil"/>
            </w:tcBorders>
            <w:shd w:val="clear" w:color="auto" w:fill="auto"/>
            <w:vAlign w:val="center"/>
          </w:tcPr>
          <w:p w14:paraId="71E73AD0" w14:textId="77777777" w:rsidR="00042751" w:rsidRPr="00F70D7D" w:rsidRDefault="00042751" w:rsidP="00391FBA">
            <w:pPr>
              <w:pStyle w:val="TableParagraph"/>
              <w:keepNext/>
              <w:spacing w:before="100" w:beforeAutospacing="1" w:after="100" w:afterAutospacing="1"/>
              <w:ind w:left="1" w:right="537"/>
              <w:jc w:val="right"/>
              <w:rPr>
                <w:b/>
                <w:color w:val="0070AD" w:themeColor="accent1"/>
                <w:sz w:val="16"/>
                <w:szCs w:val="16"/>
              </w:rPr>
            </w:pPr>
            <w:r w:rsidRPr="00F70D7D">
              <w:rPr>
                <w:b/>
                <w:color w:val="0070AD" w:themeColor="accent1"/>
                <w:sz w:val="16"/>
                <w:szCs w:val="16"/>
              </w:rPr>
              <w:t> </w:t>
            </w:r>
          </w:p>
        </w:tc>
        <w:tc>
          <w:tcPr>
            <w:tcW w:w="1502" w:type="dxa"/>
            <w:tcBorders>
              <w:top w:val="nil"/>
              <w:left w:val="nil"/>
              <w:bottom w:val="single" w:sz="8" w:space="0" w:color="0070AD"/>
              <w:right w:val="nil"/>
            </w:tcBorders>
            <w:shd w:val="clear" w:color="auto" w:fill="auto"/>
            <w:vAlign w:val="center"/>
          </w:tcPr>
          <w:p w14:paraId="4EC83C0A" w14:textId="77777777" w:rsidR="00042751" w:rsidRPr="00F70D7D" w:rsidRDefault="00042751" w:rsidP="00391FBA">
            <w:pPr>
              <w:pStyle w:val="TableParagraph"/>
              <w:keepNext/>
              <w:spacing w:before="100" w:beforeAutospacing="1" w:after="100" w:afterAutospacing="1"/>
              <w:ind w:left="1" w:right="452"/>
              <w:jc w:val="right"/>
              <w:rPr>
                <w:b/>
                <w:color w:val="0070AD" w:themeColor="accent1"/>
                <w:sz w:val="16"/>
                <w:szCs w:val="16"/>
              </w:rPr>
            </w:pPr>
            <w:r w:rsidRPr="00F70D7D">
              <w:rPr>
                <w:b/>
                <w:color w:val="0070AD" w:themeColor="accent1"/>
                <w:sz w:val="16"/>
                <w:szCs w:val="16"/>
              </w:rPr>
              <w:t>+</w:t>
            </w:r>
            <w:r>
              <w:rPr>
                <w:b/>
                <w:color w:val="0070AD" w:themeColor="accent1"/>
                <w:sz w:val="16"/>
                <w:szCs w:val="16"/>
              </w:rPr>
              <w:t>2,3</w:t>
            </w:r>
            <w:r w:rsidRPr="00F70D7D">
              <w:rPr>
                <w:b/>
                <w:color w:val="0070AD" w:themeColor="accent1"/>
                <w:sz w:val="16"/>
                <w:szCs w:val="16"/>
              </w:rPr>
              <w:t>%</w:t>
            </w:r>
          </w:p>
        </w:tc>
        <w:tc>
          <w:tcPr>
            <w:tcW w:w="1644" w:type="dxa"/>
            <w:tcBorders>
              <w:top w:val="nil"/>
              <w:left w:val="nil"/>
              <w:bottom w:val="single" w:sz="8" w:space="0" w:color="0070AD"/>
              <w:right w:val="nil"/>
            </w:tcBorders>
            <w:shd w:val="clear" w:color="auto" w:fill="auto"/>
            <w:vAlign w:val="center"/>
          </w:tcPr>
          <w:p w14:paraId="72B43CD9" w14:textId="77777777" w:rsidR="00042751" w:rsidRPr="00F70D7D" w:rsidRDefault="00042751" w:rsidP="00391FBA">
            <w:pPr>
              <w:pStyle w:val="TableParagraph"/>
              <w:keepNext/>
              <w:spacing w:before="100" w:beforeAutospacing="1" w:after="100" w:afterAutospacing="1"/>
              <w:ind w:left="1" w:right="452"/>
              <w:jc w:val="right"/>
              <w:rPr>
                <w:b/>
                <w:color w:val="0070AD" w:themeColor="accent1"/>
                <w:sz w:val="16"/>
                <w:szCs w:val="16"/>
              </w:rPr>
            </w:pPr>
            <w:r w:rsidRPr="00F70D7D">
              <w:rPr>
                <w:b/>
                <w:color w:val="0070AD" w:themeColor="accent1"/>
                <w:sz w:val="16"/>
                <w:szCs w:val="16"/>
              </w:rPr>
              <w:t>+</w:t>
            </w:r>
            <w:r>
              <w:rPr>
                <w:b/>
                <w:color w:val="0070AD" w:themeColor="accent1"/>
                <w:sz w:val="16"/>
                <w:szCs w:val="16"/>
              </w:rPr>
              <w:t>13,4</w:t>
            </w:r>
            <w:r w:rsidRPr="00F70D7D">
              <w:rPr>
                <w:b/>
                <w:color w:val="0070AD" w:themeColor="accent1"/>
                <w:sz w:val="16"/>
                <w:szCs w:val="16"/>
              </w:rPr>
              <w:t>%</w:t>
            </w:r>
          </w:p>
        </w:tc>
        <w:tc>
          <w:tcPr>
            <w:tcW w:w="1559" w:type="dxa"/>
            <w:tcBorders>
              <w:top w:val="nil"/>
              <w:left w:val="nil"/>
              <w:bottom w:val="single" w:sz="8" w:space="0" w:color="0070AD"/>
              <w:right w:val="nil"/>
            </w:tcBorders>
            <w:shd w:val="clear" w:color="auto" w:fill="BBE7FF" w:themeFill="accent1" w:themeFillTint="33"/>
            <w:vAlign w:val="center"/>
          </w:tcPr>
          <w:p w14:paraId="078F3C48" w14:textId="77777777" w:rsidR="00042751" w:rsidRPr="00ED0DA2" w:rsidRDefault="00042751" w:rsidP="00391FBA">
            <w:pPr>
              <w:pStyle w:val="TableParagraph"/>
              <w:keepNext/>
              <w:spacing w:before="100" w:beforeAutospacing="1" w:after="100" w:afterAutospacing="1"/>
              <w:ind w:left="1" w:right="452"/>
              <w:jc w:val="right"/>
              <w:rPr>
                <w:b/>
                <w:color w:val="0070AD" w:themeColor="accent1"/>
                <w:sz w:val="16"/>
                <w:szCs w:val="16"/>
              </w:rPr>
            </w:pPr>
            <w:r w:rsidRPr="00ED0DA2">
              <w:rPr>
                <w:b/>
                <w:color w:val="0070AD" w:themeColor="accent1"/>
                <w:sz w:val="16"/>
                <w:szCs w:val="16"/>
              </w:rPr>
              <w:t>+7,9%</w:t>
            </w:r>
          </w:p>
        </w:tc>
        <w:tc>
          <w:tcPr>
            <w:tcW w:w="257" w:type="dxa"/>
            <w:tcBorders>
              <w:top w:val="nil"/>
              <w:left w:val="nil"/>
              <w:bottom w:val="single" w:sz="8" w:space="0" w:color="0070AD"/>
              <w:right w:val="nil"/>
            </w:tcBorders>
          </w:tcPr>
          <w:p w14:paraId="1D085BEB" w14:textId="77777777" w:rsidR="00042751" w:rsidRPr="00F70D7D" w:rsidRDefault="00042751" w:rsidP="00391FBA">
            <w:pPr>
              <w:pStyle w:val="TableParagraph"/>
              <w:keepNext/>
              <w:spacing w:before="100" w:beforeAutospacing="1" w:after="100" w:afterAutospacing="1"/>
              <w:ind w:left="1" w:right="452"/>
              <w:jc w:val="right"/>
              <w:rPr>
                <w:b/>
                <w:color w:val="0070AD" w:themeColor="accent1"/>
                <w:sz w:val="16"/>
                <w:szCs w:val="16"/>
              </w:rPr>
            </w:pPr>
          </w:p>
        </w:tc>
      </w:tr>
    </w:tbl>
    <w:p w14:paraId="3465AEE7" w14:textId="77777777" w:rsidR="0065741E" w:rsidRDefault="0065741E" w:rsidP="00E872EA">
      <w:pPr>
        <w:pStyle w:val="BodyText"/>
      </w:pPr>
    </w:p>
    <w:p w14:paraId="2585C68C" w14:textId="4930F580" w:rsidR="00E33335" w:rsidRPr="00907331" w:rsidRDefault="00E33335" w:rsidP="00907331">
      <w:pPr>
        <w:pStyle w:val="BodyText"/>
        <w:spacing w:line="276" w:lineRule="auto"/>
        <w:rPr>
          <w:rFonts w:ascii="Verdana" w:hAnsi="Verdana"/>
        </w:rPr>
      </w:pPr>
      <w:r w:rsidRPr="00907331">
        <w:rPr>
          <w:rFonts w:ascii="Verdana" w:hAnsi="Verdana"/>
        </w:rPr>
        <w:t xml:space="preserve">Compte tenu d’un mix géographique </w:t>
      </w:r>
      <w:r w:rsidR="00936356" w:rsidRPr="00907331">
        <w:rPr>
          <w:rFonts w:ascii="Verdana" w:hAnsi="Verdana"/>
        </w:rPr>
        <w:t xml:space="preserve">relativement </w:t>
      </w:r>
      <w:r w:rsidRPr="00907331">
        <w:rPr>
          <w:rFonts w:ascii="Verdana" w:hAnsi="Verdana"/>
        </w:rPr>
        <w:t xml:space="preserve">comparable entre les deux sociétés, l’intégration d’Altran ne modifie pas significativement la répartition du chiffre d’affaires du nouvel ensemble par grandes régions géographiques. </w:t>
      </w:r>
      <w:r w:rsidR="004A442B" w:rsidRPr="00907331">
        <w:rPr>
          <w:rFonts w:ascii="Verdana" w:hAnsi="Verdana"/>
        </w:rPr>
        <w:t xml:space="preserve">Sur une base </w:t>
      </w:r>
      <w:r w:rsidR="00917A28" w:rsidRPr="00907331">
        <w:rPr>
          <w:rFonts w:ascii="Verdana" w:hAnsi="Verdana"/>
        </w:rPr>
        <w:t>combinée</w:t>
      </w:r>
      <w:r w:rsidR="00851489" w:rsidRPr="00907331">
        <w:rPr>
          <w:rFonts w:ascii="Verdana" w:hAnsi="Verdana"/>
        </w:rPr>
        <w:t xml:space="preserve"> </w:t>
      </w:r>
      <w:r w:rsidR="004A442B" w:rsidRPr="00907331">
        <w:rPr>
          <w:rFonts w:ascii="Verdana" w:hAnsi="Verdana"/>
        </w:rPr>
        <w:t xml:space="preserve">l’Amérique </w:t>
      </w:r>
      <w:r w:rsidR="000972A4" w:rsidRPr="00907331">
        <w:rPr>
          <w:rFonts w:ascii="Verdana" w:hAnsi="Verdana"/>
        </w:rPr>
        <w:t xml:space="preserve">du Nord reste </w:t>
      </w:r>
      <w:r w:rsidR="00590378" w:rsidRPr="00907331">
        <w:rPr>
          <w:rFonts w:ascii="Verdana" w:hAnsi="Verdana"/>
        </w:rPr>
        <w:t>au 2</w:t>
      </w:r>
      <w:r w:rsidR="00590378" w:rsidRPr="00294A67">
        <w:rPr>
          <w:rFonts w:ascii="Verdana" w:hAnsi="Verdana"/>
          <w:vertAlign w:val="superscript"/>
        </w:rPr>
        <w:t>ème</w:t>
      </w:r>
      <w:r w:rsidR="00590378" w:rsidRPr="00907331">
        <w:rPr>
          <w:rFonts w:ascii="Verdana" w:hAnsi="Verdana"/>
        </w:rPr>
        <w:t xml:space="preserve"> trimestre 2020 </w:t>
      </w:r>
      <w:r w:rsidR="000972A4" w:rsidRPr="00907331">
        <w:rPr>
          <w:rFonts w:ascii="Verdana" w:hAnsi="Verdana"/>
        </w:rPr>
        <w:t>la première région (3</w:t>
      </w:r>
      <w:r w:rsidR="00A03724" w:rsidRPr="00907331">
        <w:rPr>
          <w:rFonts w:ascii="Verdana" w:hAnsi="Verdana"/>
        </w:rPr>
        <w:t>1</w:t>
      </w:r>
      <w:r w:rsidR="000972A4" w:rsidRPr="00907331">
        <w:rPr>
          <w:rFonts w:ascii="Verdana" w:hAnsi="Verdana"/>
        </w:rPr>
        <w:t xml:space="preserve">% du chiffre d’affaires du Groupe), suivie de </w:t>
      </w:r>
      <w:r w:rsidR="0093233B" w:rsidRPr="00907331">
        <w:rPr>
          <w:rFonts w:ascii="Verdana" w:hAnsi="Verdana"/>
        </w:rPr>
        <w:t>la région Reste de l’Europe (</w:t>
      </w:r>
      <w:r w:rsidR="00A03724" w:rsidRPr="00907331">
        <w:rPr>
          <w:rFonts w:ascii="Verdana" w:hAnsi="Verdana"/>
        </w:rPr>
        <w:t>30</w:t>
      </w:r>
      <w:r w:rsidR="0093233B" w:rsidRPr="00907331">
        <w:rPr>
          <w:rFonts w:ascii="Verdana" w:hAnsi="Verdana"/>
        </w:rPr>
        <w:t>%), la France (2</w:t>
      </w:r>
      <w:r w:rsidR="00A03724" w:rsidRPr="00907331">
        <w:rPr>
          <w:rFonts w:ascii="Verdana" w:hAnsi="Verdana"/>
        </w:rPr>
        <w:t>1</w:t>
      </w:r>
      <w:r w:rsidR="0093233B" w:rsidRPr="00907331">
        <w:rPr>
          <w:rFonts w:ascii="Verdana" w:hAnsi="Verdana"/>
        </w:rPr>
        <w:t xml:space="preserve">%), </w:t>
      </w:r>
      <w:r w:rsidR="006E18D8" w:rsidRPr="00907331">
        <w:rPr>
          <w:rFonts w:ascii="Verdana" w:hAnsi="Verdana"/>
        </w:rPr>
        <w:t>l</w:t>
      </w:r>
      <w:r w:rsidR="0093233B" w:rsidRPr="00907331">
        <w:rPr>
          <w:rFonts w:ascii="Verdana" w:hAnsi="Verdana"/>
        </w:rPr>
        <w:t xml:space="preserve">a région Royaume-Uni &amp; Irlande </w:t>
      </w:r>
      <w:r w:rsidR="006E18D8" w:rsidRPr="00907331">
        <w:rPr>
          <w:rFonts w:ascii="Verdana" w:hAnsi="Verdana"/>
        </w:rPr>
        <w:t xml:space="preserve">(11%) et la région Asie-Pacifique et Amérique latine </w:t>
      </w:r>
      <w:r w:rsidR="00851489" w:rsidRPr="00907331">
        <w:rPr>
          <w:rFonts w:ascii="Verdana" w:hAnsi="Verdana"/>
        </w:rPr>
        <w:t>(</w:t>
      </w:r>
      <w:r w:rsidR="00917A28" w:rsidRPr="00907331">
        <w:rPr>
          <w:rFonts w:ascii="Verdana" w:hAnsi="Verdana"/>
        </w:rPr>
        <w:t>7</w:t>
      </w:r>
      <w:r w:rsidR="00851489" w:rsidRPr="00907331">
        <w:rPr>
          <w:rFonts w:ascii="Verdana" w:hAnsi="Verdana"/>
        </w:rPr>
        <w:t>%)</w:t>
      </w:r>
      <w:r w:rsidR="00EB106B" w:rsidRPr="00907331">
        <w:rPr>
          <w:rFonts w:ascii="Verdana" w:hAnsi="Verdana"/>
        </w:rPr>
        <w:t>.</w:t>
      </w:r>
    </w:p>
    <w:p w14:paraId="5715BF3C" w14:textId="336BBB24" w:rsidR="001B627F" w:rsidRPr="00907331" w:rsidRDefault="001B627F" w:rsidP="00907331">
      <w:pPr>
        <w:pStyle w:val="ListParagraph"/>
        <w:keepNext/>
        <w:numPr>
          <w:ilvl w:val="0"/>
          <w:numId w:val="13"/>
        </w:numPr>
        <w:spacing w:before="120" w:after="120" w:line="276" w:lineRule="auto"/>
        <w:rPr>
          <w:rFonts w:ascii="Verdana" w:hAnsi="Verdana" w:cs="Arial"/>
          <w:b/>
          <w:bCs/>
        </w:rPr>
      </w:pPr>
      <w:r w:rsidRPr="00907331">
        <w:rPr>
          <w:rFonts w:ascii="Verdana" w:hAnsi="Verdana" w:cs="Arial"/>
          <w:b/>
          <w:bCs/>
        </w:rPr>
        <w:t>2</w:t>
      </w:r>
      <w:r w:rsidRPr="00907331">
        <w:rPr>
          <w:rFonts w:ascii="Verdana" w:hAnsi="Verdana" w:cs="Arial"/>
          <w:b/>
          <w:bCs/>
          <w:vertAlign w:val="superscript"/>
        </w:rPr>
        <w:t>ème</w:t>
      </w:r>
      <w:r w:rsidRPr="00907331">
        <w:rPr>
          <w:rFonts w:ascii="Verdana" w:hAnsi="Verdana" w:cs="Arial"/>
          <w:b/>
          <w:bCs/>
        </w:rPr>
        <w:t xml:space="preserve"> trimestre</w:t>
      </w:r>
      <w:r w:rsidR="003945C1">
        <w:rPr>
          <w:rFonts w:ascii="Verdana" w:hAnsi="Verdana" w:cs="Arial"/>
          <w:b/>
          <w:bCs/>
        </w:rPr>
        <w:t> :</w:t>
      </w:r>
    </w:p>
    <w:p w14:paraId="30FABB16" w14:textId="75AC5E4A" w:rsidR="00F70D7D" w:rsidRDefault="00770F9D" w:rsidP="00907331">
      <w:pPr>
        <w:spacing w:before="120" w:after="120" w:line="276" w:lineRule="auto"/>
        <w:rPr>
          <w:rFonts w:ascii="Verdana" w:hAnsi="Verdana" w:cs="Arial"/>
        </w:rPr>
      </w:pPr>
      <w:r w:rsidRPr="2C79DB7B">
        <w:rPr>
          <w:rFonts w:ascii="Verdana" w:hAnsi="Verdana" w:cs="Arial"/>
        </w:rPr>
        <w:t>Le chiffre d’affaires du 2</w:t>
      </w:r>
      <w:r w:rsidRPr="2C79DB7B">
        <w:rPr>
          <w:rFonts w:ascii="Verdana" w:hAnsi="Verdana" w:cs="Arial"/>
          <w:vertAlign w:val="superscript"/>
        </w:rPr>
        <w:t>ème</w:t>
      </w:r>
      <w:r w:rsidRPr="2C79DB7B">
        <w:rPr>
          <w:rFonts w:ascii="Verdana" w:hAnsi="Verdana" w:cs="Arial"/>
        </w:rPr>
        <w:t xml:space="preserve"> trimestre s’établit à 4 034 millions d’euros, soit une hausse de </w:t>
      </w:r>
      <w:r w:rsidR="007719E7" w:rsidRPr="2C79DB7B">
        <w:rPr>
          <w:rFonts w:ascii="Verdana" w:hAnsi="Verdana" w:cs="Arial"/>
        </w:rPr>
        <w:t>+</w:t>
      </w:r>
      <w:r w:rsidRPr="2C79DB7B">
        <w:rPr>
          <w:rFonts w:ascii="Verdana" w:hAnsi="Verdana" w:cs="Arial"/>
        </w:rPr>
        <w:t>13,4% à taux de change constants</w:t>
      </w:r>
      <w:r w:rsidR="002248EB" w:rsidRPr="2C79DB7B">
        <w:rPr>
          <w:rFonts w:ascii="Verdana" w:hAnsi="Verdana" w:cs="Arial"/>
        </w:rPr>
        <w:t xml:space="preserve">. Comme indiqué précédemment, </w:t>
      </w:r>
      <w:r w:rsidR="009D60A0" w:rsidRPr="2C79DB7B">
        <w:rPr>
          <w:rFonts w:ascii="Verdana" w:hAnsi="Verdana" w:cs="Arial"/>
        </w:rPr>
        <w:t>ce 2</w:t>
      </w:r>
      <w:r w:rsidR="009D60A0" w:rsidRPr="2C79DB7B">
        <w:rPr>
          <w:rFonts w:ascii="Verdana" w:hAnsi="Verdana" w:cs="Arial"/>
          <w:vertAlign w:val="superscript"/>
        </w:rPr>
        <w:t>ème</w:t>
      </w:r>
      <w:r w:rsidR="009D60A0" w:rsidRPr="2C79DB7B">
        <w:rPr>
          <w:rFonts w:ascii="Verdana" w:hAnsi="Verdana" w:cs="Arial"/>
        </w:rPr>
        <w:t xml:space="preserve"> trimestre a </w:t>
      </w:r>
      <w:r w:rsidR="00CA090B" w:rsidRPr="2C79DB7B">
        <w:rPr>
          <w:rFonts w:ascii="Verdana" w:hAnsi="Verdana" w:cs="Arial"/>
        </w:rPr>
        <w:t xml:space="preserve">en effet </w:t>
      </w:r>
      <w:r w:rsidR="009D60A0" w:rsidRPr="2C79DB7B">
        <w:rPr>
          <w:rFonts w:ascii="Verdana" w:hAnsi="Verdana" w:cs="Arial"/>
        </w:rPr>
        <w:t>bénéficié</w:t>
      </w:r>
      <w:r w:rsidRPr="2C79DB7B">
        <w:rPr>
          <w:rFonts w:ascii="Verdana" w:hAnsi="Verdana" w:cs="Arial"/>
        </w:rPr>
        <w:t xml:space="preserve"> </w:t>
      </w:r>
      <w:r w:rsidR="009D60A0" w:rsidRPr="2C79DB7B">
        <w:rPr>
          <w:rFonts w:ascii="Verdana" w:hAnsi="Verdana" w:cs="Arial"/>
        </w:rPr>
        <w:t>du</w:t>
      </w:r>
      <w:r w:rsidRPr="2C79DB7B">
        <w:rPr>
          <w:rFonts w:ascii="Verdana" w:hAnsi="Verdana" w:cs="Arial"/>
        </w:rPr>
        <w:t xml:space="preserve"> plein effet de l’intégration d’Altran </w:t>
      </w:r>
      <w:r w:rsidR="009D60A0" w:rsidRPr="2C79DB7B">
        <w:rPr>
          <w:rFonts w:ascii="Verdana" w:hAnsi="Verdana" w:cs="Arial"/>
        </w:rPr>
        <w:t>dans le périmètre de consolidation du Groupe à compter du 1</w:t>
      </w:r>
      <w:r w:rsidR="009D60A0" w:rsidRPr="2C79DB7B">
        <w:rPr>
          <w:rFonts w:ascii="Verdana" w:hAnsi="Verdana" w:cs="Arial"/>
          <w:vertAlign w:val="superscript"/>
        </w:rPr>
        <w:t>er</w:t>
      </w:r>
      <w:r w:rsidR="009D60A0" w:rsidRPr="2C79DB7B">
        <w:rPr>
          <w:rFonts w:ascii="Verdana" w:hAnsi="Verdana" w:cs="Arial"/>
        </w:rPr>
        <w:t xml:space="preserve"> avril 2020, ce qui </w:t>
      </w:r>
      <w:r w:rsidR="00FF7CA3" w:rsidRPr="2C79DB7B">
        <w:rPr>
          <w:rFonts w:ascii="Verdana" w:hAnsi="Verdana" w:cs="Arial"/>
        </w:rPr>
        <w:t xml:space="preserve">a plus que compensé l’impact de la pandémie sur </w:t>
      </w:r>
      <w:r w:rsidR="00B367E0" w:rsidRPr="2C79DB7B">
        <w:rPr>
          <w:rFonts w:ascii="Verdana" w:hAnsi="Verdana" w:cs="Arial"/>
        </w:rPr>
        <w:t>le chiffre d’affaires</w:t>
      </w:r>
      <w:r w:rsidRPr="2C79DB7B">
        <w:rPr>
          <w:rFonts w:ascii="Verdana" w:hAnsi="Verdana" w:cs="Arial"/>
        </w:rPr>
        <w:t>.</w:t>
      </w:r>
    </w:p>
    <w:p w14:paraId="4E824870" w14:textId="4B1E63C5" w:rsidR="00627542" w:rsidRPr="00042751" w:rsidRDefault="004A241C" w:rsidP="00907331">
      <w:pPr>
        <w:spacing w:before="120" w:after="120" w:line="276" w:lineRule="auto"/>
        <w:rPr>
          <w:rFonts w:ascii="Verdana" w:hAnsi="Verdana" w:cs="Arial"/>
        </w:rPr>
      </w:pPr>
      <w:r>
        <w:rPr>
          <w:rFonts w:ascii="Verdana" w:hAnsi="Verdana" w:cs="Arial"/>
        </w:rPr>
        <w:t>L</w:t>
      </w:r>
      <w:r w:rsidR="009731AC">
        <w:rPr>
          <w:rFonts w:ascii="Verdana" w:hAnsi="Verdana" w:cs="Arial"/>
        </w:rPr>
        <w:t>a croissance organique du Groupe au 2</w:t>
      </w:r>
      <w:r w:rsidR="009731AC" w:rsidRPr="00F62C3C">
        <w:rPr>
          <w:rFonts w:ascii="Verdana" w:hAnsi="Verdana" w:cs="Arial"/>
          <w:vertAlign w:val="superscript"/>
        </w:rPr>
        <w:t>ème</w:t>
      </w:r>
      <w:r w:rsidR="009731AC">
        <w:rPr>
          <w:rFonts w:ascii="Verdana" w:hAnsi="Verdana" w:cs="Arial"/>
        </w:rPr>
        <w:t xml:space="preserve"> trimestre reflète plus particulièrement </w:t>
      </w:r>
      <w:r w:rsidR="00F139DE">
        <w:rPr>
          <w:rFonts w:ascii="Verdana" w:hAnsi="Verdana" w:cs="Arial"/>
        </w:rPr>
        <w:t>l’</w:t>
      </w:r>
      <w:r w:rsidR="009731AC">
        <w:rPr>
          <w:rFonts w:ascii="Verdana" w:hAnsi="Verdana" w:cs="Arial"/>
        </w:rPr>
        <w:t xml:space="preserve">impact de la pandémie sur les activités du nouvel ensemble avec un recul de </w:t>
      </w:r>
      <w:r w:rsidR="007719E7">
        <w:rPr>
          <w:rFonts w:ascii="Verdana" w:hAnsi="Verdana" w:cs="Arial"/>
        </w:rPr>
        <w:t>-</w:t>
      </w:r>
      <w:r w:rsidR="009731AC">
        <w:rPr>
          <w:rFonts w:ascii="Verdana" w:hAnsi="Verdana" w:cs="Arial"/>
        </w:rPr>
        <w:t>7,7</w:t>
      </w:r>
      <w:r w:rsidR="009731AC" w:rsidRPr="65C4376F">
        <w:rPr>
          <w:rFonts w:ascii="Verdana" w:hAnsi="Verdana" w:cs="Arial"/>
        </w:rPr>
        <w:t>%</w:t>
      </w:r>
      <w:r w:rsidR="00D729D0">
        <w:rPr>
          <w:rFonts w:ascii="Verdana" w:hAnsi="Verdana" w:cs="Arial"/>
        </w:rPr>
        <w:t>.</w:t>
      </w:r>
      <w:r w:rsidR="00D729D0" w:rsidRPr="00D729D0">
        <w:rPr>
          <w:rFonts w:ascii="Verdana" w:hAnsi="Verdana" w:cs="Arial"/>
        </w:rPr>
        <w:t xml:space="preserve"> </w:t>
      </w:r>
      <w:r w:rsidR="00D729D0">
        <w:rPr>
          <w:rFonts w:ascii="Verdana" w:hAnsi="Verdana" w:cs="Arial"/>
        </w:rPr>
        <w:t xml:space="preserve">Cela </w:t>
      </w:r>
      <w:r w:rsidR="00DD289C">
        <w:rPr>
          <w:rFonts w:ascii="Verdana" w:hAnsi="Verdana" w:cs="Arial"/>
        </w:rPr>
        <w:t>traduit</w:t>
      </w:r>
      <w:r w:rsidR="00D729D0">
        <w:rPr>
          <w:rFonts w:ascii="Verdana" w:hAnsi="Verdana" w:cs="Arial"/>
        </w:rPr>
        <w:t xml:space="preserve"> un</w:t>
      </w:r>
      <w:r w:rsidR="00F044B1">
        <w:rPr>
          <w:rFonts w:ascii="Verdana" w:hAnsi="Verdana" w:cs="Arial"/>
        </w:rPr>
        <w:t>e</w:t>
      </w:r>
      <w:r w:rsidR="00D729D0">
        <w:rPr>
          <w:rFonts w:ascii="Verdana" w:hAnsi="Verdana" w:cs="Arial"/>
        </w:rPr>
        <w:t xml:space="preserve"> </w:t>
      </w:r>
      <w:r w:rsidR="00F044B1">
        <w:rPr>
          <w:rFonts w:ascii="Verdana" w:hAnsi="Verdana" w:cs="Arial"/>
        </w:rPr>
        <w:t xml:space="preserve">baisse </w:t>
      </w:r>
      <w:r w:rsidR="00D729D0">
        <w:rPr>
          <w:rFonts w:ascii="Verdana" w:hAnsi="Verdana" w:cs="Arial"/>
        </w:rPr>
        <w:t xml:space="preserve">de </w:t>
      </w:r>
      <w:r w:rsidR="007719E7">
        <w:rPr>
          <w:rFonts w:ascii="Verdana" w:hAnsi="Verdana" w:cs="Arial"/>
        </w:rPr>
        <w:t>-</w:t>
      </w:r>
      <w:r w:rsidR="00D729D0" w:rsidRPr="00A82A44">
        <w:rPr>
          <w:rFonts w:ascii="Verdana" w:hAnsi="Verdana" w:cs="Arial"/>
        </w:rPr>
        <w:t xml:space="preserve">6,9% </w:t>
      </w:r>
      <w:r w:rsidR="00D729D0" w:rsidRPr="006956ED">
        <w:rPr>
          <w:rFonts w:ascii="Verdana" w:hAnsi="Verdana" w:cs="Arial"/>
        </w:rPr>
        <w:t xml:space="preserve">sur le périmètre historique de Capgemini et </w:t>
      </w:r>
      <w:r w:rsidR="00D729D0">
        <w:rPr>
          <w:rFonts w:ascii="Verdana" w:hAnsi="Verdana" w:cs="Arial"/>
        </w:rPr>
        <w:t xml:space="preserve">de </w:t>
      </w:r>
      <w:r w:rsidR="007719E7">
        <w:rPr>
          <w:rFonts w:ascii="Verdana" w:hAnsi="Verdana" w:cs="Arial"/>
        </w:rPr>
        <w:t>-</w:t>
      </w:r>
      <w:r w:rsidR="00D729D0" w:rsidRPr="00907331">
        <w:rPr>
          <w:rFonts w:ascii="Verdana" w:hAnsi="Verdana" w:cs="Arial"/>
        </w:rPr>
        <w:t>11,6%</w:t>
      </w:r>
      <w:r w:rsidR="00D729D0" w:rsidRPr="00042751">
        <w:rPr>
          <w:rFonts w:ascii="Verdana" w:hAnsi="Verdana" w:cs="Arial"/>
          <w:color w:val="FF0000"/>
        </w:rPr>
        <w:t xml:space="preserve"> </w:t>
      </w:r>
      <w:r w:rsidR="00D729D0" w:rsidRPr="006956ED">
        <w:rPr>
          <w:rFonts w:ascii="Verdana" w:hAnsi="Verdana" w:cs="Arial"/>
        </w:rPr>
        <w:t>sur le périmètre d’Altran</w:t>
      </w:r>
      <w:r w:rsidR="00D729D0">
        <w:rPr>
          <w:rFonts w:ascii="Verdana" w:hAnsi="Verdana" w:cs="Arial"/>
        </w:rPr>
        <w:t>.</w:t>
      </w:r>
      <w:r w:rsidR="00614820">
        <w:rPr>
          <w:rFonts w:ascii="Verdana" w:hAnsi="Verdana" w:cs="Arial"/>
        </w:rPr>
        <w:t xml:space="preserve"> </w:t>
      </w:r>
      <w:r w:rsidR="00CB27F1">
        <w:rPr>
          <w:rFonts w:ascii="Verdana" w:hAnsi="Verdana" w:cs="Arial"/>
        </w:rPr>
        <w:t>L</w:t>
      </w:r>
      <w:r w:rsidR="00EC1174">
        <w:rPr>
          <w:rFonts w:ascii="Verdana" w:hAnsi="Verdana" w:cs="Arial"/>
        </w:rPr>
        <w:t>a croissance organique</w:t>
      </w:r>
      <w:r w:rsidR="00CB27F1">
        <w:rPr>
          <w:rFonts w:ascii="Verdana" w:hAnsi="Verdana" w:cs="Arial"/>
        </w:rPr>
        <w:t xml:space="preserve"> a donc marqué</w:t>
      </w:r>
      <w:r w:rsidR="220D0BE2" w:rsidRPr="65C4376F">
        <w:rPr>
          <w:rFonts w:ascii="Verdana" w:hAnsi="Verdana" w:cs="Arial"/>
        </w:rPr>
        <w:t xml:space="preserve"> un ralentissement </w:t>
      </w:r>
      <w:r w:rsidR="00EC1174">
        <w:rPr>
          <w:rFonts w:ascii="Verdana" w:hAnsi="Verdana" w:cs="Arial"/>
        </w:rPr>
        <w:t>au 2</w:t>
      </w:r>
      <w:r w:rsidR="00EC1174" w:rsidRPr="00F85E92">
        <w:rPr>
          <w:rFonts w:ascii="Verdana" w:hAnsi="Verdana" w:cs="Arial"/>
          <w:vertAlign w:val="superscript"/>
        </w:rPr>
        <w:t>ème</w:t>
      </w:r>
      <w:r w:rsidR="00EC1174">
        <w:rPr>
          <w:rFonts w:ascii="Verdana" w:hAnsi="Verdana" w:cs="Arial"/>
        </w:rPr>
        <w:t xml:space="preserve"> trimestre </w:t>
      </w:r>
      <w:r w:rsidR="220D0BE2" w:rsidRPr="65C4376F">
        <w:rPr>
          <w:rFonts w:ascii="Verdana" w:hAnsi="Verdana" w:cs="Arial"/>
        </w:rPr>
        <w:t xml:space="preserve">par rapport </w:t>
      </w:r>
      <w:r w:rsidR="001D30FA">
        <w:rPr>
          <w:rFonts w:ascii="Verdana" w:hAnsi="Verdana" w:cs="Arial"/>
        </w:rPr>
        <w:t>aux</w:t>
      </w:r>
      <w:r w:rsidR="00042751">
        <w:rPr>
          <w:rFonts w:ascii="Verdana" w:hAnsi="Verdana" w:cs="Arial"/>
        </w:rPr>
        <w:t xml:space="preserve"> </w:t>
      </w:r>
      <w:r w:rsidR="007719E7">
        <w:rPr>
          <w:rFonts w:ascii="Verdana" w:hAnsi="Verdana" w:cs="Arial"/>
        </w:rPr>
        <w:t>+</w:t>
      </w:r>
      <w:r w:rsidR="00042751">
        <w:rPr>
          <w:rFonts w:ascii="Verdana" w:hAnsi="Verdana" w:cs="Arial"/>
        </w:rPr>
        <w:t>2</w:t>
      </w:r>
      <w:r w:rsidR="006367E9">
        <w:rPr>
          <w:rFonts w:ascii="Verdana" w:hAnsi="Verdana" w:cs="Arial"/>
        </w:rPr>
        <w:t>,0</w:t>
      </w:r>
      <w:r w:rsidR="00042751">
        <w:rPr>
          <w:rFonts w:ascii="Verdana" w:hAnsi="Verdana" w:cs="Arial"/>
        </w:rPr>
        <w:t>% enregistré</w:t>
      </w:r>
      <w:r w:rsidR="0062436C">
        <w:rPr>
          <w:rFonts w:ascii="Verdana" w:hAnsi="Verdana" w:cs="Arial"/>
        </w:rPr>
        <w:t>s</w:t>
      </w:r>
      <w:r w:rsidR="00042751">
        <w:rPr>
          <w:rFonts w:ascii="Verdana" w:hAnsi="Verdana" w:cs="Arial"/>
        </w:rPr>
        <w:t xml:space="preserve"> au 1</w:t>
      </w:r>
      <w:r w:rsidR="00042751" w:rsidRPr="00042751">
        <w:rPr>
          <w:rFonts w:ascii="Verdana" w:hAnsi="Verdana" w:cs="Arial"/>
          <w:vertAlign w:val="superscript"/>
        </w:rPr>
        <w:t>er</w:t>
      </w:r>
      <w:r w:rsidR="00042751">
        <w:rPr>
          <w:rFonts w:ascii="Verdana" w:hAnsi="Verdana" w:cs="Arial"/>
        </w:rPr>
        <w:t xml:space="preserve"> trimestre 2020</w:t>
      </w:r>
      <w:r w:rsidR="009731AC" w:rsidRPr="65C4376F">
        <w:rPr>
          <w:rFonts w:ascii="Verdana" w:hAnsi="Verdana" w:cs="Arial"/>
        </w:rPr>
        <w:t>.</w:t>
      </w:r>
      <w:r w:rsidR="009731AC" w:rsidRPr="002F446E">
        <w:rPr>
          <w:rFonts w:ascii="Verdana" w:hAnsi="Verdana" w:cs="Arial"/>
        </w:rPr>
        <w:t xml:space="preserve"> </w:t>
      </w:r>
      <w:r w:rsidR="00C43F4C" w:rsidRPr="2C79DB7B">
        <w:rPr>
          <w:rFonts w:ascii="Verdana" w:hAnsi="Verdana" w:cs="Arial"/>
        </w:rPr>
        <w:t xml:space="preserve">Les activités liées au Digital et au Cloud ont </w:t>
      </w:r>
      <w:r w:rsidR="00C43F4C">
        <w:rPr>
          <w:rFonts w:ascii="Verdana" w:hAnsi="Verdana" w:cs="Arial"/>
        </w:rPr>
        <w:t>cependant démontré</w:t>
      </w:r>
      <w:r w:rsidR="00C43F4C" w:rsidRPr="2C79DB7B">
        <w:rPr>
          <w:rFonts w:ascii="Verdana" w:hAnsi="Verdana" w:cs="Arial"/>
        </w:rPr>
        <w:t xml:space="preserve"> une bonne résistance avec une croissance de plus de 7%</w:t>
      </w:r>
      <w:r w:rsidR="00C43F4C" w:rsidRPr="2C79DB7B">
        <w:rPr>
          <w:rFonts w:ascii="Verdana" w:hAnsi="Verdana" w:cs="Arial"/>
          <w:vertAlign w:val="superscript"/>
        </w:rPr>
        <w:fldChar w:fldCharType="begin"/>
      </w:r>
      <w:r w:rsidR="00C43F4C" w:rsidRPr="2C79DB7B">
        <w:rPr>
          <w:rFonts w:ascii="Verdana" w:hAnsi="Verdana" w:cs="Arial"/>
          <w:vertAlign w:val="superscript"/>
        </w:rPr>
        <w:instrText xml:space="preserve"> NOTEREF _Ref48598760 \h  \* MERGEFORMAT </w:instrText>
      </w:r>
      <w:r w:rsidR="00C43F4C" w:rsidRPr="2C79DB7B">
        <w:rPr>
          <w:rFonts w:ascii="Verdana" w:hAnsi="Verdana" w:cs="Arial"/>
          <w:vertAlign w:val="superscript"/>
        </w:rPr>
      </w:r>
      <w:r w:rsidR="00C43F4C" w:rsidRPr="2C79DB7B">
        <w:rPr>
          <w:rFonts w:ascii="Verdana" w:hAnsi="Verdana" w:cs="Arial"/>
          <w:vertAlign w:val="superscript"/>
        </w:rPr>
        <w:fldChar w:fldCharType="separate"/>
      </w:r>
      <w:r w:rsidR="00B02E5E">
        <w:rPr>
          <w:rFonts w:ascii="Verdana" w:hAnsi="Verdana" w:cs="Arial"/>
          <w:vertAlign w:val="superscript"/>
        </w:rPr>
        <w:t>2</w:t>
      </w:r>
      <w:r w:rsidR="00C43F4C" w:rsidRPr="2C79DB7B">
        <w:rPr>
          <w:rFonts w:ascii="Verdana" w:hAnsi="Verdana" w:cs="Arial"/>
          <w:vertAlign w:val="superscript"/>
        </w:rPr>
        <w:fldChar w:fldCharType="end"/>
      </w:r>
      <w:r w:rsidR="00C43F4C" w:rsidRPr="2C79DB7B">
        <w:rPr>
          <w:rFonts w:ascii="Verdana" w:hAnsi="Verdana" w:cs="Arial"/>
        </w:rPr>
        <w:t xml:space="preserve"> sur le trimestre.</w:t>
      </w:r>
    </w:p>
    <w:p w14:paraId="3C0759CF" w14:textId="65B3F8B3" w:rsidR="00AF4002" w:rsidRPr="00907331" w:rsidRDefault="008E63A6" w:rsidP="00907331">
      <w:pPr>
        <w:spacing w:before="120" w:after="120" w:line="276" w:lineRule="auto"/>
        <w:rPr>
          <w:rFonts w:ascii="Verdana" w:hAnsi="Verdana" w:cs="Arial"/>
        </w:rPr>
      </w:pPr>
      <w:r w:rsidRPr="00907331">
        <w:rPr>
          <w:rFonts w:ascii="Verdana" w:hAnsi="Verdana" w:cs="Arial"/>
        </w:rPr>
        <w:t xml:space="preserve">Sur le plan géographique, </w:t>
      </w:r>
      <w:r w:rsidR="1DF0059E" w:rsidRPr="00907331">
        <w:rPr>
          <w:rFonts w:ascii="Verdana" w:hAnsi="Verdana" w:cs="Arial"/>
        </w:rPr>
        <w:t>la croissance organique du 2</w:t>
      </w:r>
      <w:r w:rsidR="1DF0059E" w:rsidRPr="006B1196">
        <w:rPr>
          <w:rFonts w:ascii="Verdana" w:hAnsi="Verdana" w:cs="Arial"/>
          <w:vertAlign w:val="superscript"/>
        </w:rPr>
        <w:t>ème</w:t>
      </w:r>
      <w:r w:rsidR="1DF0059E" w:rsidRPr="00907331">
        <w:rPr>
          <w:rFonts w:ascii="Verdana" w:hAnsi="Verdana" w:cs="Arial"/>
        </w:rPr>
        <w:t xml:space="preserve"> trimestre</w:t>
      </w:r>
      <w:r w:rsidR="55587D73" w:rsidRPr="00907331">
        <w:rPr>
          <w:rFonts w:ascii="Verdana" w:hAnsi="Verdana" w:cs="Arial"/>
        </w:rPr>
        <w:t xml:space="preserve"> a enregistré </w:t>
      </w:r>
      <w:r w:rsidR="00FD74D4" w:rsidRPr="00907331">
        <w:rPr>
          <w:rFonts w:ascii="Verdana" w:hAnsi="Verdana" w:cs="Arial"/>
        </w:rPr>
        <w:t xml:space="preserve">en </w:t>
      </w:r>
      <w:r w:rsidR="00FD74D4" w:rsidRPr="007F103B">
        <w:rPr>
          <w:rFonts w:ascii="Verdana" w:hAnsi="Verdana" w:cs="Arial"/>
          <w:b/>
          <w:bCs/>
        </w:rPr>
        <w:t>France</w:t>
      </w:r>
      <w:r w:rsidR="00FD74D4" w:rsidRPr="00907331">
        <w:rPr>
          <w:rFonts w:ascii="Verdana" w:hAnsi="Verdana" w:cs="Arial"/>
        </w:rPr>
        <w:t xml:space="preserve"> </w:t>
      </w:r>
      <w:r w:rsidR="55587D73" w:rsidRPr="00907331">
        <w:rPr>
          <w:rFonts w:ascii="Verdana" w:hAnsi="Verdana" w:cs="Arial"/>
        </w:rPr>
        <w:t xml:space="preserve">un </w:t>
      </w:r>
      <w:r w:rsidR="00C360A2">
        <w:rPr>
          <w:rFonts w:ascii="Verdana" w:hAnsi="Verdana" w:cs="Arial"/>
        </w:rPr>
        <w:t xml:space="preserve">ralentissement </w:t>
      </w:r>
      <w:r w:rsidR="00FD74D4">
        <w:rPr>
          <w:rFonts w:ascii="Verdana" w:hAnsi="Verdana" w:cs="Arial"/>
        </w:rPr>
        <w:t xml:space="preserve">très </w:t>
      </w:r>
      <w:r w:rsidR="55587D73" w:rsidRPr="00907331">
        <w:rPr>
          <w:rFonts w:ascii="Verdana" w:hAnsi="Verdana" w:cs="Arial"/>
        </w:rPr>
        <w:t xml:space="preserve">marqué par rapport </w:t>
      </w:r>
      <w:r w:rsidR="4F22697C" w:rsidRPr="00907331">
        <w:rPr>
          <w:rFonts w:ascii="Verdana" w:hAnsi="Verdana" w:cs="Arial"/>
        </w:rPr>
        <w:t>au rythme du 1</w:t>
      </w:r>
      <w:r w:rsidR="4F22697C" w:rsidRPr="006B1196">
        <w:rPr>
          <w:rFonts w:ascii="Verdana" w:hAnsi="Verdana" w:cs="Arial"/>
          <w:vertAlign w:val="superscript"/>
        </w:rPr>
        <w:t>er</w:t>
      </w:r>
      <w:r w:rsidR="4F22697C" w:rsidRPr="00907331">
        <w:rPr>
          <w:rFonts w:ascii="Verdana" w:hAnsi="Verdana" w:cs="Arial"/>
        </w:rPr>
        <w:t xml:space="preserve"> trimestre</w:t>
      </w:r>
      <w:r w:rsidR="7A4AE88F" w:rsidRPr="00907331">
        <w:rPr>
          <w:rFonts w:ascii="Verdana" w:hAnsi="Verdana" w:cs="Arial"/>
        </w:rPr>
        <w:t xml:space="preserve">. </w:t>
      </w:r>
      <w:r w:rsidR="0F8964B5" w:rsidRPr="00907331">
        <w:rPr>
          <w:rFonts w:ascii="Verdana" w:hAnsi="Verdana" w:cs="Arial"/>
        </w:rPr>
        <w:t>Ainsi en dépit de la bonne dynamique du début d’année, la France a été</w:t>
      </w:r>
      <w:r w:rsidR="00627542">
        <w:rPr>
          <w:rFonts w:ascii="Verdana" w:hAnsi="Verdana" w:cs="Arial"/>
        </w:rPr>
        <w:t>,</w:t>
      </w:r>
      <w:r w:rsidR="0F8964B5" w:rsidRPr="00907331">
        <w:rPr>
          <w:rFonts w:ascii="Verdana" w:hAnsi="Verdana" w:cs="Arial"/>
        </w:rPr>
        <w:t xml:space="preserve"> </w:t>
      </w:r>
      <w:r w:rsidR="00627542" w:rsidRPr="00907331">
        <w:rPr>
          <w:rFonts w:ascii="Verdana" w:hAnsi="Verdana" w:cs="Arial"/>
        </w:rPr>
        <w:t>au 2</w:t>
      </w:r>
      <w:r w:rsidR="00627542" w:rsidRPr="00907331">
        <w:rPr>
          <w:rFonts w:ascii="Verdana" w:hAnsi="Verdana" w:cs="Arial"/>
          <w:vertAlign w:val="superscript"/>
        </w:rPr>
        <w:t>ème</w:t>
      </w:r>
      <w:r w:rsidR="00627542" w:rsidRPr="00907331">
        <w:rPr>
          <w:rFonts w:ascii="Verdana" w:hAnsi="Verdana" w:cs="Arial"/>
        </w:rPr>
        <w:t xml:space="preserve"> trimestre</w:t>
      </w:r>
      <w:r w:rsidR="00627542">
        <w:rPr>
          <w:rFonts w:ascii="Verdana" w:hAnsi="Verdana" w:cs="Arial"/>
        </w:rPr>
        <w:t>,</w:t>
      </w:r>
      <w:r w:rsidR="00627542" w:rsidRPr="00907331">
        <w:rPr>
          <w:rFonts w:ascii="Verdana" w:hAnsi="Verdana" w:cs="Arial"/>
        </w:rPr>
        <w:t xml:space="preserve"> </w:t>
      </w:r>
      <w:r w:rsidR="0F8964B5" w:rsidRPr="00907331">
        <w:rPr>
          <w:rFonts w:ascii="Verdana" w:hAnsi="Verdana" w:cs="Arial"/>
        </w:rPr>
        <w:t>la région du Groupe ayant</w:t>
      </w:r>
      <w:r w:rsidR="00627542">
        <w:rPr>
          <w:rFonts w:ascii="Verdana" w:hAnsi="Verdana" w:cs="Arial"/>
        </w:rPr>
        <w:t xml:space="preserve"> </w:t>
      </w:r>
      <w:r w:rsidR="009B6F7B" w:rsidRPr="00907331">
        <w:rPr>
          <w:rFonts w:ascii="Verdana" w:hAnsi="Verdana" w:cs="Arial"/>
        </w:rPr>
        <w:t>enregistré le plus fort recul en termes de croissance organique</w:t>
      </w:r>
      <w:r w:rsidR="00DF0675" w:rsidRPr="00907331">
        <w:rPr>
          <w:rFonts w:ascii="Verdana" w:hAnsi="Verdana" w:cs="Arial"/>
        </w:rPr>
        <w:t>.</w:t>
      </w:r>
      <w:r w:rsidR="007855A7" w:rsidRPr="00907331">
        <w:rPr>
          <w:rFonts w:ascii="Verdana" w:hAnsi="Verdana" w:cs="Arial"/>
        </w:rPr>
        <w:t xml:space="preserve"> A l’inverse, </w:t>
      </w:r>
      <w:r w:rsidR="00215412" w:rsidRPr="00907331">
        <w:rPr>
          <w:rFonts w:ascii="Verdana" w:hAnsi="Verdana" w:cs="Arial"/>
        </w:rPr>
        <w:t xml:space="preserve">les régions </w:t>
      </w:r>
      <w:r w:rsidR="00215412" w:rsidRPr="006B1196">
        <w:rPr>
          <w:rFonts w:ascii="Verdana" w:hAnsi="Verdana" w:cs="Arial"/>
          <w:b/>
          <w:bCs/>
        </w:rPr>
        <w:t>Amérique du Nord</w:t>
      </w:r>
      <w:r w:rsidR="00215412" w:rsidRPr="00907331">
        <w:rPr>
          <w:rFonts w:ascii="Verdana" w:hAnsi="Verdana" w:cs="Arial"/>
        </w:rPr>
        <w:t xml:space="preserve">, </w:t>
      </w:r>
      <w:r w:rsidR="00215412" w:rsidRPr="006B1196">
        <w:rPr>
          <w:rFonts w:ascii="Verdana" w:hAnsi="Verdana" w:cs="Arial"/>
          <w:b/>
          <w:bCs/>
        </w:rPr>
        <w:t>Royaume-Uni et Irlande</w:t>
      </w:r>
      <w:r w:rsidR="00215412" w:rsidRPr="00907331">
        <w:rPr>
          <w:rFonts w:ascii="Verdana" w:hAnsi="Verdana" w:cs="Arial"/>
        </w:rPr>
        <w:t xml:space="preserve"> </w:t>
      </w:r>
      <w:r w:rsidR="00AF5F35" w:rsidRPr="006B1196">
        <w:rPr>
          <w:rFonts w:ascii="Verdana" w:hAnsi="Verdana" w:cs="Arial"/>
          <w:b/>
          <w:bCs/>
        </w:rPr>
        <w:t>et Asie</w:t>
      </w:r>
      <w:r w:rsidR="006E63F9">
        <w:rPr>
          <w:rFonts w:ascii="Verdana" w:hAnsi="Verdana" w:cs="Arial"/>
          <w:b/>
          <w:bCs/>
        </w:rPr>
        <w:t>-</w:t>
      </w:r>
      <w:r w:rsidR="00AF5F35" w:rsidRPr="006B1196">
        <w:rPr>
          <w:rFonts w:ascii="Verdana" w:hAnsi="Verdana" w:cs="Arial"/>
          <w:b/>
          <w:bCs/>
        </w:rPr>
        <w:t>Pacifique et Amérique latine</w:t>
      </w:r>
      <w:r w:rsidR="00CB589A" w:rsidRPr="00907331">
        <w:rPr>
          <w:rFonts w:ascii="Verdana" w:hAnsi="Verdana" w:cs="Arial"/>
        </w:rPr>
        <w:t xml:space="preserve"> </w:t>
      </w:r>
      <w:r w:rsidR="005427F1" w:rsidRPr="2C79DB7B">
        <w:rPr>
          <w:rFonts w:ascii="Verdana" w:hAnsi="Verdana" w:cs="Arial"/>
        </w:rPr>
        <w:t xml:space="preserve">ont </w:t>
      </w:r>
      <w:r w:rsidR="00E16105">
        <w:rPr>
          <w:rFonts w:ascii="Verdana" w:hAnsi="Verdana" w:cs="Arial"/>
        </w:rPr>
        <w:t xml:space="preserve">comparativement </w:t>
      </w:r>
      <w:r w:rsidR="73522FC5" w:rsidRPr="2C79DB7B">
        <w:rPr>
          <w:rFonts w:ascii="Verdana" w:hAnsi="Verdana" w:cs="Arial"/>
        </w:rPr>
        <w:t xml:space="preserve">bien </w:t>
      </w:r>
      <w:r w:rsidR="005427F1" w:rsidRPr="2C79DB7B">
        <w:rPr>
          <w:rFonts w:ascii="Verdana" w:hAnsi="Verdana" w:cs="Arial"/>
        </w:rPr>
        <w:t>mieux résisté</w:t>
      </w:r>
      <w:r w:rsidR="00A96431">
        <w:rPr>
          <w:rFonts w:ascii="Verdana" w:hAnsi="Verdana" w:cs="Arial"/>
        </w:rPr>
        <w:t xml:space="preserve"> </w:t>
      </w:r>
      <w:r w:rsidR="00A96431" w:rsidRPr="2C79DB7B">
        <w:rPr>
          <w:rFonts w:ascii="Verdana" w:hAnsi="Verdana" w:cs="Arial"/>
        </w:rPr>
        <w:t>avec des croissances organiques au 2</w:t>
      </w:r>
      <w:r w:rsidR="00A96431" w:rsidRPr="009D3243">
        <w:rPr>
          <w:rFonts w:ascii="Verdana" w:hAnsi="Verdana" w:cs="Arial"/>
          <w:vertAlign w:val="superscript"/>
        </w:rPr>
        <w:t>ème</w:t>
      </w:r>
      <w:r w:rsidR="00A96431" w:rsidRPr="2C79DB7B">
        <w:rPr>
          <w:rFonts w:ascii="Verdana" w:hAnsi="Verdana" w:cs="Arial"/>
        </w:rPr>
        <w:t xml:space="preserve"> trimestre </w:t>
      </w:r>
      <w:r w:rsidR="00E16105">
        <w:rPr>
          <w:rFonts w:ascii="Verdana" w:hAnsi="Verdana" w:cs="Arial"/>
        </w:rPr>
        <w:t>plus</w:t>
      </w:r>
      <w:r w:rsidR="00E16105" w:rsidRPr="2C79DB7B">
        <w:rPr>
          <w:rFonts w:ascii="Verdana" w:hAnsi="Verdana" w:cs="Arial"/>
        </w:rPr>
        <w:t xml:space="preserve"> </w:t>
      </w:r>
      <w:r w:rsidR="00A96431" w:rsidRPr="2C79DB7B">
        <w:rPr>
          <w:rFonts w:ascii="Verdana" w:hAnsi="Verdana" w:cs="Arial"/>
        </w:rPr>
        <w:t>proches de ce</w:t>
      </w:r>
      <w:r w:rsidR="00A96431">
        <w:rPr>
          <w:rFonts w:ascii="Verdana" w:hAnsi="Verdana" w:cs="Arial"/>
        </w:rPr>
        <w:t>lles</w:t>
      </w:r>
      <w:r w:rsidR="00A96431" w:rsidRPr="2C79DB7B">
        <w:rPr>
          <w:rFonts w:ascii="Verdana" w:hAnsi="Verdana" w:cs="Arial"/>
        </w:rPr>
        <w:t xml:space="preserve"> du début d’année</w:t>
      </w:r>
      <w:r w:rsidR="009615D6" w:rsidRPr="00907331">
        <w:rPr>
          <w:rFonts w:ascii="Verdana" w:hAnsi="Verdana" w:cs="Arial"/>
        </w:rPr>
        <w:t>.</w:t>
      </w:r>
      <w:r w:rsidR="009B6F7B" w:rsidRPr="00907331">
        <w:rPr>
          <w:rFonts w:ascii="Verdana" w:hAnsi="Verdana" w:cs="Arial"/>
        </w:rPr>
        <w:t xml:space="preserve"> </w:t>
      </w:r>
      <w:r w:rsidR="00C722B8">
        <w:rPr>
          <w:rFonts w:ascii="Verdana" w:hAnsi="Verdana" w:cs="Arial"/>
        </w:rPr>
        <w:t>Cette disparité</w:t>
      </w:r>
      <w:r w:rsidR="00203E2E" w:rsidRPr="00907331">
        <w:rPr>
          <w:rFonts w:ascii="Verdana" w:hAnsi="Verdana" w:cs="Arial"/>
        </w:rPr>
        <w:t xml:space="preserve"> peut être attribué</w:t>
      </w:r>
      <w:r w:rsidR="00E97AF4">
        <w:rPr>
          <w:rFonts w:ascii="Verdana" w:hAnsi="Verdana" w:cs="Arial"/>
        </w:rPr>
        <w:t>e</w:t>
      </w:r>
      <w:r w:rsidR="00203E2E" w:rsidRPr="00907331">
        <w:rPr>
          <w:rFonts w:ascii="Verdana" w:hAnsi="Verdana" w:cs="Arial"/>
        </w:rPr>
        <w:t xml:space="preserve"> </w:t>
      </w:r>
      <w:r w:rsidR="00F97BDF">
        <w:rPr>
          <w:rFonts w:ascii="Verdana" w:hAnsi="Verdana" w:cs="Arial"/>
        </w:rPr>
        <w:t>aux différences ob</w:t>
      </w:r>
      <w:r w:rsidR="00285286">
        <w:rPr>
          <w:rFonts w:ascii="Verdana" w:hAnsi="Verdana" w:cs="Arial"/>
        </w:rPr>
        <w:t>s</w:t>
      </w:r>
      <w:r w:rsidR="00F97BDF">
        <w:rPr>
          <w:rFonts w:ascii="Verdana" w:hAnsi="Verdana" w:cs="Arial"/>
        </w:rPr>
        <w:t xml:space="preserve">ervées </w:t>
      </w:r>
      <w:r w:rsidR="00285286">
        <w:rPr>
          <w:rFonts w:ascii="Verdana" w:hAnsi="Verdana" w:cs="Arial"/>
        </w:rPr>
        <w:t xml:space="preserve">dans </w:t>
      </w:r>
      <w:r w:rsidR="009B6F7B" w:rsidRPr="00907331">
        <w:rPr>
          <w:rFonts w:ascii="Verdana" w:hAnsi="Verdana" w:cs="Arial"/>
        </w:rPr>
        <w:t xml:space="preserve">la durée et la rigueur des périodes de confinement </w:t>
      </w:r>
      <w:r w:rsidR="00244CFD">
        <w:rPr>
          <w:rFonts w:ascii="Verdana" w:hAnsi="Verdana" w:cs="Arial"/>
        </w:rPr>
        <w:t xml:space="preserve">et </w:t>
      </w:r>
      <w:r w:rsidR="00D35496">
        <w:rPr>
          <w:rFonts w:ascii="Verdana" w:hAnsi="Verdana" w:cs="Arial"/>
        </w:rPr>
        <w:t>le</w:t>
      </w:r>
      <w:r w:rsidR="00FD71C0">
        <w:rPr>
          <w:rFonts w:ascii="Verdana" w:hAnsi="Verdana" w:cs="Arial"/>
        </w:rPr>
        <w:t xml:space="preserve"> mix sectoriel</w:t>
      </w:r>
      <w:r w:rsidR="00904155">
        <w:rPr>
          <w:rFonts w:ascii="Verdana" w:hAnsi="Verdana" w:cs="Arial"/>
        </w:rPr>
        <w:t xml:space="preserve"> des différents pays</w:t>
      </w:r>
      <w:r w:rsidR="0093220E" w:rsidRPr="00907331">
        <w:rPr>
          <w:rFonts w:ascii="Verdana" w:hAnsi="Verdana" w:cs="Arial"/>
        </w:rPr>
        <w:t>.</w:t>
      </w:r>
      <w:r w:rsidR="00AC3ABC" w:rsidRPr="2C79DB7B">
        <w:rPr>
          <w:rFonts w:ascii="Verdana" w:hAnsi="Verdana" w:cs="Arial"/>
        </w:rPr>
        <w:t xml:space="preserve"> </w:t>
      </w:r>
    </w:p>
    <w:p w14:paraId="72B1D3E1" w14:textId="182716BD" w:rsidR="00AF4002" w:rsidRPr="00907331" w:rsidRDefault="005A59DD" w:rsidP="00907331">
      <w:pPr>
        <w:spacing w:before="120" w:after="120" w:line="276" w:lineRule="auto"/>
        <w:rPr>
          <w:rFonts w:ascii="Verdana" w:hAnsi="Verdana" w:cs="Arial"/>
        </w:rPr>
      </w:pPr>
      <w:r w:rsidRPr="2C79DB7B">
        <w:rPr>
          <w:rFonts w:ascii="Verdana" w:hAnsi="Verdana" w:cs="Arial"/>
        </w:rPr>
        <w:t>La situation par secteur est également très contrastée</w:t>
      </w:r>
      <w:r w:rsidR="00344F51" w:rsidRPr="2C79DB7B">
        <w:rPr>
          <w:rFonts w:ascii="Verdana" w:hAnsi="Verdana" w:cs="Arial"/>
        </w:rPr>
        <w:t xml:space="preserve">, </w:t>
      </w:r>
      <w:r w:rsidR="00473B1E" w:rsidRPr="2C79DB7B">
        <w:rPr>
          <w:rFonts w:ascii="Verdana" w:hAnsi="Verdana" w:cs="Arial"/>
        </w:rPr>
        <w:t xml:space="preserve">avec des </w:t>
      </w:r>
      <w:r w:rsidR="00135B65" w:rsidRPr="2C79DB7B">
        <w:rPr>
          <w:rFonts w:ascii="Verdana" w:hAnsi="Verdana" w:cs="Arial"/>
        </w:rPr>
        <w:t xml:space="preserve">dynamiques </w:t>
      </w:r>
      <w:r w:rsidR="00827DCB" w:rsidRPr="2C79DB7B">
        <w:rPr>
          <w:rFonts w:ascii="Verdana" w:hAnsi="Verdana" w:cs="Arial"/>
        </w:rPr>
        <w:t xml:space="preserve">semblables </w:t>
      </w:r>
      <w:r w:rsidR="000D26C1" w:rsidRPr="2C79DB7B">
        <w:rPr>
          <w:rFonts w:ascii="Verdana" w:hAnsi="Verdana" w:cs="Arial"/>
        </w:rPr>
        <w:t xml:space="preserve">dans </w:t>
      </w:r>
      <w:r w:rsidR="00473B1E" w:rsidRPr="2C79DB7B">
        <w:rPr>
          <w:rFonts w:ascii="Verdana" w:hAnsi="Verdana" w:cs="Arial"/>
        </w:rPr>
        <w:t>la plupart des régions</w:t>
      </w:r>
      <w:r w:rsidR="00CF4E2A" w:rsidRPr="2C79DB7B">
        <w:rPr>
          <w:rFonts w:ascii="Verdana" w:hAnsi="Verdana" w:cs="Arial"/>
        </w:rPr>
        <w:t xml:space="preserve">. </w:t>
      </w:r>
      <w:r w:rsidR="00A52AC7" w:rsidRPr="2C79DB7B">
        <w:rPr>
          <w:rFonts w:ascii="Verdana" w:hAnsi="Verdana" w:cs="Arial"/>
        </w:rPr>
        <w:t>L</w:t>
      </w:r>
      <w:r w:rsidR="00E36B63" w:rsidRPr="2C79DB7B">
        <w:rPr>
          <w:rFonts w:ascii="Verdana" w:hAnsi="Verdana" w:cs="Arial"/>
        </w:rPr>
        <w:t xml:space="preserve">a croissance dans le </w:t>
      </w:r>
      <w:r w:rsidR="00A52AC7" w:rsidRPr="2C79DB7B">
        <w:rPr>
          <w:rFonts w:ascii="Verdana" w:hAnsi="Verdana" w:cs="Arial"/>
        </w:rPr>
        <w:t xml:space="preserve">secteur public </w:t>
      </w:r>
      <w:r w:rsidR="0056312D" w:rsidRPr="2C79DB7B">
        <w:rPr>
          <w:rFonts w:ascii="Verdana" w:hAnsi="Verdana" w:cs="Arial"/>
        </w:rPr>
        <w:t xml:space="preserve">(13% du chiffre d’affaires du nouveau Groupe) </w:t>
      </w:r>
      <w:r w:rsidR="00662C6C" w:rsidRPr="2C79DB7B">
        <w:rPr>
          <w:rFonts w:ascii="Verdana" w:hAnsi="Verdana" w:cs="Arial"/>
        </w:rPr>
        <w:t>s’est accélérée</w:t>
      </w:r>
      <w:r w:rsidR="00736B07" w:rsidRPr="2C79DB7B">
        <w:rPr>
          <w:rFonts w:ascii="Verdana" w:hAnsi="Verdana" w:cs="Arial"/>
        </w:rPr>
        <w:t xml:space="preserve"> </w:t>
      </w:r>
      <w:r w:rsidR="00473B1E" w:rsidRPr="2C79DB7B">
        <w:rPr>
          <w:rFonts w:ascii="Verdana" w:hAnsi="Verdana" w:cs="Arial"/>
        </w:rPr>
        <w:t>au 2</w:t>
      </w:r>
      <w:r w:rsidR="00473B1E" w:rsidRPr="2C79DB7B">
        <w:rPr>
          <w:rFonts w:ascii="Verdana" w:hAnsi="Verdana" w:cs="Arial"/>
          <w:vertAlign w:val="superscript"/>
        </w:rPr>
        <w:t>ème</w:t>
      </w:r>
      <w:r w:rsidR="00473B1E" w:rsidRPr="2C79DB7B">
        <w:rPr>
          <w:rFonts w:ascii="Verdana" w:hAnsi="Verdana" w:cs="Arial"/>
        </w:rPr>
        <w:t xml:space="preserve"> trimestre. </w:t>
      </w:r>
      <w:r w:rsidR="00E36B63" w:rsidRPr="2C79DB7B">
        <w:rPr>
          <w:rFonts w:ascii="Verdana" w:hAnsi="Verdana" w:cs="Arial"/>
        </w:rPr>
        <w:t xml:space="preserve">Les Services financiers </w:t>
      </w:r>
      <w:r w:rsidR="0038714B" w:rsidRPr="2C79DB7B">
        <w:rPr>
          <w:rFonts w:ascii="Verdana" w:hAnsi="Verdana" w:cs="Arial"/>
        </w:rPr>
        <w:t>(1</w:t>
      </w:r>
      <w:r w:rsidR="0038714B" w:rsidRPr="2C79DB7B">
        <w:rPr>
          <w:rFonts w:ascii="Verdana" w:hAnsi="Verdana" w:cs="Arial"/>
          <w:vertAlign w:val="superscript"/>
        </w:rPr>
        <w:t>er</w:t>
      </w:r>
      <w:r w:rsidR="0038714B" w:rsidRPr="2C79DB7B">
        <w:rPr>
          <w:rFonts w:ascii="Verdana" w:hAnsi="Verdana" w:cs="Arial"/>
        </w:rPr>
        <w:t xml:space="preserve"> secteur avec 24% du Groupe) </w:t>
      </w:r>
      <w:r w:rsidR="007444CB" w:rsidRPr="2C79DB7B">
        <w:rPr>
          <w:rFonts w:ascii="Verdana" w:hAnsi="Verdana" w:cs="Arial"/>
        </w:rPr>
        <w:t>et les TMT (</w:t>
      </w:r>
      <w:r w:rsidR="005E73CC" w:rsidRPr="2C79DB7B">
        <w:rPr>
          <w:rFonts w:cs="Arial"/>
        </w:rPr>
        <w:t>Télécom, Media &amp; Technologie</w:t>
      </w:r>
      <w:r w:rsidR="005E73CC" w:rsidRPr="2C79DB7B">
        <w:rPr>
          <w:rFonts w:ascii="Verdana" w:hAnsi="Verdana" w:cs="Arial"/>
        </w:rPr>
        <w:t xml:space="preserve">, </w:t>
      </w:r>
      <w:r w:rsidR="00643881" w:rsidRPr="2C79DB7B">
        <w:rPr>
          <w:rFonts w:ascii="Verdana" w:hAnsi="Verdana" w:cs="Arial"/>
        </w:rPr>
        <w:t>nettement renforcé</w:t>
      </w:r>
      <w:r w:rsidR="00C25FB6" w:rsidRPr="2C79DB7B">
        <w:rPr>
          <w:rFonts w:ascii="Verdana" w:hAnsi="Verdana" w:cs="Arial"/>
        </w:rPr>
        <w:t>s</w:t>
      </w:r>
      <w:r w:rsidR="00643881" w:rsidRPr="2C79DB7B">
        <w:rPr>
          <w:rFonts w:ascii="Verdana" w:hAnsi="Verdana" w:cs="Arial"/>
        </w:rPr>
        <w:t xml:space="preserve"> par l’acquisition d’Altran </w:t>
      </w:r>
      <w:r w:rsidR="003A1E44" w:rsidRPr="2C79DB7B">
        <w:rPr>
          <w:rFonts w:ascii="Verdana" w:hAnsi="Verdana" w:cs="Arial"/>
        </w:rPr>
        <w:t xml:space="preserve">à </w:t>
      </w:r>
      <w:r w:rsidR="00916026" w:rsidRPr="2C79DB7B">
        <w:rPr>
          <w:rFonts w:ascii="Verdana" w:hAnsi="Verdana" w:cs="Arial"/>
        </w:rPr>
        <w:t>13% du Groupe</w:t>
      </w:r>
      <w:r w:rsidR="007444CB" w:rsidRPr="2C79DB7B">
        <w:rPr>
          <w:rFonts w:ascii="Verdana" w:hAnsi="Verdana" w:cs="Arial"/>
        </w:rPr>
        <w:t>)</w:t>
      </w:r>
      <w:r w:rsidR="00CC4195" w:rsidRPr="2C79DB7B">
        <w:rPr>
          <w:rFonts w:ascii="Verdana" w:hAnsi="Verdana" w:cs="Arial"/>
        </w:rPr>
        <w:t xml:space="preserve">, ont montré une </w:t>
      </w:r>
      <w:r w:rsidR="00F85EA6">
        <w:rPr>
          <w:rFonts w:ascii="Verdana" w:hAnsi="Verdana" w:cs="Arial"/>
        </w:rPr>
        <w:t>bonne</w:t>
      </w:r>
      <w:r w:rsidR="00CC4195" w:rsidRPr="2C79DB7B">
        <w:rPr>
          <w:rFonts w:ascii="Verdana" w:hAnsi="Verdana" w:cs="Arial"/>
        </w:rPr>
        <w:t xml:space="preserve"> résilience</w:t>
      </w:r>
      <w:r w:rsidR="00D876D3">
        <w:rPr>
          <w:rFonts w:ascii="Verdana" w:hAnsi="Verdana" w:cs="Arial"/>
        </w:rPr>
        <w:t>, sensiblement plus forte que la moyenne du Groupe</w:t>
      </w:r>
      <w:r w:rsidR="0049325B" w:rsidRPr="2C79DB7B">
        <w:rPr>
          <w:rFonts w:ascii="Verdana" w:hAnsi="Verdana" w:cs="Arial"/>
        </w:rPr>
        <w:t xml:space="preserve">. A l’inverse l’Industrie </w:t>
      </w:r>
      <w:r w:rsidR="00916026" w:rsidRPr="2C79DB7B">
        <w:rPr>
          <w:rFonts w:ascii="Verdana" w:hAnsi="Verdana" w:cs="Arial"/>
        </w:rPr>
        <w:t>(22% du Groupe</w:t>
      </w:r>
      <w:r w:rsidR="004F0B2B" w:rsidRPr="2C79DB7B">
        <w:rPr>
          <w:rFonts w:ascii="Verdana" w:hAnsi="Verdana" w:cs="Arial"/>
        </w:rPr>
        <w:t>,</w:t>
      </w:r>
      <w:r w:rsidR="00C25FB6" w:rsidRPr="2C79DB7B">
        <w:rPr>
          <w:rFonts w:ascii="Verdana" w:hAnsi="Verdana" w:cs="Arial"/>
        </w:rPr>
        <w:t xml:space="preserve"> </w:t>
      </w:r>
      <w:r w:rsidR="004F0B2B" w:rsidRPr="2C79DB7B">
        <w:rPr>
          <w:rFonts w:ascii="Verdana" w:hAnsi="Verdana" w:cs="Arial"/>
        </w:rPr>
        <w:t>en incluant</w:t>
      </w:r>
      <w:r w:rsidR="00C25FB6" w:rsidRPr="2C79DB7B">
        <w:rPr>
          <w:rFonts w:ascii="Verdana" w:hAnsi="Verdana" w:cs="Arial"/>
        </w:rPr>
        <w:t xml:space="preserve"> l’activité d’Altran</w:t>
      </w:r>
      <w:r w:rsidR="00916026" w:rsidRPr="2C79DB7B">
        <w:rPr>
          <w:rFonts w:ascii="Verdana" w:hAnsi="Verdana" w:cs="Arial"/>
        </w:rPr>
        <w:t xml:space="preserve">) </w:t>
      </w:r>
      <w:r w:rsidR="0049325B" w:rsidRPr="2C79DB7B">
        <w:rPr>
          <w:rFonts w:ascii="Verdana" w:hAnsi="Verdana" w:cs="Arial"/>
        </w:rPr>
        <w:t>et l</w:t>
      </w:r>
      <w:r w:rsidR="00CF4E2A" w:rsidRPr="2C79DB7B">
        <w:rPr>
          <w:rFonts w:ascii="Verdana" w:hAnsi="Verdana" w:cs="Arial"/>
        </w:rPr>
        <w:t>e secteur des Services</w:t>
      </w:r>
      <w:r w:rsidR="00375C03" w:rsidRPr="2C79DB7B">
        <w:rPr>
          <w:rFonts w:ascii="Verdana" w:hAnsi="Verdana" w:cs="Arial"/>
        </w:rPr>
        <w:t xml:space="preserve"> </w:t>
      </w:r>
      <w:r w:rsidR="00916026" w:rsidRPr="2C79DB7B">
        <w:rPr>
          <w:rFonts w:ascii="Verdana" w:hAnsi="Verdana" w:cs="Arial"/>
        </w:rPr>
        <w:t xml:space="preserve">(5% du Groupe </w:t>
      </w:r>
      <w:r w:rsidR="00652654">
        <w:rPr>
          <w:rFonts w:ascii="Verdana" w:hAnsi="Verdana" w:cs="Arial"/>
        </w:rPr>
        <w:t>et</w:t>
      </w:r>
      <w:r w:rsidR="00652654" w:rsidRPr="2C79DB7B">
        <w:rPr>
          <w:rFonts w:ascii="Verdana" w:hAnsi="Verdana" w:cs="Arial"/>
        </w:rPr>
        <w:t xml:space="preserve"> </w:t>
      </w:r>
      <w:r w:rsidR="00CF4E2A" w:rsidRPr="2C79DB7B">
        <w:rPr>
          <w:rFonts w:ascii="Verdana" w:hAnsi="Verdana" w:cs="Arial"/>
        </w:rPr>
        <w:t>qui</w:t>
      </w:r>
      <w:r w:rsidR="00BB5545" w:rsidRPr="2C79DB7B">
        <w:rPr>
          <w:rFonts w:ascii="Verdana" w:hAnsi="Verdana" w:cs="Arial"/>
        </w:rPr>
        <w:t xml:space="preserve"> recouvre notamment</w:t>
      </w:r>
      <w:r w:rsidR="00CF4E2A" w:rsidRPr="2C79DB7B">
        <w:rPr>
          <w:rFonts w:ascii="Verdana" w:hAnsi="Verdana" w:cs="Arial"/>
        </w:rPr>
        <w:t xml:space="preserve"> les transports</w:t>
      </w:r>
      <w:r w:rsidR="00BB5545" w:rsidRPr="2C79DB7B">
        <w:rPr>
          <w:rFonts w:ascii="Verdana" w:hAnsi="Verdana" w:cs="Arial"/>
        </w:rPr>
        <w:t>, l’</w:t>
      </w:r>
      <w:r w:rsidR="00630B26" w:rsidRPr="2C79DB7B">
        <w:rPr>
          <w:rFonts w:ascii="Verdana" w:hAnsi="Verdana" w:cs="Arial"/>
        </w:rPr>
        <w:t>hôtellerie</w:t>
      </w:r>
      <w:r w:rsidR="00BB5545" w:rsidRPr="2C79DB7B">
        <w:rPr>
          <w:rFonts w:ascii="Verdana" w:hAnsi="Verdana" w:cs="Arial"/>
        </w:rPr>
        <w:t xml:space="preserve"> et la restauration</w:t>
      </w:r>
      <w:r w:rsidR="00916026" w:rsidRPr="2C79DB7B">
        <w:rPr>
          <w:rFonts w:ascii="Verdana" w:hAnsi="Verdana" w:cs="Arial"/>
        </w:rPr>
        <w:t>)</w:t>
      </w:r>
      <w:r w:rsidR="00BB5545" w:rsidRPr="2C79DB7B">
        <w:rPr>
          <w:rFonts w:ascii="Verdana" w:hAnsi="Verdana" w:cs="Arial"/>
        </w:rPr>
        <w:t xml:space="preserve"> </w:t>
      </w:r>
      <w:r w:rsidR="00375C03" w:rsidRPr="2C79DB7B">
        <w:rPr>
          <w:rFonts w:ascii="Verdana" w:hAnsi="Verdana" w:cs="Arial"/>
        </w:rPr>
        <w:t>ont été les plus touchés</w:t>
      </w:r>
      <w:r w:rsidR="000C35E3" w:rsidRPr="2C79DB7B">
        <w:rPr>
          <w:rFonts w:ascii="Verdana" w:hAnsi="Verdana" w:cs="Arial"/>
        </w:rPr>
        <w:t>.</w:t>
      </w:r>
    </w:p>
    <w:p w14:paraId="2D8A0A48" w14:textId="2EA007FF" w:rsidR="00770F9D" w:rsidRDefault="00770F9D" w:rsidP="00907331">
      <w:pPr>
        <w:spacing w:before="120" w:after="120" w:line="276" w:lineRule="auto"/>
        <w:rPr>
          <w:rFonts w:ascii="Verdana" w:hAnsi="Verdana" w:cs="Arial"/>
        </w:rPr>
      </w:pPr>
      <w:r w:rsidRPr="002F446E">
        <w:rPr>
          <w:rFonts w:ascii="Verdana" w:hAnsi="Verdana" w:cs="Arial"/>
        </w:rPr>
        <w:t xml:space="preserve">Les </w:t>
      </w:r>
      <w:r w:rsidRPr="00632C26">
        <w:rPr>
          <w:rFonts w:ascii="Verdana" w:hAnsi="Verdana" w:cs="Arial"/>
          <w:b/>
          <w:bCs/>
        </w:rPr>
        <w:t>prises de commandes</w:t>
      </w:r>
      <w:r w:rsidRPr="002F446E">
        <w:rPr>
          <w:rFonts w:ascii="Verdana" w:hAnsi="Verdana" w:cs="Arial"/>
        </w:rPr>
        <w:t xml:space="preserve"> </w:t>
      </w:r>
      <w:r>
        <w:rPr>
          <w:rFonts w:ascii="Verdana" w:hAnsi="Verdana" w:cs="Arial"/>
        </w:rPr>
        <w:t>enregistrent par ailleurs une</w:t>
      </w:r>
      <w:r w:rsidRPr="002F446E">
        <w:rPr>
          <w:rFonts w:ascii="Verdana" w:hAnsi="Verdana" w:cs="Arial"/>
        </w:rPr>
        <w:t xml:space="preserve"> </w:t>
      </w:r>
      <w:r>
        <w:rPr>
          <w:rFonts w:ascii="Verdana" w:hAnsi="Verdana" w:cs="Arial"/>
        </w:rPr>
        <w:t xml:space="preserve">forte </w:t>
      </w:r>
      <w:r w:rsidRPr="002F446E">
        <w:rPr>
          <w:rFonts w:ascii="Verdana" w:hAnsi="Verdana" w:cs="Arial"/>
        </w:rPr>
        <w:t>augmentation</w:t>
      </w:r>
      <w:r>
        <w:rPr>
          <w:rFonts w:ascii="Verdana" w:hAnsi="Verdana" w:cs="Arial"/>
        </w:rPr>
        <w:t xml:space="preserve"> au 2</w:t>
      </w:r>
      <w:r w:rsidRPr="009D6C6E">
        <w:rPr>
          <w:rFonts w:ascii="Verdana" w:hAnsi="Verdana" w:cs="Arial"/>
          <w:vertAlign w:val="superscript"/>
        </w:rPr>
        <w:t>ème</w:t>
      </w:r>
      <w:r>
        <w:rPr>
          <w:rFonts w:ascii="Verdana" w:hAnsi="Verdana" w:cs="Arial"/>
        </w:rPr>
        <w:t xml:space="preserve"> trimestre 2020</w:t>
      </w:r>
      <w:r w:rsidRPr="009D6C6E">
        <w:rPr>
          <w:rFonts w:ascii="Verdana" w:hAnsi="Verdana" w:cs="Arial"/>
        </w:rPr>
        <w:t xml:space="preserve"> </w:t>
      </w:r>
      <w:r w:rsidRPr="002F446E">
        <w:rPr>
          <w:rFonts w:ascii="Verdana" w:hAnsi="Verdana" w:cs="Arial"/>
        </w:rPr>
        <w:t xml:space="preserve">pour atteindre </w:t>
      </w:r>
      <w:r>
        <w:rPr>
          <w:rFonts w:ascii="Verdana" w:hAnsi="Verdana" w:cs="Arial"/>
        </w:rPr>
        <w:t>4 438</w:t>
      </w:r>
      <w:r w:rsidRPr="002F446E">
        <w:rPr>
          <w:rFonts w:ascii="Verdana" w:hAnsi="Verdana" w:cs="Arial"/>
        </w:rPr>
        <w:t> millions d’euros</w:t>
      </w:r>
      <w:r>
        <w:rPr>
          <w:rFonts w:ascii="Verdana" w:hAnsi="Verdana" w:cs="Arial"/>
        </w:rPr>
        <w:t>, soit une hausse</w:t>
      </w:r>
      <w:r w:rsidRPr="002F446E">
        <w:rPr>
          <w:rFonts w:ascii="Verdana" w:hAnsi="Verdana" w:cs="Arial"/>
        </w:rPr>
        <w:t xml:space="preserve"> de </w:t>
      </w:r>
      <w:r w:rsidR="007719E7">
        <w:rPr>
          <w:rFonts w:ascii="Verdana" w:hAnsi="Verdana" w:cs="Arial"/>
        </w:rPr>
        <w:t>+</w:t>
      </w:r>
      <w:r>
        <w:rPr>
          <w:rFonts w:ascii="Verdana" w:hAnsi="Verdana" w:cs="Arial"/>
        </w:rPr>
        <w:t>18,</w:t>
      </w:r>
      <w:r w:rsidR="00652654">
        <w:rPr>
          <w:rFonts w:ascii="Verdana" w:hAnsi="Verdana" w:cs="Arial"/>
        </w:rPr>
        <w:t>8</w:t>
      </w:r>
      <w:r w:rsidRPr="002F446E">
        <w:rPr>
          <w:rFonts w:ascii="Verdana" w:hAnsi="Verdana" w:cs="Arial"/>
        </w:rPr>
        <w:t>% à taux de change constants</w:t>
      </w:r>
      <w:r>
        <w:rPr>
          <w:rFonts w:ascii="Verdana" w:hAnsi="Verdana" w:cs="Arial"/>
        </w:rPr>
        <w:t xml:space="preserve"> par rapport à la même période </w:t>
      </w:r>
      <w:r w:rsidR="00736904">
        <w:rPr>
          <w:rFonts w:ascii="Verdana" w:hAnsi="Verdana" w:cs="Arial"/>
        </w:rPr>
        <w:t xml:space="preserve">de </w:t>
      </w:r>
      <w:r>
        <w:rPr>
          <w:rFonts w:ascii="Verdana" w:hAnsi="Verdana" w:cs="Arial"/>
        </w:rPr>
        <w:t>2019</w:t>
      </w:r>
      <w:r w:rsidRPr="002F446E">
        <w:rPr>
          <w:rFonts w:ascii="Verdana" w:hAnsi="Verdana" w:cs="Arial"/>
        </w:rPr>
        <w:t>.</w:t>
      </w:r>
      <w:r w:rsidR="00592039">
        <w:rPr>
          <w:rFonts w:ascii="Verdana" w:hAnsi="Verdana" w:cs="Arial"/>
        </w:rPr>
        <w:t xml:space="preserve"> </w:t>
      </w:r>
      <w:r w:rsidR="007E6953">
        <w:rPr>
          <w:rFonts w:ascii="Verdana" w:hAnsi="Verdana" w:cs="Arial"/>
        </w:rPr>
        <w:t xml:space="preserve">Cela se traduit par un ratio </w:t>
      </w:r>
      <w:r w:rsidR="00885B2C">
        <w:rPr>
          <w:rFonts w:ascii="Verdana" w:hAnsi="Verdana" w:cs="Arial"/>
        </w:rPr>
        <w:t>« </w:t>
      </w:r>
      <w:r w:rsidR="007E6953" w:rsidRPr="00632C26">
        <w:rPr>
          <w:rFonts w:ascii="Verdana" w:hAnsi="Verdana" w:cs="Arial"/>
          <w:i/>
          <w:iCs/>
        </w:rPr>
        <w:t>book-to-bill</w:t>
      </w:r>
      <w:r w:rsidR="00885B2C">
        <w:rPr>
          <w:rFonts w:ascii="Verdana" w:hAnsi="Verdana" w:cs="Arial"/>
        </w:rPr>
        <w:t> »</w:t>
      </w:r>
      <w:r w:rsidR="007E6953">
        <w:rPr>
          <w:rFonts w:ascii="Verdana" w:hAnsi="Verdana" w:cs="Arial"/>
        </w:rPr>
        <w:t xml:space="preserve"> </w:t>
      </w:r>
      <w:r w:rsidR="00325F27">
        <w:rPr>
          <w:rFonts w:ascii="Verdana" w:hAnsi="Verdana" w:cs="Arial"/>
        </w:rPr>
        <w:t>de</w:t>
      </w:r>
      <w:r w:rsidR="007E6953">
        <w:rPr>
          <w:rFonts w:ascii="Verdana" w:hAnsi="Verdana" w:cs="Arial"/>
        </w:rPr>
        <w:t xml:space="preserve"> </w:t>
      </w:r>
      <w:r w:rsidR="001D5F9A">
        <w:rPr>
          <w:rFonts w:ascii="Verdana" w:hAnsi="Verdana" w:cs="Arial"/>
        </w:rPr>
        <w:t xml:space="preserve">110% </w:t>
      </w:r>
      <w:r w:rsidR="004F03F0">
        <w:rPr>
          <w:rFonts w:ascii="Verdana" w:hAnsi="Verdana" w:cs="Arial"/>
        </w:rPr>
        <w:t>au 2</w:t>
      </w:r>
      <w:r w:rsidR="004F03F0" w:rsidRPr="004F03F0">
        <w:rPr>
          <w:rFonts w:ascii="Verdana" w:hAnsi="Verdana" w:cs="Arial"/>
          <w:vertAlign w:val="superscript"/>
        </w:rPr>
        <w:t>ème</w:t>
      </w:r>
      <w:r w:rsidR="004F03F0">
        <w:rPr>
          <w:rFonts w:ascii="Verdana" w:hAnsi="Verdana" w:cs="Arial"/>
        </w:rPr>
        <w:t xml:space="preserve"> trimestre, reflétant </w:t>
      </w:r>
      <w:r w:rsidR="00560DA4">
        <w:rPr>
          <w:rFonts w:ascii="Verdana" w:hAnsi="Verdana" w:cs="Arial"/>
        </w:rPr>
        <w:t xml:space="preserve">un niveau de demande </w:t>
      </w:r>
      <w:r w:rsidR="00BF6F3B">
        <w:rPr>
          <w:rFonts w:ascii="Verdana" w:hAnsi="Verdana" w:cs="Arial"/>
        </w:rPr>
        <w:t xml:space="preserve">client </w:t>
      </w:r>
      <w:r w:rsidR="00221818">
        <w:rPr>
          <w:rFonts w:ascii="Verdana" w:hAnsi="Verdana" w:cs="Arial"/>
        </w:rPr>
        <w:t>encourageant</w:t>
      </w:r>
      <w:r w:rsidR="00BF6F3B">
        <w:rPr>
          <w:rFonts w:ascii="Verdana" w:hAnsi="Verdana" w:cs="Arial"/>
        </w:rPr>
        <w:t xml:space="preserve"> pour les trimestres à venir</w:t>
      </w:r>
      <w:r w:rsidR="00CA6E89">
        <w:rPr>
          <w:rFonts w:ascii="Verdana" w:hAnsi="Verdana" w:cs="Arial"/>
        </w:rPr>
        <w:t>.</w:t>
      </w:r>
    </w:p>
    <w:p w14:paraId="770F54FD" w14:textId="2F148C62" w:rsidR="001B627F" w:rsidRPr="001B627F" w:rsidRDefault="001B627F" w:rsidP="00907331">
      <w:pPr>
        <w:pStyle w:val="BodyText"/>
        <w:numPr>
          <w:ilvl w:val="0"/>
          <w:numId w:val="12"/>
        </w:numPr>
        <w:spacing w:line="276" w:lineRule="auto"/>
        <w:rPr>
          <w:b/>
          <w:bCs/>
        </w:rPr>
      </w:pPr>
      <w:bookmarkStart w:id="10" w:name="_Hlk519835484"/>
      <w:r w:rsidRPr="001B627F">
        <w:rPr>
          <w:b/>
          <w:bCs/>
        </w:rPr>
        <w:t>1</w:t>
      </w:r>
      <w:r w:rsidRPr="001B627F">
        <w:rPr>
          <w:b/>
          <w:bCs/>
          <w:vertAlign w:val="superscript"/>
        </w:rPr>
        <w:t>er</w:t>
      </w:r>
      <w:r w:rsidRPr="001B627F">
        <w:rPr>
          <w:b/>
          <w:bCs/>
        </w:rPr>
        <w:t xml:space="preserve"> semestre</w:t>
      </w:r>
      <w:r w:rsidR="003945C1">
        <w:rPr>
          <w:b/>
          <w:bCs/>
        </w:rPr>
        <w:t> :</w:t>
      </w:r>
    </w:p>
    <w:p w14:paraId="6D2E5619" w14:textId="77777777" w:rsidR="00D56D62" w:rsidRDefault="00483BFD" w:rsidP="00907331">
      <w:pPr>
        <w:spacing w:before="120" w:after="120" w:line="276" w:lineRule="auto"/>
      </w:pPr>
      <w:r>
        <w:t xml:space="preserve">Compte tenu de l’amplitude des </w:t>
      </w:r>
      <w:r w:rsidR="00744BAF">
        <w:t>principaux</w:t>
      </w:r>
      <w:r w:rsidR="00A06CDB">
        <w:t xml:space="preserve"> </w:t>
      </w:r>
      <w:r w:rsidR="00744BAF">
        <w:t xml:space="preserve">mouvements et </w:t>
      </w:r>
      <w:r w:rsidR="00A06CDB">
        <w:t xml:space="preserve">tendances observés au </w:t>
      </w:r>
      <w:r w:rsidR="00B51CA0">
        <w:t>2</w:t>
      </w:r>
      <w:r w:rsidR="00B51CA0" w:rsidRPr="00907331">
        <w:rPr>
          <w:vertAlign w:val="superscript"/>
        </w:rPr>
        <w:t>ème</w:t>
      </w:r>
      <w:r w:rsidR="00B51CA0">
        <w:t xml:space="preserve"> </w:t>
      </w:r>
      <w:r w:rsidR="00A06CDB">
        <w:t>trimestre</w:t>
      </w:r>
      <w:r>
        <w:t xml:space="preserve">, </w:t>
      </w:r>
      <w:r w:rsidR="00744BAF">
        <w:t>ceux</w:t>
      </w:r>
      <w:r>
        <w:t>-ci</w:t>
      </w:r>
      <w:r w:rsidR="00A06CDB">
        <w:t xml:space="preserve"> </w:t>
      </w:r>
      <w:r w:rsidR="00BB0715">
        <w:t xml:space="preserve">restent </w:t>
      </w:r>
      <w:r w:rsidR="00BB0B52">
        <w:t>applicables</w:t>
      </w:r>
      <w:r w:rsidR="00C80600">
        <w:t xml:space="preserve"> </w:t>
      </w:r>
      <w:r w:rsidR="00CB0FD8">
        <w:t xml:space="preserve">à </w:t>
      </w:r>
      <w:r w:rsidR="00C80600">
        <w:t xml:space="preserve">l’analyse de </w:t>
      </w:r>
      <w:r w:rsidR="00F379AD">
        <w:t xml:space="preserve">l’activité </w:t>
      </w:r>
      <w:r w:rsidR="00BF06AF">
        <w:t xml:space="preserve">sur </w:t>
      </w:r>
      <w:r w:rsidR="00F379AD">
        <w:t>l’</w:t>
      </w:r>
      <w:r w:rsidR="008A3C79">
        <w:t>ensemble</w:t>
      </w:r>
      <w:r w:rsidR="00F379AD">
        <w:t xml:space="preserve"> </w:t>
      </w:r>
      <w:r w:rsidR="008A3C79">
        <w:t xml:space="preserve">du </w:t>
      </w:r>
      <w:r w:rsidR="00F379AD">
        <w:t>1</w:t>
      </w:r>
      <w:r w:rsidR="00F379AD" w:rsidRPr="00907331">
        <w:rPr>
          <w:vertAlign w:val="superscript"/>
        </w:rPr>
        <w:t>er</w:t>
      </w:r>
      <w:r w:rsidR="00F379AD">
        <w:t xml:space="preserve"> semestre</w:t>
      </w:r>
      <w:r w:rsidR="004F7470">
        <w:t xml:space="preserve">. </w:t>
      </w:r>
    </w:p>
    <w:p w14:paraId="7F513D78" w14:textId="1E1F68D7" w:rsidR="00B00202" w:rsidRPr="002F446E" w:rsidRDefault="00230C70" w:rsidP="00907331">
      <w:pPr>
        <w:spacing w:before="120" w:after="120" w:line="276" w:lineRule="auto"/>
        <w:rPr>
          <w:rFonts w:ascii="Verdana" w:hAnsi="Verdana" w:cs="Arial"/>
          <w:b/>
        </w:rPr>
      </w:pPr>
      <w:r w:rsidRPr="002F446E">
        <w:rPr>
          <w:rFonts w:cs="Arial"/>
        </w:rPr>
        <w:t xml:space="preserve">Le chiffre d’affaires de la région </w:t>
      </w:r>
      <w:r w:rsidRPr="002F446E">
        <w:rPr>
          <w:rFonts w:cs="Arial"/>
          <w:b/>
        </w:rPr>
        <w:t>Amérique du Nord</w:t>
      </w:r>
      <w:r w:rsidRPr="002F446E">
        <w:rPr>
          <w:rFonts w:cs="Arial"/>
        </w:rPr>
        <w:t xml:space="preserve"> </w:t>
      </w:r>
      <w:r w:rsidRPr="00935DD9">
        <w:rPr>
          <w:rFonts w:cs="Arial"/>
        </w:rPr>
        <w:t xml:space="preserve">progresse de </w:t>
      </w:r>
      <w:r w:rsidR="007719E7">
        <w:rPr>
          <w:rFonts w:cs="Arial"/>
        </w:rPr>
        <w:t>+</w:t>
      </w:r>
      <w:r w:rsidR="00935DD9" w:rsidRPr="00935DD9">
        <w:rPr>
          <w:rFonts w:cs="Arial"/>
        </w:rPr>
        <w:t>4,2</w:t>
      </w:r>
      <w:r w:rsidRPr="00935DD9">
        <w:rPr>
          <w:rFonts w:cs="Arial"/>
        </w:rPr>
        <w:t>% à taux de change constants.</w:t>
      </w:r>
      <w:r w:rsidRPr="002F446E">
        <w:rPr>
          <w:rFonts w:cs="Arial"/>
        </w:rPr>
        <w:t xml:space="preserve"> </w:t>
      </w:r>
      <w:r w:rsidR="007F2FA0">
        <w:rPr>
          <w:rFonts w:cs="Arial"/>
        </w:rPr>
        <w:t>Cette progression</w:t>
      </w:r>
      <w:r w:rsidR="00F450BC">
        <w:rPr>
          <w:rFonts w:cs="Arial"/>
        </w:rPr>
        <w:t xml:space="preserve"> </w:t>
      </w:r>
      <w:r w:rsidR="00320615">
        <w:rPr>
          <w:rFonts w:cs="Arial"/>
        </w:rPr>
        <w:t xml:space="preserve">est </w:t>
      </w:r>
      <w:r w:rsidR="000F174F">
        <w:rPr>
          <w:rFonts w:cs="Arial"/>
        </w:rPr>
        <w:t xml:space="preserve">portée </w:t>
      </w:r>
      <w:r w:rsidR="00EF6F5E">
        <w:rPr>
          <w:rFonts w:cs="Arial"/>
        </w:rPr>
        <w:t>par la contribution d’Altran</w:t>
      </w:r>
      <w:r w:rsidR="00B04D41">
        <w:rPr>
          <w:rFonts w:cs="Arial"/>
        </w:rPr>
        <w:t xml:space="preserve"> au chiffre d’affaires </w:t>
      </w:r>
      <w:r w:rsidR="001F45D2">
        <w:rPr>
          <w:rFonts w:cs="Arial"/>
        </w:rPr>
        <w:t xml:space="preserve">principalement </w:t>
      </w:r>
      <w:r w:rsidR="00320615">
        <w:rPr>
          <w:rFonts w:cs="Arial"/>
        </w:rPr>
        <w:t>dans le</w:t>
      </w:r>
      <w:r w:rsidRPr="00F23B2A">
        <w:rPr>
          <w:rFonts w:cs="Arial"/>
        </w:rPr>
        <w:t xml:space="preserve"> secteur </w:t>
      </w:r>
      <w:r w:rsidR="00F23B2A" w:rsidRPr="00F23B2A">
        <w:rPr>
          <w:rFonts w:cs="Arial"/>
        </w:rPr>
        <w:t xml:space="preserve">des </w:t>
      </w:r>
      <w:r w:rsidR="000747EB" w:rsidRPr="00F23B2A">
        <w:rPr>
          <w:rFonts w:cs="Arial"/>
        </w:rPr>
        <w:t>TMT</w:t>
      </w:r>
      <w:bookmarkStart w:id="11" w:name="_Hlk48293079"/>
      <w:r w:rsidR="00EF6F5E">
        <w:rPr>
          <w:rFonts w:cs="Arial"/>
        </w:rPr>
        <w:t xml:space="preserve">. </w:t>
      </w:r>
      <w:r w:rsidR="00BB0B52">
        <w:rPr>
          <w:rFonts w:cs="Arial"/>
        </w:rPr>
        <w:t>Par ailleurs, l</w:t>
      </w:r>
      <w:r w:rsidR="002179A4">
        <w:rPr>
          <w:rFonts w:cs="Arial"/>
        </w:rPr>
        <w:t xml:space="preserve">es Services financiers </w:t>
      </w:r>
      <w:r w:rsidR="001A0E8B">
        <w:rPr>
          <w:rFonts w:cs="Arial"/>
        </w:rPr>
        <w:t>ont poursuivi leur rétablissement</w:t>
      </w:r>
      <w:r w:rsidR="00DE0417">
        <w:rPr>
          <w:rFonts w:cs="Arial"/>
        </w:rPr>
        <w:t xml:space="preserve"> </w:t>
      </w:r>
      <w:r w:rsidR="0023016E">
        <w:rPr>
          <w:rFonts w:cs="Arial"/>
        </w:rPr>
        <w:t xml:space="preserve">et ont </w:t>
      </w:r>
      <w:r w:rsidR="00305930">
        <w:rPr>
          <w:rFonts w:cs="Arial"/>
        </w:rPr>
        <w:t xml:space="preserve">même </w:t>
      </w:r>
      <w:r w:rsidR="0023016E">
        <w:rPr>
          <w:rFonts w:cs="Arial"/>
        </w:rPr>
        <w:t>enregistré une légère croissance</w:t>
      </w:r>
      <w:bookmarkEnd w:id="11"/>
      <w:r w:rsidR="006633F9">
        <w:rPr>
          <w:rFonts w:cs="Arial"/>
        </w:rPr>
        <w:t xml:space="preserve"> organique</w:t>
      </w:r>
      <w:r w:rsidR="00F450BC">
        <w:rPr>
          <w:rFonts w:cs="Arial"/>
        </w:rPr>
        <w:t>.</w:t>
      </w:r>
      <w:r w:rsidRPr="00990234">
        <w:rPr>
          <w:rFonts w:cs="Arial"/>
        </w:rPr>
        <w:t xml:space="preserve"> </w:t>
      </w:r>
      <w:r w:rsidR="00B00202" w:rsidRPr="00990234">
        <w:rPr>
          <w:rFonts w:ascii="Verdana" w:hAnsi="Verdana" w:cs="Arial"/>
        </w:rPr>
        <w:t xml:space="preserve">Le taux de marge opérationnelle </w:t>
      </w:r>
      <w:r w:rsidR="00F02D4B">
        <w:rPr>
          <w:rFonts w:ascii="Verdana" w:hAnsi="Verdana" w:cs="Arial"/>
        </w:rPr>
        <w:t xml:space="preserve">poursuit </w:t>
      </w:r>
      <w:r w:rsidR="00C15D5E">
        <w:rPr>
          <w:rFonts w:ascii="Verdana" w:hAnsi="Verdana" w:cs="Arial"/>
        </w:rPr>
        <w:t>s</w:t>
      </w:r>
      <w:r w:rsidR="00F56B92">
        <w:rPr>
          <w:rFonts w:ascii="Verdana" w:hAnsi="Verdana" w:cs="Arial"/>
        </w:rPr>
        <w:t>on amélioration</w:t>
      </w:r>
      <w:r w:rsidR="005C6AC5">
        <w:rPr>
          <w:rFonts w:ascii="Verdana" w:hAnsi="Verdana" w:cs="Arial"/>
        </w:rPr>
        <w:t xml:space="preserve"> pour s’établir à</w:t>
      </w:r>
      <w:r w:rsidR="00B00202" w:rsidRPr="00990234">
        <w:rPr>
          <w:rFonts w:ascii="Verdana" w:hAnsi="Verdana" w:cs="Arial"/>
        </w:rPr>
        <w:t xml:space="preserve"> </w:t>
      </w:r>
      <w:r w:rsidR="00990234" w:rsidRPr="00990234">
        <w:rPr>
          <w:rFonts w:ascii="Verdana" w:hAnsi="Verdana" w:cs="Arial"/>
        </w:rPr>
        <w:t>14,4</w:t>
      </w:r>
      <w:r w:rsidR="00B00202" w:rsidRPr="00990234">
        <w:rPr>
          <w:rFonts w:ascii="Verdana" w:hAnsi="Verdana" w:cs="Arial"/>
        </w:rPr>
        <w:t>%</w:t>
      </w:r>
      <w:r w:rsidR="001A614E" w:rsidRPr="00990234">
        <w:rPr>
          <w:rFonts w:ascii="Verdana" w:hAnsi="Verdana" w:cs="Arial"/>
        </w:rPr>
        <w:t>,</w:t>
      </w:r>
      <w:r w:rsidR="00E2738B" w:rsidRPr="00990234">
        <w:rPr>
          <w:rFonts w:ascii="Verdana" w:hAnsi="Verdana" w:cs="Arial"/>
        </w:rPr>
        <w:t xml:space="preserve"> </w:t>
      </w:r>
      <w:r w:rsidR="005C6AC5">
        <w:rPr>
          <w:rFonts w:ascii="Verdana" w:hAnsi="Verdana" w:cs="Arial"/>
        </w:rPr>
        <w:t>contre</w:t>
      </w:r>
      <w:r w:rsidR="00E2738B" w:rsidRPr="00990234">
        <w:rPr>
          <w:rFonts w:ascii="Verdana" w:hAnsi="Verdana" w:cs="Arial"/>
        </w:rPr>
        <w:t xml:space="preserve"> </w:t>
      </w:r>
      <w:r w:rsidR="00926435">
        <w:rPr>
          <w:rFonts w:ascii="Verdana" w:hAnsi="Verdana" w:cs="Arial"/>
        </w:rPr>
        <w:t>12,9</w:t>
      </w:r>
      <w:r w:rsidR="00E2738B" w:rsidRPr="00990234">
        <w:rPr>
          <w:rFonts w:ascii="Verdana" w:hAnsi="Verdana" w:cs="Arial"/>
        </w:rPr>
        <w:t xml:space="preserve">% </w:t>
      </w:r>
      <w:r w:rsidR="005C6AC5">
        <w:rPr>
          <w:rFonts w:ascii="Verdana" w:hAnsi="Verdana" w:cs="Arial"/>
        </w:rPr>
        <w:t>au 1</w:t>
      </w:r>
      <w:r w:rsidR="005C6AC5" w:rsidRPr="005C6AC5">
        <w:rPr>
          <w:rFonts w:ascii="Verdana" w:hAnsi="Verdana" w:cs="Arial"/>
          <w:vertAlign w:val="superscript"/>
        </w:rPr>
        <w:t>er</w:t>
      </w:r>
      <w:r w:rsidR="005C6AC5">
        <w:rPr>
          <w:rFonts w:ascii="Verdana" w:hAnsi="Verdana" w:cs="Arial"/>
        </w:rPr>
        <w:t xml:space="preserve"> semestre 2019</w:t>
      </w:r>
      <w:r w:rsidR="00B00202" w:rsidRPr="00990234">
        <w:rPr>
          <w:rFonts w:ascii="Verdana" w:hAnsi="Verdana" w:cs="Arial"/>
        </w:rPr>
        <w:t>.</w:t>
      </w:r>
      <w:r w:rsidR="00B00202" w:rsidRPr="002F446E">
        <w:rPr>
          <w:rFonts w:ascii="Verdana" w:hAnsi="Verdana" w:cs="Arial"/>
        </w:rPr>
        <w:t xml:space="preserve"> </w:t>
      </w:r>
    </w:p>
    <w:p w14:paraId="6AB03308" w14:textId="4A9716D7" w:rsidR="00B00202" w:rsidRPr="002F446E" w:rsidRDefault="00230C70" w:rsidP="00907331">
      <w:pPr>
        <w:spacing w:before="120" w:after="120" w:line="276" w:lineRule="auto"/>
        <w:rPr>
          <w:rFonts w:cs="Arial"/>
        </w:rPr>
      </w:pPr>
      <w:r w:rsidRPr="002F446E">
        <w:rPr>
          <w:rFonts w:cs="Arial"/>
        </w:rPr>
        <w:t xml:space="preserve">La région </w:t>
      </w:r>
      <w:r w:rsidRPr="002F446E">
        <w:rPr>
          <w:rFonts w:cs="Arial"/>
          <w:b/>
        </w:rPr>
        <w:t>Royaume-Uni &amp; Irlande</w:t>
      </w:r>
      <w:r w:rsidRPr="002F446E">
        <w:rPr>
          <w:rFonts w:cs="Arial"/>
        </w:rPr>
        <w:t xml:space="preserve"> </w:t>
      </w:r>
      <w:r w:rsidR="0092429A">
        <w:rPr>
          <w:rFonts w:cs="Arial"/>
        </w:rPr>
        <w:t xml:space="preserve">enregistre une légère </w:t>
      </w:r>
      <w:r w:rsidR="00FB2851">
        <w:rPr>
          <w:rFonts w:cs="Arial"/>
        </w:rPr>
        <w:t>progression</w:t>
      </w:r>
      <w:r w:rsidR="00455C52">
        <w:rPr>
          <w:rFonts w:cs="Arial"/>
        </w:rPr>
        <w:t xml:space="preserve"> de son chiffre d’affaires,</w:t>
      </w:r>
      <w:r w:rsidR="00E04A97" w:rsidRPr="00935DD9">
        <w:rPr>
          <w:rFonts w:cs="Arial"/>
        </w:rPr>
        <w:t xml:space="preserve"> </w:t>
      </w:r>
      <w:r w:rsidR="00455C52">
        <w:rPr>
          <w:rFonts w:cs="Arial"/>
        </w:rPr>
        <w:t xml:space="preserve">de </w:t>
      </w:r>
      <w:r w:rsidR="007719E7">
        <w:rPr>
          <w:rFonts w:cs="Arial"/>
        </w:rPr>
        <w:t>+</w:t>
      </w:r>
      <w:r w:rsidR="0092429A">
        <w:rPr>
          <w:rFonts w:cs="Arial"/>
        </w:rPr>
        <w:t>0,6</w:t>
      </w:r>
      <w:r w:rsidR="00FB08DD" w:rsidRPr="00935DD9">
        <w:rPr>
          <w:rFonts w:cs="Arial"/>
        </w:rPr>
        <w:t>% à taux de change constants</w:t>
      </w:r>
      <w:r w:rsidR="003F1A37">
        <w:rPr>
          <w:rFonts w:cs="Arial"/>
        </w:rPr>
        <w:t xml:space="preserve">, avec </w:t>
      </w:r>
      <w:r w:rsidR="00BF06AF">
        <w:rPr>
          <w:rFonts w:cs="Arial"/>
        </w:rPr>
        <w:t xml:space="preserve">la </w:t>
      </w:r>
      <w:r w:rsidR="003F1A37">
        <w:rPr>
          <w:rFonts w:cs="Arial"/>
        </w:rPr>
        <w:t xml:space="preserve">contribution </w:t>
      </w:r>
      <w:r w:rsidR="00655E15">
        <w:rPr>
          <w:rFonts w:cs="Arial"/>
        </w:rPr>
        <w:t xml:space="preserve">d’Altran </w:t>
      </w:r>
      <w:r w:rsidR="007D4442">
        <w:rPr>
          <w:rFonts w:cs="Arial"/>
        </w:rPr>
        <w:t>(</w:t>
      </w:r>
      <w:r w:rsidR="005E73CC">
        <w:rPr>
          <w:rFonts w:cs="Arial"/>
        </w:rPr>
        <w:t>principalement</w:t>
      </w:r>
      <w:r w:rsidR="000D674A">
        <w:rPr>
          <w:rFonts w:cs="Arial"/>
        </w:rPr>
        <w:t xml:space="preserve"> dans </w:t>
      </w:r>
      <w:r w:rsidR="00661FB5">
        <w:rPr>
          <w:rFonts w:cs="Arial"/>
        </w:rPr>
        <w:t>l’Industrie</w:t>
      </w:r>
      <w:r w:rsidR="000838DE">
        <w:rPr>
          <w:rFonts w:cs="Arial"/>
        </w:rPr>
        <w:t xml:space="preserve"> et</w:t>
      </w:r>
      <w:r w:rsidR="00661FB5">
        <w:rPr>
          <w:rFonts w:cs="Arial"/>
        </w:rPr>
        <w:t xml:space="preserve"> </w:t>
      </w:r>
      <w:r w:rsidR="000D674A">
        <w:rPr>
          <w:rFonts w:cs="Arial"/>
        </w:rPr>
        <w:t xml:space="preserve">les </w:t>
      </w:r>
      <w:r w:rsidR="00825BC7">
        <w:rPr>
          <w:rFonts w:cs="Arial"/>
        </w:rPr>
        <w:t>TMT</w:t>
      </w:r>
      <w:r w:rsidR="007D4442">
        <w:rPr>
          <w:rFonts w:cs="Arial"/>
        </w:rPr>
        <w:t>)</w:t>
      </w:r>
      <w:r w:rsidR="000838DE">
        <w:rPr>
          <w:rFonts w:cs="Arial"/>
        </w:rPr>
        <w:t xml:space="preserve"> </w:t>
      </w:r>
      <w:r w:rsidR="005E73CC">
        <w:rPr>
          <w:rFonts w:cs="Arial"/>
        </w:rPr>
        <w:t xml:space="preserve">et la </w:t>
      </w:r>
      <w:r w:rsidR="009820CC">
        <w:rPr>
          <w:rFonts w:cs="Arial"/>
        </w:rPr>
        <w:t xml:space="preserve">dynamique favorable enregistrée dans le </w:t>
      </w:r>
      <w:r w:rsidR="00825BC7">
        <w:rPr>
          <w:rFonts w:cs="Arial"/>
        </w:rPr>
        <w:t>secteur public</w:t>
      </w:r>
      <w:r w:rsidR="003F113E">
        <w:rPr>
          <w:rFonts w:cs="Arial"/>
        </w:rPr>
        <w:t xml:space="preserve"> sur une</w:t>
      </w:r>
      <w:r w:rsidR="000F069E">
        <w:rPr>
          <w:rFonts w:cs="Arial"/>
        </w:rPr>
        <w:t xml:space="preserve"> base organique</w:t>
      </w:r>
      <w:r w:rsidR="00FB08DD" w:rsidRPr="00935DD9">
        <w:rPr>
          <w:rFonts w:cs="Arial"/>
        </w:rPr>
        <w:t>.</w:t>
      </w:r>
      <w:r w:rsidR="00825BC7">
        <w:rPr>
          <w:rFonts w:cs="Arial"/>
        </w:rPr>
        <w:t xml:space="preserve"> </w:t>
      </w:r>
      <w:r w:rsidR="00F77C41">
        <w:rPr>
          <w:rFonts w:cs="Arial"/>
        </w:rPr>
        <w:t>Bien qu’en recul, le</w:t>
      </w:r>
      <w:r w:rsidR="00B00202" w:rsidRPr="00926435">
        <w:rPr>
          <w:rFonts w:ascii="Verdana" w:hAnsi="Verdana" w:cs="Arial"/>
        </w:rPr>
        <w:t xml:space="preserve"> taux de marge opérationnelle</w:t>
      </w:r>
      <w:r w:rsidR="000A70F7" w:rsidRPr="00926435">
        <w:rPr>
          <w:rFonts w:ascii="Verdana" w:hAnsi="Verdana" w:cs="Arial"/>
        </w:rPr>
        <w:t xml:space="preserve"> </w:t>
      </w:r>
      <w:r w:rsidR="00F77C41">
        <w:rPr>
          <w:rFonts w:ascii="Verdana" w:hAnsi="Verdana" w:cs="Arial"/>
        </w:rPr>
        <w:t>reste à un niveau élevé à</w:t>
      </w:r>
      <w:r w:rsidR="00E2738B" w:rsidRPr="00926435">
        <w:rPr>
          <w:rFonts w:ascii="Verdana" w:hAnsi="Verdana" w:cs="Arial"/>
        </w:rPr>
        <w:t xml:space="preserve"> </w:t>
      </w:r>
      <w:r w:rsidR="00926435">
        <w:rPr>
          <w:rFonts w:ascii="Verdana" w:hAnsi="Verdana" w:cs="Arial"/>
        </w:rPr>
        <w:t>14,3</w:t>
      </w:r>
      <w:r w:rsidR="00E2738B" w:rsidRPr="00926435">
        <w:rPr>
          <w:rFonts w:ascii="Verdana" w:hAnsi="Verdana" w:cs="Arial"/>
        </w:rPr>
        <w:t>%</w:t>
      </w:r>
      <w:r w:rsidR="00CE4FE2" w:rsidRPr="00926435">
        <w:rPr>
          <w:rFonts w:ascii="Verdana" w:hAnsi="Verdana" w:cs="Arial"/>
        </w:rPr>
        <w:t xml:space="preserve"> contre </w:t>
      </w:r>
      <w:r w:rsidR="00071A62" w:rsidRPr="00926435">
        <w:rPr>
          <w:rFonts w:ascii="Verdana" w:hAnsi="Verdana" w:cs="Arial"/>
        </w:rPr>
        <w:t>15,9</w:t>
      </w:r>
      <w:r w:rsidR="00CE4FE2" w:rsidRPr="00926435">
        <w:rPr>
          <w:rFonts w:ascii="Verdana" w:hAnsi="Verdana" w:cs="Arial"/>
        </w:rPr>
        <w:t>% un an plus tôt</w:t>
      </w:r>
      <w:r w:rsidR="00B00202" w:rsidRPr="00926435">
        <w:rPr>
          <w:rFonts w:ascii="Verdana" w:hAnsi="Verdana" w:cs="Arial"/>
        </w:rPr>
        <w:t>.</w:t>
      </w:r>
    </w:p>
    <w:p w14:paraId="04A29F4A" w14:textId="7FF0BED5" w:rsidR="00B00202" w:rsidRPr="002F446E" w:rsidRDefault="00EF35B7" w:rsidP="00907331">
      <w:pPr>
        <w:spacing w:before="120" w:after="120" w:line="276" w:lineRule="auto"/>
        <w:rPr>
          <w:rFonts w:ascii="Verdana" w:hAnsi="Verdana" w:cs="Arial"/>
        </w:rPr>
      </w:pPr>
      <w:r w:rsidRPr="2C79DB7B">
        <w:rPr>
          <w:rFonts w:cs="Arial"/>
        </w:rPr>
        <w:t>La</w:t>
      </w:r>
      <w:r w:rsidR="00230C70" w:rsidRPr="2C79DB7B">
        <w:rPr>
          <w:rFonts w:cs="Arial"/>
        </w:rPr>
        <w:t xml:space="preserve"> </w:t>
      </w:r>
      <w:r w:rsidR="00230C70" w:rsidRPr="2C79DB7B">
        <w:rPr>
          <w:rFonts w:cs="Arial"/>
          <w:b/>
          <w:bCs/>
        </w:rPr>
        <w:t>France</w:t>
      </w:r>
      <w:r w:rsidR="00230C70" w:rsidRPr="2C79DB7B">
        <w:rPr>
          <w:rFonts w:cs="Arial"/>
        </w:rPr>
        <w:t xml:space="preserve"> </w:t>
      </w:r>
      <w:r w:rsidR="00403498" w:rsidRPr="2C79DB7B">
        <w:rPr>
          <w:rFonts w:cs="Arial"/>
        </w:rPr>
        <w:t xml:space="preserve">voit son </w:t>
      </w:r>
      <w:r w:rsidR="008E7823" w:rsidRPr="2C79DB7B">
        <w:rPr>
          <w:rFonts w:cs="Arial"/>
        </w:rPr>
        <w:t xml:space="preserve">chiffre d’affaires </w:t>
      </w:r>
      <w:r w:rsidR="00403498" w:rsidRPr="2C79DB7B">
        <w:rPr>
          <w:rFonts w:cs="Arial"/>
        </w:rPr>
        <w:t>progresser</w:t>
      </w:r>
      <w:r w:rsidRPr="2C79DB7B">
        <w:rPr>
          <w:rFonts w:cs="Arial"/>
        </w:rPr>
        <w:t xml:space="preserve"> </w:t>
      </w:r>
      <w:r w:rsidR="00230C70" w:rsidRPr="2C79DB7B">
        <w:rPr>
          <w:rFonts w:cs="Arial"/>
        </w:rPr>
        <w:t xml:space="preserve">de </w:t>
      </w:r>
      <w:r w:rsidR="007719E7" w:rsidRPr="2C79DB7B">
        <w:rPr>
          <w:rFonts w:cs="Arial"/>
        </w:rPr>
        <w:t>+</w:t>
      </w:r>
      <w:r w:rsidR="0092429A" w:rsidRPr="2C79DB7B">
        <w:rPr>
          <w:rFonts w:cs="Arial"/>
        </w:rPr>
        <w:t>7,6</w:t>
      </w:r>
      <w:r w:rsidR="00230C70" w:rsidRPr="2C79DB7B">
        <w:rPr>
          <w:rFonts w:cs="Arial"/>
        </w:rPr>
        <w:t xml:space="preserve">% </w:t>
      </w:r>
      <w:r w:rsidR="00BB50BA" w:rsidRPr="2C79DB7B">
        <w:rPr>
          <w:rFonts w:cs="Arial"/>
        </w:rPr>
        <w:t>à taux de change constant</w:t>
      </w:r>
      <w:r w:rsidR="00EB0DE7" w:rsidRPr="2C79DB7B">
        <w:rPr>
          <w:rFonts w:cs="Arial"/>
        </w:rPr>
        <w:t>s</w:t>
      </w:r>
      <w:r w:rsidR="00BB50BA" w:rsidRPr="2C79DB7B">
        <w:rPr>
          <w:rFonts w:cs="Arial"/>
        </w:rPr>
        <w:t xml:space="preserve"> </w:t>
      </w:r>
      <w:r w:rsidR="00230C70" w:rsidRPr="2C79DB7B">
        <w:rPr>
          <w:rFonts w:cs="Arial"/>
        </w:rPr>
        <w:t>sur la période</w:t>
      </w:r>
      <w:r w:rsidR="00BB50BA" w:rsidRPr="2C79DB7B">
        <w:rPr>
          <w:rFonts w:cs="Arial"/>
        </w:rPr>
        <w:t xml:space="preserve"> du fait de la consolidation d</w:t>
      </w:r>
      <w:r w:rsidR="0026380F" w:rsidRPr="2C79DB7B">
        <w:rPr>
          <w:rFonts w:cs="Arial"/>
        </w:rPr>
        <w:t>u chiffre d’affaires d’Altran</w:t>
      </w:r>
      <w:r w:rsidRPr="2C79DB7B">
        <w:rPr>
          <w:rFonts w:cs="Arial"/>
        </w:rPr>
        <w:t>,</w:t>
      </w:r>
      <w:r w:rsidR="0026380F" w:rsidRPr="2C79DB7B">
        <w:rPr>
          <w:rFonts w:cs="Arial"/>
        </w:rPr>
        <w:t xml:space="preserve"> </w:t>
      </w:r>
      <w:r w:rsidRPr="2C79DB7B">
        <w:rPr>
          <w:rFonts w:cs="Arial"/>
        </w:rPr>
        <w:t xml:space="preserve">particulièrement dans </w:t>
      </w:r>
      <w:bookmarkStart w:id="12" w:name="_Hlk48146955"/>
      <w:r w:rsidRPr="2C79DB7B">
        <w:rPr>
          <w:rFonts w:cs="Arial"/>
        </w:rPr>
        <w:t>l</w:t>
      </w:r>
      <w:r w:rsidR="001049AD" w:rsidRPr="2C79DB7B">
        <w:rPr>
          <w:rFonts w:cs="Arial"/>
        </w:rPr>
        <w:t>’Industrie</w:t>
      </w:r>
      <w:r w:rsidRPr="2C79DB7B">
        <w:rPr>
          <w:rFonts w:cs="Arial"/>
        </w:rPr>
        <w:t xml:space="preserve">, </w:t>
      </w:r>
      <w:r w:rsidR="00DB0FBE" w:rsidRPr="2C79DB7B">
        <w:rPr>
          <w:rFonts w:cs="Arial"/>
        </w:rPr>
        <w:t>l</w:t>
      </w:r>
      <w:r w:rsidR="008B15B9" w:rsidRPr="2C79DB7B">
        <w:rPr>
          <w:rFonts w:cs="Arial"/>
        </w:rPr>
        <w:t xml:space="preserve">es </w:t>
      </w:r>
      <w:r w:rsidR="00F0701A" w:rsidRPr="2C79DB7B">
        <w:rPr>
          <w:rFonts w:cs="Arial"/>
        </w:rPr>
        <w:t xml:space="preserve">TMT et </w:t>
      </w:r>
      <w:r w:rsidR="00DB0FBE" w:rsidRPr="2C79DB7B">
        <w:rPr>
          <w:rFonts w:cs="Arial"/>
        </w:rPr>
        <w:t xml:space="preserve">le </w:t>
      </w:r>
      <w:r w:rsidR="00F0701A" w:rsidRPr="2C79DB7B">
        <w:rPr>
          <w:rFonts w:cs="Arial"/>
        </w:rPr>
        <w:t xml:space="preserve">secteur </w:t>
      </w:r>
      <w:r w:rsidR="008B15B9" w:rsidRPr="2C79DB7B">
        <w:rPr>
          <w:rFonts w:cs="Arial"/>
        </w:rPr>
        <w:t xml:space="preserve">Energie &amp; </w:t>
      </w:r>
      <w:r w:rsidR="008B15B9" w:rsidRPr="2C79DB7B">
        <w:rPr>
          <w:rFonts w:cs="Arial"/>
          <w:i/>
          <w:iCs/>
        </w:rPr>
        <w:t>Utilities</w:t>
      </w:r>
      <w:bookmarkEnd w:id="12"/>
      <w:r w:rsidR="00F0701A" w:rsidRPr="2C79DB7B">
        <w:rPr>
          <w:rFonts w:cs="Arial"/>
        </w:rPr>
        <w:t>.</w:t>
      </w:r>
      <w:r w:rsidR="00510CED">
        <w:rPr>
          <w:rFonts w:cs="Arial"/>
        </w:rPr>
        <w:t xml:space="preserve"> </w:t>
      </w:r>
      <w:r w:rsidR="00BB6F7C">
        <w:rPr>
          <w:rFonts w:cs="Arial"/>
        </w:rPr>
        <w:t>Sur une base organique, l</w:t>
      </w:r>
      <w:r w:rsidR="00F742B1">
        <w:rPr>
          <w:rFonts w:cs="Arial"/>
        </w:rPr>
        <w:t>e secteur de l’Industrie est de loin le plus</w:t>
      </w:r>
      <w:r w:rsidR="0098686D">
        <w:rPr>
          <w:rFonts w:cs="Arial"/>
        </w:rPr>
        <w:t xml:space="preserve"> affect</w:t>
      </w:r>
      <w:r w:rsidR="00FD5501">
        <w:rPr>
          <w:rFonts w:cs="Arial"/>
        </w:rPr>
        <w:t xml:space="preserve">é par le ralentissement de l’activité. </w:t>
      </w:r>
      <w:r w:rsidR="001365F8">
        <w:rPr>
          <w:rFonts w:cs="Arial"/>
        </w:rPr>
        <w:t>En revanche, le</w:t>
      </w:r>
      <w:r w:rsidR="009D6FA9">
        <w:rPr>
          <w:rFonts w:cs="Arial"/>
        </w:rPr>
        <w:t xml:space="preserve"> secteur publi</w:t>
      </w:r>
      <w:r w:rsidR="00F639C7">
        <w:rPr>
          <w:rFonts w:cs="Arial"/>
        </w:rPr>
        <w:t>c</w:t>
      </w:r>
      <w:r w:rsidR="009D6FA9">
        <w:rPr>
          <w:rFonts w:cs="Arial"/>
        </w:rPr>
        <w:t xml:space="preserve"> </w:t>
      </w:r>
      <w:r w:rsidR="00CB4316">
        <w:rPr>
          <w:rFonts w:cs="Arial"/>
        </w:rPr>
        <w:t>a maintenu une croissance solide</w:t>
      </w:r>
      <w:r w:rsidR="00F639C7">
        <w:rPr>
          <w:rFonts w:cs="Arial"/>
        </w:rPr>
        <w:t xml:space="preserve"> tandis que </w:t>
      </w:r>
      <w:r w:rsidR="00CB4316">
        <w:rPr>
          <w:rFonts w:cs="Arial"/>
        </w:rPr>
        <w:t xml:space="preserve">celui de l’Energie &amp; </w:t>
      </w:r>
      <w:r w:rsidR="007C6BBB">
        <w:rPr>
          <w:rFonts w:cs="Arial"/>
          <w:i/>
          <w:iCs/>
        </w:rPr>
        <w:t>Utilities</w:t>
      </w:r>
      <w:r w:rsidR="007C6BBB">
        <w:rPr>
          <w:rFonts w:cs="Arial"/>
        </w:rPr>
        <w:t xml:space="preserve"> a démontré une belle </w:t>
      </w:r>
      <w:r w:rsidR="00B05D28">
        <w:rPr>
          <w:rFonts w:cs="Arial"/>
        </w:rPr>
        <w:t>résilience</w:t>
      </w:r>
      <w:r w:rsidR="007C6BBB">
        <w:rPr>
          <w:rFonts w:cs="Arial"/>
        </w:rPr>
        <w:t>.</w:t>
      </w:r>
      <w:r w:rsidR="00F0701A" w:rsidRPr="2C79DB7B">
        <w:rPr>
          <w:rFonts w:cs="Arial"/>
        </w:rPr>
        <w:t xml:space="preserve"> </w:t>
      </w:r>
      <w:r w:rsidR="00D02899">
        <w:rPr>
          <w:rFonts w:cs="Arial"/>
        </w:rPr>
        <w:t>Au sein du Groupe, l</w:t>
      </w:r>
      <w:r w:rsidR="00CE5D8C" w:rsidRPr="2C79DB7B">
        <w:rPr>
          <w:rFonts w:cs="Arial"/>
        </w:rPr>
        <w:t>a France</w:t>
      </w:r>
      <w:r w:rsidR="00677F85" w:rsidRPr="2C79DB7B">
        <w:rPr>
          <w:rFonts w:cs="Arial"/>
        </w:rPr>
        <w:t xml:space="preserve"> </w:t>
      </w:r>
      <w:r w:rsidR="002A1A5B" w:rsidRPr="2C79DB7B">
        <w:rPr>
          <w:rFonts w:cs="Arial"/>
        </w:rPr>
        <w:t xml:space="preserve">est </w:t>
      </w:r>
      <w:r w:rsidR="008333E2">
        <w:rPr>
          <w:rFonts w:cs="Arial"/>
        </w:rPr>
        <w:t xml:space="preserve">cependant </w:t>
      </w:r>
      <w:r w:rsidR="002A1A5B" w:rsidRPr="2C79DB7B">
        <w:rPr>
          <w:rFonts w:cs="Arial"/>
        </w:rPr>
        <w:t>la région qui enregistre</w:t>
      </w:r>
      <w:r w:rsidR="00677F85" w:rsidRPr="2C79DB7B">
        <w:rPr>
          <w:rFonts w:cs="Arial"/>
        </w:rPr>
        <w:t xml:space="preserve"> l’impact le plus sensible de la pandémie sur </w:t>
      </w:r>
      <w:r w:rsidR="009E1481" w:rsidRPr="2C79DB7B">
        <w:rPr>
          <w:rFonts w:cs="Arial"/>
        </w:rPr>
        <w:t>son activité avec un</w:t>
      </w:r>
      <w:r w:rsidR="0042147D" w:rsidRPr="2C79DB7B">
        <w:rPr>
          <w:rFonts w:cs="Arial"/>
        </w:rPr>
        <w:t xml:space="preserve">e contraction </w:t>
      </w:r>
      <w:r w:rsidR="008415D2" w:rsidRPr="2C79DB7B">
        <w:rPr>
          <w:rFonts w:cs="Arial"/>
        </w:rPr>
        <w:t xml:space="preserve">marquée de son </w:t>
      </w:r>
      <w:r w:rsidR="001F1CB9" w:rsidRPr="2C79DB7B">
        <w:rPr>
          <w:rFonts w:cs="Arial"/>
        </w:rPr>
        <w:t>chiffre d’affaires</w:t>
      </w:r>
      <w:r w:rsidR="008415D2" w:rsidRPr="2C79DB7B">
        <w:rPr>
          <w:rFonts w:cs="Arial"/>
        </w:rPr>
        <w:t xml:space="preserve"> </w:t>
      </w:r>
      <w:r w:rsidR="00C7339E" w:rsidRPr="2C79DB7B">
        <w:rPr>
          <w:rFonts w:cs="Arial"/>
        </w:rPr>
        <w:t xml:space="preserve">à périmètre </w:t>
      </w:r>
      <w:r w:rsidR="001D0E81" w:rsidRPr="2C79DB7B">
        <w:rPr>
          <w:rFonts w:cs="Arial"/>
        </w:rPr>
        <w:t>constant</w:t>
      </w:r>
      <w:r w:rsidR="00B51008" w:rsidRPr="2C79DB7B">
        <w:rPr>
          <w:rFonts w:cs="Arial"/>
        </w:rPr>
        <w:t xml:space="preserve"> </w:t>
      </w:r>
      <w:r w:rsidR="00655036" w:rsidRPr="2C79DB7B">
        <w:rPr>
          <w:rFonts w:cs="Arial"/>
        </w:rPr>
        <w:t>mais aussi</w:t>
      </w:r>
      <w:r w:rsidR="008415D2" w:rsidRPr="2C79DB7B">
        <w:rPr>
          <w:rFonts w:cs="Arial"/>
        </w:rPr>
        <w:t xml:space="preserve"> de </w:t>
      </w:r>
      <w:r w:rsidR="00D25F5E" w:rsidRPr="2C79DB7B">
        <w:rPr>
          <w:rFonts w:cs="Arial"/>
        </w:rPr>
        <w:t>s</w:t>
      </w:r>
      <w:r w:rsidR="00677F85" w:rsidRPr="2C79DB7B">
        <w:rPr>
          <w:rFonts w:cs="Arial"/>
        </w:rPr>
        <w:t xml:space="preserve">a marge opérationnelle </w:t>
      </w:r>
      <w:r w:rsidR="002A1A5B" w:rsidRPr="2C79DB7B">
        <w:rPr>
          <w:rFonts w:ascii="Verdana" w:hAnsi="Verdana" w:cs="Arial"/>
        </w:rPr>
        <w:t xml:space="preserve">qui </w:t>
      </w:r>
      <w:r w:rsidR="004B463F" w:rsidRPr="2C79DB7B">
        <w:rPr>
          <w:rFonts w:ascii="Verdana" w:hAnsi="Verdana" w:cs="Arial"/>
        </w:rPr>
        <w:t>recule</w:t>
      </w:r>
      <w:r w:rsidR="000448F3" w:rsidRPr="2C79DB7B">
        <w:rPr>
          <w:rFonts w:ascii="Verdana" w:hAnsi="Verdana" w:cs="Arial"/>
        </w:rPr>
        <w:t xml:space="preserve"> de 270 points de base par rapport à l’année précédente</w:t>
      </w:r>
      <w:r w:rsidR="002A1A5B" w:rsidRPr="2C79DB7B">
        <w:rPr>
          <w:rFonts w:ascii="Verdana" w:hAnsi="Verdana" w:cs="Arial"/>
        </w:rPr>
        <w:t xml:space="preserve"> pour s’établir à 6,9%.</w:t>
      </w:r>
      <w:r w:rsidR="00B46CC8" w:rsidRPr="2C79DB7B">
        <w:rPr>
          <w:rFonts w:ascii="Verdana" w:hAnsi="Verdana" w:cs="Arial"/>
        </w:rPr>
        <w:t xml:space="preserve"> </w:t>
      </w:r>
    </w:p>
    <w:p w14:paraId="6DC58424" w14:textId="0147C6EA" w:rsidR="00B00202" w:rsidRPr="002F446E" w:rsidRDefault="00230C70" w:rsidP="00907331">
      <w:pPr>
        <w:spacing w:before="120" w:after="120" w:line="276" w:lineRule="auto"/>
        <w:rPr>
          <w:rFonts w:ascii="Verdana" w:hAnsi="Verdana" w:cs="Arial"/>
        </w:rPr>
      </w:pPr>
      <w:r w:rsidRPr="002F446E">
        <w:rPr>
          <w:rFonts w:cs="Arial"/>
        </w:rPr>
        <w:t xml:space="preserve">La région </w:t>
      </w:r>
      <w:r w:rsidRPr="002F446E">
        <w:rPr>
          <w:rFonts w:cs="Arial"/>
          <w:b/>
        </w:rPr>
        <w:t>Reste de l’Europe</w:t>
      </w:r>
      <w:r w:rsidRPr="002F446E">
        <w:rPr>
          <w:rFonts w:cs="Arial"/>
        </w:rPr>
        <w:t xml:space="preserve"> </w:t>
      </w:r>
      <w:r w:rsidR="009B1BA5">
        <w:rPr>
          <w:rFonts w:cs="Arial"/>
        </w:rPr>
        <w:t>enregistre</w:t>
      </w:r>
      <w:r w:rsidR="00510CED">
        <w:rPr>
          <w:rFonts w:cs="Arial"/>
        </w:rPr>
        <w:t>, avec l’apport du chiffre d’affaires d’Altran,</w:t>
      </w:r>
      <w:r w:rsidR="009B1BA5">
        <w:rPr>
          <w:rFonts w:cs="Arial"/>
        </w:rPr>
        <w:t xml:space="preserve"> une </w:t>
      </w:r>
      <w:r w:rsidRPr="00354C9E">
        <w:rPr>
          <w:rFonts w:cs="Arial"/>
        </w:rPr>
        <w:t xml:space="preserve">progression de </w:t>
      </w:r>
      <w:r w:rsidR="0098714B">
        <w:rPr>
          <w:rFonts w:cs="Arial"/>
        </w:rPr>
        <w:t>+</w:t>
      </w:r>
      <w:r w:rsidR="00354C9E" w:rsidRPr="00354C9E">
        <w:rPr>
          <w:rFonts w:cs="Arial"/>
        </w:rPr>
        <w:t>15,1</w:t>
      </w:r>
      <w:r w:rsidRPr="00354C9E">
        <w:rPr>
          <w:rFonts w:cs="Arial"/>
        </w:rPr>
        <w:t>% à taux de change constants</w:t>
      </w:r>
      <w:r w:rsidR="001875E7" w:rsidRPr="00354C9E">
        <w:rPr>
          <w:rFonts w:cs="Arial"/>
        </w:rPr>
        <w:t xml:space="preserve">. </w:t>
      </w:r>
      <w:r w:rsidR="00EC1B6D">
        <w:rPr>
          <w:rFonts w:cs="Arial"/>
        </w:rPr>
        <w:t xml:space="preserve">Sur une base organique, </w:t>
      </w:r>
      <w:r w:rsidR="00D54F86">
        <w:rPr>
          <w:rFonts w:cs="Arial"/>
        </w:rPr>
        <w:t xml:space="preserve">la dynamique régionale a </w:t>
      </w:r>
      <w:r w:rsidR="007236BC">
        <w:rPr>
          <w:rFonts w:cs="Arial"/>
        </w:rPr>
        <w:t>démontré</w:t>
      </w:r>
      <w:r w:rsidR="00D54F86">
        <w:rPr>
          <w:rFonts w:cs="Arial"/>
        </w:rPr>
        <w:t xml:space="preserve"> une résilience en ligne avec celle du Groupe, </w:t>
      </w:r>
      <w:r w:rsidR="00220DAD">
        <w:rPr>
          <w:rFonts w:cs="Arial"/>
        </w:rPr>
        <w:t>alimentée par</w:t>
      </w:r>
      <w:r w:rsidR="00AF04C1">
        <w:rPr>
          <w:rFonts w:cs="Arial"/>
        </w:rPr>
        <w:t xml:space="preserve"> </w:t>
      </w:r>
      <w:r w:rsidR="00D54F86">
        <w:rPr>
          <w:rFonts w:cs="Arial"/>
        </w:rPr>
        <w:t xml:space="preserve">la croissance </w:t>
      </w:r>
      <w:r w:rsidR="0055727F">
        <w:rPr>
          <w:rFonts w:cs="Arial"/>
        </w:rPr>
        <w:t>organiqu</w:t>
      </w:r>
      <w:r w:rsidR="006A75BA">
        <w:rPr>
          <w:rFonts w:cs="Arial"/>
        </w:rPr>
        <w:t xml:space="preserve">e </w:t>
      </w:r>
      <w:r w:rsidR="00217BE4">
        <w:rPr>
          <w:rFonts w:cs="Arial"/>
        </w:rPr>
        <w:t>dans le</w:t>
      </w:r>
      <w:r w:rsidR="008F0A2C">
        <w:rPr>
          <w:rFonts w:cs="Arial"/>
        </w:rPr>
        <w:t xml:space="preserve"> Secteur public </w:t>
      </w:r>
      <w:r w:rsidR="007A5380">
        <w:rPr>
          <w:rFonts w:cs="Arial"/>
        </w:rPr>
        <w:t xml:space="preserve">et </w:t>
      </w:r>
      <w:r w:rsidR="00217BE4">
        <w:rPr>
          <w:rFonts w:cs="Arial"/>
        </w:rPr>
        <w:t xml:space="preserve">celui de l’Energie &amp; </w:t>
      </w:r>
      <w:r w:rsidR="00217BE4">
        <w:rPr>
          <w:rFonts w:cs="Arial"/>
          <w:i/>
          <w:iCs/>
        </w:rPr>
        <w:t>Utilities</w:t>
      </w:r>
      <w:r w:rsidR="00E4218C" w:rsidRPr="00EB1F46">
        <w:rPr>
          <w:rFonts w:cs="Arial"/>
        </w:rPr>
        <w:t>.</w:t>
      </w:r>
      <w:r w:rsidR="00E4218C">
        <w:rPr>
          <w:rFonts w:cs="Arial"/>
        </w:rPr>
        <w:t xml:space="preserve"> L</w:t>
      </w:r>
      <w:r w:rsidR="00662042" w:rsidRPr="008208EE">
        <w:rPr>
          <w:rFonts w:cs="Arial"/>
        </w:rPr>
        <w:t xml:space="preserve">a région enregistre un </w:t>
      </w:r>
      <w:r w:rsidR="00EC7E63">
        <w:rPr>
          <w:rFonts w:cs="Arial"/>
        </w:rPr>
        <w:t xml:space="preserve">léger </w:t>
      </w:r>
      <w:r w:rsidR="00662042" w:rsidRPr="008208EE">
        <w:rPr>
          <w:rFonts w:cs="Arial"/>
        </w:rPr>
        <w:t xml:space="preserve">tassement de sa marge opérationnelle qui </w:t>
      </w:r>
      <w:r w:rsidR="002259B1">
        <w:rPr>
          <w:rFonts w:cs="Arial"/>
        </w:rPr>
        <w:t xml:space="preserve">s’élève </w:t>
      </w:r>
      <w:r w:rsidR="009B07B5">
        <w:rPr>
          <w:rFonts w:cs="Arial"/>
        </w:rPr>
        <w:t>à</w:t>
      </w:r>
      <w:r w:rsidR="00662042" w:rsidRPr="008208EE">
        <w:rPr>
          <w:rFonts w:cs="Arial"/>
        </w:rPr>
        <w:t xml:space="preserve"> </w:t>
      </w:r>
      <w:r w:rsidR="002259B1">
        <w:rPr>
          <w:rFonts w:cs="Arial"/>
        </w:rPr>
        <w:t>10,2</w:t>
      </w:r>
      <w:r w:rsidR="00662042" w:rsidRPr="008208EE">
        <w:rPr>
          <w:rFonts w:cs="Arial"/>
        </w:rPr>
        <w:t xml:space="preserve">% contre </w:t>
      </w:r>
      <w:r w:rsidR="002259B1">
        <w:rPr>
          <w:rFonts w:cs="Arial"/>
        </w:rPr>
        <w:t>11,3</w:t>
      </w:r>
      <w:r w:rsidR="00662042" w:rsidRPr="008208EE">
        <w:rPr>
          <w:rFonts w:cs="Arial"/>
        </w:rPr>
        <w:t>% un an plus tôt.</w:t>
      </w:r>
    </w:p>
    <w:p w14:paraId="4D6B4400" w14:textId="4D8C114F" w:rsidR="00B00202" w:rsidRPr="002F446E" w:rsidRDefault="00230C70" w:rsidP="00907331">
      <w:pPr>
        <w:spacing w:before="120" w:after="120" w:line="276" w:lineRule="auto"/>
        <w:rPr>
          <w:rFonts w:ascii="Verdana" w:hAnsi="Verdana" w:cs="Arial"/>
        </w:rPr>
      </w:pPr>
      <w:r w:rsidRPr="002F446E">
        <w:rPr>
          <w:rFonts w:cs="Arial"/>
        </w:rPr>
        <w:t xml:space="preserve">Enfin, </w:t>
      </w:r>
      <w:r w:rsidR="00E5378A">
        <w:rPr>
          <w:rFonts w:cs="Arial"/>
        </w:rPr>
        <w:t>la</w:t>
      </w:r>
      <w:r w:rsidRPr="002F446E">
        <w:rPr>
          <w:rFonts w:cs="Arial"/>
        </w:rPr>
        <w:t xml:space="preserve"> région </w:t>
      </w:r>
      <w:bookmarkStart w:id="13" w:name="_Hlk48146369"/>
      <w:r w:rsidRPr="002F446E">
        <w:rPr>
          <w:rFonts w:cs="Arial"/>
          <w:b/>
        </w:rPr>
        <w:t xml:space="preserve">Asie-Pacifique et Amérique </w:t>
      </w:r>
      <w:r w:rsidR="00417542" w:rsidRPr="002F446E">
        <w:rPr>
          <w:rFonts w:cs="Arial"/>
          <w:b/>
        </w:rPr>
        <w:t>l</w:t>
      </w:r>
      <w:r w:rsidRPr="002F446E">
        <w:rPr>
          <w:rFonts w:cs="Arial"/>
          <w:b/>
        </w:rPr>
        <w:t>atine</w:t>
      </w:r>
      <w:r w:rsidRPr="002F446E">
        <w:rPr>
          <w:rFonts w:cs="Arial"/>
        </w:rPr>
        <w:t xml:space="preserve"> </w:t>
      </w:r>
      <w:bookmarkEnd w:id="13"/>
      <w:r w:rsidR="00C97032">
        <w:rPr>
          <w:rFonts w:cs="Arial"/>
        </w:rPr>
        <w:t>reste</w:t>
      </w:r>
      <w:r w:rsidR="00E5378A">
        <w:rPr>
          <w:rFonts w:cs="Arial"/>
        </w:rPr>
        <w:t xml:space="preserve"> dynamique</w:t>
      </w:r>
      <w:r w:rsidR="00820C28">
        <w:rPr>
          <w:rFonts w:cs="Arial"/>
        </w:rPr>
        <w:t xml:space="preserve"> </w:t>
      </w:r>
      <w:r w:rsidRPr="00354C9E">
        <w:rPr>
          <w:rFonts w:cs="Arial"/>
        </w:rPr>
        <w:t xml:space="preserve">avec une hausse de </w:t>
      </w:r>
      <w:r w:rsidR="0098714B">
        <w:rPr>
          <w:rFonts w:cs="Arial"/>
        </w:rPr>
        <w:t>+</w:t>
      </w:r>
      <w:r w:rsidR="00354C9E" w:rsidRPr="00354C9E">
        <w:rPr>
          <w:rFonts w:cs="Arial"/>
        </w:rPr>
        <w:t>11,4</w:t>
      </w:r>
      <w:r w:rsidRPr="00354C9E">
        <w:rPr>
          <w:rFonts w:cs="Arial"/>
        </w:rPr>
        <w:t>% de son chiffre d’affaires</w:t>
      </w:r>
      <w:r w:rsidR="00B46CC8">
        <w:rPr>
          <w:rFonts w:cs="Arial"/>
        </w:rPr>
        <w:t xml:space="preserve"> à taux de change constants</w:t>
      </w:r>
      <w:r w:rsidR="009B595B">
        <w:rPr>
          <w:rFonts w:cs="Arial"/>
        </w:rPr>
        <w:t xml:space="preserve">, une performance </w:t>
      </w:r>
      <w:r w:rsidR="007E1E93">
        <w:rPr>
          <w:rFonts w:cs="Arial"/>
        </w:rPr>
        <w:t xml:space="preserve">notable </w:t>
      </w:r>
      <w:r w:rsidR="00134A44">
        <w:rPr>
          <w:rFonts w:cs="Arial"/>
        </w:rPr>
        <w:t>puisque</w:t>
      </w:r>
      <w:r w:rsidR="009B595B">
        <w:rPr>
          <w:rFonts w:cs="Arial"/>
        </w:rPr>
        <w:t xml:space="preserve"> </w:t>
      </w:r>
      <w:r w:rsidR="00255B35">
        <w:rPr>
          <w:rFonts w:cs="Arial"/>
        </w:rPr>
        <w:t>l’impact de l’acquisition</w:t>
      </w:r>
      <w:r w:rsidR="009B595B">
        <w:rPr>
          <w:rFonts w:cs="Arial"/>
        </w:rPr>
        <w:t xml:space="preserve"> </w:t>
      </w:r>
      <w:r w:rsidR="004B463F">
        <w:rPr>
          <w:rFonts w:cs="Arial"/>
        </w:rPr>
        <w:t>d’Altran</w:t>
      </w:r>
      <w:r w:rsidR="003C118A">
        <w:rPr>
          <w:rFonts w:cs="Arial"/>
        </w:rPr>
        <w:t xml:space="preserve"> </w:t>
      </w:r>
      <w:r w:rsidR="009B595B">
        <w:rPr>
          <w:rFonts w:cs="Arial"/>
        </w:rPr>
        <w:t xml:space="preserve">est </w:t>
      </w:r>
      <w:r w:rsidR="00791DE5">
        <w:rPr>
          <w:rFonts w:cs="Arial"/>
        </w:rPr>
        <w:t xml:space="preserve">plus </w:t>
      </w:r>
      <w:r w:rsidR="009B595B">
        <w:rPr>
          <w:rFonts w:cs="Arial"/>
        </w:rPr>
        <w:t>limité</w:t>
      </w:r>
      <w:r w:rsidR="00413AD8">
        <w:rPr>
          <w:rFonts w:cs="Arial"/>
        </w:rPr>
        <w:t xml:space="preserve"> dans cette région.</w:t>
      </w:r>
      <w:r w:rsidRPr="00354C9E">
        <w:rPr>
          <w:rFonts w:cs="Arial"/>
        </w:rPr>
        <w:t xml:space="preserve"> </w:t>
      </w:r>
      <w:r w:rsidR="00364266">
        <w:rPr>
          <w:rFonts w:cs="Arial"/>
        </w:rPr>
        <w:t xml:space="preserve">La région enregistre </w:t>
      </w:r>
      <w:r w:rsidR="004B15B3">
        <w:rPr>
          <w:rFonts w:cs="Arial"/>
        </w:rPr>
        <w:t>en effet</w:t>
      </w:r>
      <w:r w:rsidR="00F5786C">
        <w:rPr>
          <w:rFonts w:cs="Arial"/>
        </w:rPr>
        <w:t xml:space="preserve"> </w:t>
      </w:r>
      <w:r w:rsidR="00364266">
        <w:rPr>
          <w:rFonts w:cs="Arial"/>
        </w:rPr>
        <w:t>une belle</w:t>
      </w:r>
      <w:r w:rsidR="003F7803">
        <w:rPr>
          <w:rFonts w:cs="Arial"/>
        </w:rPr>
        <w:t xml:space="preserve"> croissance organique, dont l</w:t>
      </w:r>
      <w:r w:rsidR="00C97032">
        <w:rPr>
          <w:rFonts w:cs="Arial"/>
        </w:rPr>
        <w:t xml:space="preserve">es principaux contributeurs </w:t>
      </w:r>
      <w:r w:rsidR="00852475">
        <w:rPr>
          <w:rFonts w:cs="Arial"/>
        </w:rPr>
        <w:t>sont</w:t>
      </w:r>
      <w:r w:rsidR="00134A44">
        <w:rPr>
          <w:rFonts w:cs="Arial"/>
        </w:rPr>
        <w:t xml:space="preserve"> </w:t>
      </w:r>
      <w:r w:rsidR="00C557C3" w:rsidRPr="00C557C3">
        <w:rPr>
          <w:rFonts w:cs="Arial"/>
        </w:rPr>
        <w:t>les</w:t>
      </w:r>
      <w:r w:rsidRPr="00C557C3">
        <w:rPr>
          <w:rFonts w:cs="Arial"/>
        </w:rPr>
        <w:t xml:space="preserve"> Services financiers,</w:t>
      </w:r>
      <w:r w:rsidR="00C557C3">
        <w:rPr>
          <w:rFonts w:cs="Arial"/>
        </w:rPr>
        <w:t xml:space="preserve"> ainsi que le secteur des Services et Energie &amp; </w:t>
      </w:r>
      <w:r w:rsidR="00C557C3" w:rsidRPr="00D7255F">
        <w:rPr>
          <w:rFonts w:cs="Arial"/>
          <w:i/>
          <w:iCs/>
        </w:rPr>
        <w:t xml:space="preserve">Utilities </w:t>
      </w:r>
      <w:r w:rsidR="00C557C3">
        <w:rPr>
          <w:rFonts w:cs="Arial"/>
        </w:rPr>
        <w:t xml:space="preserve">dans </w:t>
      </w:r>
      <w:r w:rsidR="00965A8D">
        <w:rPr>
          <w:rFonts w:cs="Arial"/>
        </w:rPr>
        <w:t>une moindre mesure</w:t>
      </w:r>
      <w:r w:rsidRPr="008208EE">
        <w:rPr>
          <w:rFonts w:cs="Arial"/>
        </w:rPr>
        <w:t>.</w:t>
      </w:r>
      <w:r w:rsidR="003A5C07" w:rsidRPr="008208EE">
        <w:rPr>
          <w:rFonts w:cs="Arial"/>
        </w:rPr>
        <w:t xml:space="preserve"> </w:t>
      </w:r>
      <w:r w:rsidR="001875E7" w:rsidRPr="008208EE">
        <w:rPr>
          <w:rFonts w:cs="Arial"/>
        </w:rPr>
        <w:t>L</w:t>
      </w:r>
      <w:r w:rsidR="00B00202" w:rsidRPr="008208EE">
        <w:rPr>
          <w:rFonts w:ascii="Verdana" w:hAnsi="Verdana" w:cs="Arial"/>
        </w:rPr>
        <w:t xml:space="preserve">e taux de marge opérationnelle de la région </w:t>
      </w:r>
      <w:r w:rsidR="00EC7E63">
        <w:rPr>
          <w:rFonts w:ascii="Verdana" w:hAnsi="Verdana" w:cs="Arial"/>
        </w:rPr>
        <w:t>s’inscrit en recul limité</w:t>
      </w:r>
      <w:r w:rsidR="00662042" w:rsidRPr="008208EE">
        <w:rPr>
          <w:rFonts w:ascii="Verdana" w:hAnsi="Verdana" w:cs="Arial"/>
        </w:rPr>
        <w:t xml:space="preserve"> à 1</w:t>
      </w:r>
      <w:r w:rsidR="009B07B5">
        <w:rPr>
          <w:rFonts w:ascii="Verdana" w:hAnsi="Verdana" w:cs="Arial"/>
        </w:rPr>
        <w:t>0,5</w:t>
      </w:r>
      <w:r w:rsidR="00662042" w:rsidRPr="008208EE">
        <w:rPr>
          <w:rFonts w:ascii="Verdana" w:hAnsi="Verdana" w:cs="Arial"/>
        </w:rPr>
        <w:t xml:space="preserve">% contre </w:t>
      </w:r>
      <w:r w:rsidR="00460958" w:rsidRPr="008208EE">
        <w:rPr>
          <w:rFonts w:ascii="Verdana" w:hAnsi="Verdana" w:cs="Arial"/>
        </w:rPr>
        <w:t>11,</w:t>
      </w:r>
      <w:r w:rsidR="009B07B5">
        <w:rPr>
          <w:rFonts w:ascii="Verdana" w:hAnsi="Verdana" w:cs="Arial"/>
        </w:rPr>
        <w:t>4</w:t>
      </w:r>
      <w:r w:rsidR="00B00202" w:rsidRPr="008208EE">
        <w:rPr>
          <w:rFonts w:ascii="Verdana" w:hAnsi="Verdana" w:cs="Arial"/>
        </w:rPr>
        <w:t xml:space="preserve">% </w:t>
      </w:r>
      <w:r w:rsidR="00DB1B42" w:rsidRPr="008208EE">
        <w:rPr>
          <w:rFonts w:ascii="Verdana" w:hAnsi="Verdana" w:cs="Arial"/>
        </w:rPr>
        <w:t>au 1</w:t>
      </w:r>
      <w:r w:rsidR="00DB1B42" w:rsidRPr="008208EE">
        <w:rPr>
          <w:rFonts w:ascii="Verdana" w:hAnsi="Verdana" w:cs="Arial"/>
          <w:vertAlign w:val="superscript"/>
        </w:rPr>
        <w:t>er</w:t>
      </w:r>
      <w:r w:rsidR="00DB1B42" w:rsidRPr="008208EE">
        <w:rPr>
          <w:rFonts w:ascii="Verdana" w:hAnsi="Verdana" w:cs="Arial"/>
        </w:rPr>
        <w:t xml:space="preserve"> semestre </w:t>
      </w:r>
      <w:r w:rsidR="00580CAF" w:rsidRPr="008208EE">
        <w:rPr>
          <w:rFonts w:ascii="Verdana" w:hAnsi="Verdana" w:cs="Arial"/>
        </w:rPr>
        <w:t>2019</w:t>
      </w:r>
      <w:r w:rsidR="00B00202" w:rsidRPr="008208EE">
        <w:rPr>
          <w:rFonts w:ascii="Verdana" w:hAnsi="Verdana" w:cs="Arial"/>
        </w:rPr>
        <w:t>.</w:t>
      </w:r>
    </w:p>
    <w:bookmarkEnd w:id="10"/>
    <w:p w14:paraId="271C95A2" w14:textId="77777777" w:rsidR="00B00202" w:rsidRPr="002F446E" w:rsidRDefault="00B00202" w:rsidP="00907331">
      <w:pPr>
        <w:spacing w:before="120" w:after="120" w:line="276" w:lineRule="auto"/>
        <w:rPr>
          <w:rFonts w:ascii="Verdana" w:hAnsi="Verdana" w:cs="Arial"/>
        </w:rPr>
      </w:pPr>
    </w:p>
    <w:p w14:paraId="255929BA" w14:textId="2DAB6F15" w:rsidR="00D159DD" w:rsidRDefault="00921A82" w:rsidP="00907331">
      <w:pPr>
        <w:pStyle w:val="Heading1"/>
        <w:spacing w:line="276" w:lineRule="auto"/>
        <w:jc w:val="left"/>
        <w:rPr>
          <w:caps w:val="0"/>
        </w:rPr>
      </w:pPr>
      <w:r>
        <w:rPr>
          <w:caps w:val="0"/>
        </w:rPr>
        <w:t>EVOLUTION DE L’</w:t>
      </w:r>
      <w:r w:rsidR="00C96D53" w:rsidRPr="00325F27">
        <w:rPr>
          <w:caps w:val="0"/>
        </w:rPr>
        <w:t>ACTIVITÉ PAR M</w:t>
      </w:r>
      <w:r w:rsidR="00D159DD" w:rsidRPr="00325F27">
        <w:rPr>
          <w:caps w:val="0"/>
        </w:rPr>
        <w:t>É</w:t>
      </w:r>
      <w:r w:rsidR="00C96D53" w:rsidRPr="00325F27">
        <w:rPr>
          <w:caps w:val="0"/>
        </w:rPr>
        <w:t>TIER</w:t>
      </w:r>
    </w:p>
    <w:tbl>
      <w:tblPr>
        <w:tblW w:w="8280" w:type="dxa"/>
        <w:jc w:val="center"/>
        <w:tblLayout w:type="fixed"/>
        <w:tblCellMar>
          <w:left w:w="0" w:type="dxa"/>
          <w:right w:w="0" w:type="dxa"/>
        </w:tblCellMar>
        <w:tblLook w:val="01E0" w:firstRow="1" w:lastRow="1" w:firstColumn="1" w:lastColumn="1" w:noHBand="0" w:noVBand="0"/>
      </w:tblPr>
      <w:tblGrid>
        <w:gridCol w:w="3261"/>
        <w:gridCol w:w="57"/>
        <w:gridCol w:w="1502"/>
        <w:gridCol w:w="1644"/>
        <w:gridCol w:w="1559"/>
        <w:gridCol w:w="257"/>
      </w:tblGrid>
      <w:tr w:rsidR="00775468" w:rsidRPr="00F70D7D" w14:paraId="1C5634A7" w14:textId="77777777" w:rsidTr="00F34A82">
        <w:trPr>
          <w:trHeight w:hRule="exact" w:val="620"/>
          <w:jc w:val="center"/>
        </w:trPr>
        <w:tc>
          <w:tcPr>
            <w:tcW w:w="3261" w:type="dxa"/>
          </w:tcPr>
          <w:p w14:paraId="42657062" w14:textId="77777777" w:rsidR="00775468" w:rsidRPr="00F70D7D" w:rsidRDefault="00775468" w:rsidP="00F34A82">
            <w:pPr>
              <w:keepNext/>
              <w:rPr>
                <w:sz w:val="16"/>
                <w:szCs w:val="16"/>
              </w:rPr>
            </w:pPr>
          </w:p>
        </w:tc>
        <w:tc>
          <w:tcPr>
            <w:tcW w:w="57" w:type="dxa"/>
          </w:tcPr>
          <w:p w14:paraId="48954009" w14:textId="77777777" w:rsidR="00775468" w:rsidRPr="00F70D7D" w:rsidRDefault="00775468" w:rsidP="00F34A82">
            <w:pPr>
              <w:pStyle w:val="TableParagraph"/>
              <w:keepNext/>
              <w:ind w:right="105"/>
              <w:jc w:val="center"/>
              <w:rPr>
                <w:b/>
                <w:sz w:val="16"/>
                <w:szCs w:val="16"/>
                <w:lang w:val="fr-FR"/>
              </w:rPr>
            </w:pPr>
          </w:p>
        </w:tc>
        <w:tc>
          <w:tcPr>
            <w:tcW w:w="4962" w:type="dxa"/>
            <w:gridSpan w:val="4"/>
            <w:tcBorders>
              <w:bottom w:val="single" w:sz="8" w:space="0" w:color="0070AD" w:themeColor="accent1"/>
            </w:tcBorders>
            <w:vAlign w:val="center"/>
          </w:tcPr>
          <w:p w14:paraId="76EA79F9" w14:textId="32E851D6" w:rsidR="00775468" w:rsidRPr="00F70D7D" w:rsidRDefault="00775468" w:rsidP="00D96326">
            <w:pPr>
              <w:pStyle w:val="TableParagraph"/>
              <w:keepNext/>
              <w:ind w:right="-1"/>
              <w:jc w:val="center"/>
              <w:rPr>
                <w:b/>
                <w:sz w:val="16"/>
                <w:szCs w:val="16"/>
                <w:lang w:val="fr-FR"/>
              </w:rPr>
            </w:pPr>
            <w:r w:rsidRPr="00F70D7D">
              <w:rPr>
                <w:b/>
                <w:sz w:val="16"/>
                <w:szCs w:val="16"/>
                <w:lang w:val="fr-FR"/>
              </w:rPr>
              <w:t xml:space="preserve">Variation du chiffre d’affaires </w:t>
            </w:r>
            <w:r>
              <w:rPr>
                <w:b/>
                <w:sz w:val="16"/>
                <w:szCs w:val="16"/>
                <w:lang w:val="fr-FR"/>
              </w:rPr>
              <w:t>total</w:t>
            </w:r>
            <w:r w:rsidR="00C13AD5" w:rsidRPr="006B1196">
              <w:rPr>
                <w:b/>
                <w:sz w:val="16"/>
                <w:szCs w:val="16"/>
                <w:vertAlign w:val="superscript"/>
                <w:lang w:val="fr-FR"/>
              </w:rPr>
              <w:t>*</w:t>
            </w:r>
            <w:r w:rsidR="00C13AD5">
              <w:rPr>
                <w:b/>
                <w:sz w:val="16"/>
                <w:szCs w:val="16"/>
                <w:lang w:val="fr-FR"/>
              </w:rPr>
              <w:t xml:space="preserve"> </w:t>
            </w:r>
            <w:r w:rsidR="00BF3BCD">
              <w:rPr>
                <w:b/>
                <w:sz w:val="16"/>
                <w:szCs w:val="16"/>
                <w:lang w:val="fr-FR"/>
              </w:rPr>
              <w:t>du</w:t>
            </w:r>
            <w:r w:rsidR="00C13AD5">
              <w:rPr>
                <w:b/>
                <w:sz w:val="16"/>
                <w:szCs w:val="16"/>
                <w:lang w:val="fr-FR"/>
              </w:rPr>
              <w:t xml:space="preserve"> métier </w:t>
            </w:r>
            <w:r w:rsidRPr="00F70D7D">
              <w:rPr>
                <w:b/>
                <w:sz w:val="16"/>
                <w:szCs w:val="16"/>
                <w:lang w:val="fr-FR"/>
              </w:rPr>
              <w:t>par rapport à 2019</w:t>
            </w:r>
            <w:r w:rsidR="00BE474E">
              <w:rPr>
                <w:b/>
                <w:sz w:val="16"/>
                <w:szCs w:val="16"/>
                <w:lang w:val="fr-FR"/>
              </w:rPr>
              <w:t xml:space="preserve"> </w:t>
            </w:r>
            <w:r w:rsidRPr="00F70D7D">
              <w:rPr>
                <w:b/>
                <w:sz w:val="16"/>
                <w:szCs w:val="16"/>
                <w:lang w:val="fr-FR"/>
              </w:rPr>
              <w:t>à taux de change constants</w:t>
            </w:r>
          </w:p>
        </w:tc>
      </w:tr>
      <w:tr w:rsidR="00775468" w:rsidRPr="00F70D7D" w14:paraId="231F9599" w14:textId="77777777" w:rsidTr="006B1196">
        <w:trPr>
          <w:trHeight w:hRule="exact" w:val="498"/>
          <w:jc w:val="center"/>
        </w:trPr>
        <w:tc>
          <w:tcPr>
            <w:tcW w:w="3261" w:type="dxa"/>
            <w:tcBorders>
              <w:bottom w:val="single" w:sz="8" w:space="0" w:color="0070AD" w:themeColor="accent1"/>
            </w:tcBorders>
          </w:tcPr>
          <w:p w14:paraId="322EB36D" w14:textId="77777777" w:rsidR="00775468" w:rsidRPr="00F70D7D" w:rsidRDefault="00775468" w:rsidP="00F34A82">
            <w:pPr>
              <w:keepNext/>
              <w:rPr>
                <w:sz w:val="16"/>
                <w:szCs w:val="16"/>
              </w:rPr>
            </w:pPr>
          </w:p>
        </w:tc>
        <w:tc>
          <w:tcPr>
            <w:tcW w:w="57" w:type="dxa"/>
            <w:tcBorders>
              <w:bottom w:val="single" w:sz="8" w:space="0" w:color="0070AD" w:themeColor="accent1"/>
            </w:tcBorders>
          </w:tcPr>
          <w:p w14:paraId="44A61E62" w14:textId="77777777" w:rsidR="00775468" w:rsidRPr="00F70D7D" w:rsidRDefault="00775468" w:rsidP="00F34A82">
            <w:pPr>
              <w:pStyle w:val="TableParagraph"/>
              <w:keepNext/>
              <w:spacing w:before="27"/>
              <w:ind w:right="162" w:firstLine="26"/>
              <w:jc w:val="center"/>
              <w:rPr>
                <w:b/>
                <w:sz w:val="16"/>
                <w:szCs w:val="16"/>
                <w:lang w:val="fr-FR"/>
              </w:rPr>
            </w:pPr>
          </w:p>
        </w:tc>
        <w:tc>
          <w:tcPr>
            <w:tcW w:w="1502" w:type="dxa"/>
            <w:tcBorders>
              <w:top w:val="single" w:sz="8" w:space="0" w:color="0070AD" w:themeColor="accent1"/>
              <w:bottom w:val="single" w:sz="8" w:space="0" w:color="0070AD" w:themeColor="accent1"/>
            </w:tcBorders>
            <w:vAlign w:val="center"/>
          </w:tcPr>
          <w:p w14:paraId="33E881E0" w14:textId="77777777" w:rsidR="00775468" w:rsidRPr="00F70D7D" w:rsidRDefault="00775468" w:rsidP="00F34A82">
            <w:pPr>
              <w:pStyle w:val="TableParagraph"/>
              <w:keepNext/>
              <w:spacing w:before="27"/>
              <w:jc w:val="center"/>
              <w:rPr>
                <w:rFonts w:eastAsia="Arial" w:cs="Arial"/>
                <w:b/>
                <w:sz w:val="16"/>
                <w:szCs w:val="16"/>
                <w:lang w:val="fr-FR"/>
              </w:rPr>
            </w:pPr>
            <w:r w:rsidRPr="00F70D7D">
              <w:rPr>
                <w:b/>
                <w:sz w:val="16"/>
                <w:szCs w:val="16"/>
                <w:lang w:val="fr-FR"/>
              </w:rPr>
              <w:t>1</w:t>
            </w:r>
            <w:r w:rsidRPr="00F70D7D">
              <w:rPr>
                <w:b/>
                <w:sz w:val="16"/>
                <w:szCs w:val="16"/>
                <w:vertAlign w:val="superscript"/>
                <w:lang w:val="fr-FR"/>
              </w:rPr>
              <w:t>er</w:t>
            </w:r>
            <w:r w:rsidRPr="00F70D7D">
              <w:rPr>
                <w:b/>
                <w:sz w:val="16"/>
                <w:szCs w:val="16"/>
                <w:lang w:val="fr-FR"/>
              </w:rPr>
              <w:t xml:space="preserve"> trimestre 2020</w:t>
            </w:r>
          </w:p>
        </w:tc>
        <w:tc>
          <w:tcPr>
            <w:tcW w:w="1644" w:type="dxa"/>
            <w:tcBorders>
              <w:top w:val="single" w:sz="8" w:space="0" w:color="0070AD" w:themeColor="accent1"/>
              <w:bottom w:val="single" w:sz="8" w:space="0" w:color="0070AD" w:themeColor="accent1"/>
            </w:tcBorders>
            <w:shd w:val="clear" w:color="auto" w:fill="FFFFFF" w:themeFill="background1"/>
            <w:vAlign w:val="center"/>
          </w:tcPr>
          <w:p w14:paraId="79CB33E8" w14:textId="77777777" w:rsidR="00775468" w:rsidRPr="00F70D7D" w:rsidRDefault="00775468" w:rsidP="00F34A82">
            <w:pPr>
              <w:pStyle w:val="TableParagraph"/>
              <w:keepNext/>
              <w:spacing w:before="27"/>
              <w:ind w:right="-1"/>
              <w:jc w:val="center"/>
              <w:rPr>
                <w:b/>
                <w:sz w:val="16"/>
                <w:szCs w:val="16"/>
                <w:lang w:val="fr-FR"/>
              </w:rPr>
            </w:pPr>
            <w:r w:rsidRPr="00F70D7D">
              <w:rPr>
                <w:b/>
                <w:sz w:val="16"/>
                <w:szCs w:val="16"/>
                <w:lang w:val="fr-FR"/>
              </w:rPr>
              <w:t>2</w:t>
            </w:r>
            <w:r w:rsidRPr="00F70D7D">
              <w:rPr>
                <w:b/>
                <w:sz w:val="16"/>
                <w:szCs w:val="16"/>
                <w:vertAlign w:val="superscript"/>
                <w:lang w:val="fr-FR"/>
              </w:rPr>
              <w:t>ème</w:t>
            </w:r>
            <w:r w:rsidRPr="00F70D7D">
              <w:rPr>
                <w:b/>
                <w:sz w:val="16"/>
                <w:szCs w:val="16"/>
                <w:lang w:val="fr-FR"/>
              </w:rPr>
              <w:t xml:space="preserve"> trimestre 2020</w:t>
            </w:r>
          </w:p>
        </w:tc>
        <w:tc>
          <w:tcPr>
            <w:tcW w:w="1559" w:type="dxa"/>
            <w:tcBorders>
              <w:top w:val="single" w:sz="8" w:space="0" w:color="0070AD" w:themeColor="accent1"/>
              <w:bottom w:val="single" w:sz="8" w:space="0" w:color="0070AD" w:themeColor="accent1"/>
            </w:tcBorders>
            <w:shd w:val="clear" w:color="auto" w:fill="BBE7FF" w:themeFill="accent1" w:themeFillTint="33"/>
            <w:vAlign w:val="center"/>
          </w:tcPr>
          <w:p w14:paraId="03933AB4" w14:textId="4C5F8DBA" w:rsidR="00775468" w:rsidRPr="00F70D7D" w:rsidRDefault="00775468" w:rsidP="00F34A82">
            <w:pPr>
              <w:pStyle w:val="TableParagraph"/>
              <w:keepNext/>
              <w:spacing w:before="27"/>
              <w:ind w:right="-1"/>
              <w:jc w:val="center"/>
              <w:rPr>
                <w:b/>
                <w:sz w:val="16"/>
                <w:szCs w:val="16"/>
                <w:lang w:val="fr-FR"/>
              </w:rPr>
            </w:pPr>
            <w:r w:rsidRPr="00F70D7D">
              <w:rPr>
                <w:b/>
                <w:sz w:val="16"/>
                <w:szCs w:val="16"/>
                <w:lang w:val="fr-FR"/>
              </w:rPr>
              <w:t>1</w:t>
            </w:r>
            <w:r w:rsidRPr="000F5D5A">
              <w:rPr>
                <w:b/>
                <w:sz w:val="16"/>
                <w:szCs w:val="16"/>
                <w:vertAlign w:val="superscript"/>
                <w:lang w:val="fr-FR"/>
              </w:rPr>
              <w:t>er</w:t>
            </w:r>
            <w:r w:rsidR="00D51D26">
              <w:rPr>
                <w:b/>
                <w:sz w:val="16"/>
                <w:szCs w:val="16"/>
                <w:lang w:val="fr-FR"/>
              </w:rPr>
              <w:t xml:space="preserve"> </w:t>
            </w:r>
            <w:r w:rsidRPr="00F70D7D">
              <w:rPr>
                <w:b/>
                <w:sz w:val="16"/>
                <w:szCs w:val="16"/>
                <w:lang w:val="fr-FR"/>
              </w:rPr>
              <w:t>semestre 2020</w:t>
            </w:r>
          </w:p>
        </w:tc>
        <w:tc>
          <w:tcPr>
            <w:tcW w:w="257" w:type="dxa"/>
            <w:tcBorders>
              <w:top w:val="single" w:sz="8" w:space="0" w:color="0070AD" w:themeColor="accent1"/>
              <w:bottom w:val="single" w:sz="8" w:space="0" w:color="0070AD" w:themeColor="accent1"/>
            </w:tcBorders>
          </w:tcPr>
          <w:p w14:paraId="423FC2C3" w14:textId="77777777" w:rsidR="00775468" w:rsidRPr="00F70D7D" w:rsidRDefault="00775468" w:rsidP="00F34A82">
            <w:pPr>
              <w:pStyle w:val="TableParagraph"/>
              <w:keepNext/>
              <w:spacing w:before="27"/>
              <w:ind w:right="-1"/>
              <w:jc w:val="center"/>
              <w:rPr>
                <w:b/>
                <w:sz w:val="16"/>
                <w:szCs w:val="16"/>
                <w:lang w:val="fr-FR"/>
              </w:rPr>
            </w:pPr>
          </w:p>
        </w:tc>
      </w:tr>
      <w:tr w:rsidR="00BF3BCD" w:rsidRPr="00F70D7D" w14:paraId="1139CB88" w14:textId="77777777" w:rsidTr="006B1196">
        <w:trPr>
          <w:trHeight w:val="227"/>
          <w:jc w:val="center"/>
        </w:trPr>
        <w:tc>
          <w:tcPr>
            <w:tcW w:w="3261" w:type="dxa"/>
            <w:tcBorders>
              <w:top w:val="single" w:sz="8" w:space="0" w:color="0070AD" w:themeColor="accent1"/>
            </w:tcBorders>
          </w:tcPr>
          <w:p w14:paraId="0DBAD17F" w14:textId="7039EB19" w:rsidR="00BF3BCD" w:rsidRPr="00D96326" w:rsidRDefault="00BF3BCD" w:rsidP="00BF3BCD">
            <w:pPr>
              <w:pStyle w:val="TableParagraph"/>
              <w:keepNext/>
              <w:spacing w:before="100" w:beforeAutospacing="1" w:after="100" w:afterAutospacing="1"/>
              <w:ind w:left="142"/>
              <w:rPr>
                <w:sz w:val="16"/>
                <w:szCs w:val="16"/>
                <w:lang w:val="fr-FR"/>
              </w:rPr>
            </w:pPr>
            <w:proofErr w:type="spellStart"/>
            <w:r w:rsidRPr="006B1196">
              <w:rPr>
                <w:sz w:val="16"/>
                <w:szCs w:val="16"/>
              </w:rPr>
              <w:t>Stratégie</w:t>
            </w:r>
            <w:proofErr w:type="spellEnd"/>
            <w:r w:rsidRPr="006B1196">
              <w:rPr>
                <w:sz w:val="16"/>
                <w:szCs w:val="16"/>
              </w:rPr>
              <w:t xml:space="preserve"> &amp; Transformation</w:t>
            </w:r>
          </w:p>
        </w:tc>
        <w:tc>
          <w:tcPr>
            <w:tcW w:w="57" w:type="dxa"/>
            <w:tcBorders>
              <w:top w:val="single" w:sz="8" w:space="0" w:color="0070AD"/>
              <w:left w:val="nil"/>
              <w:bottom w:val="nil"/>
              <w:right w:val="nil"/>
            </w:tcBorders>
            <w:shd w:val="clear" w:color="auto" w:fill="auto"/>
            <w:vAlign w:val="center"/>
          </w:tcPr>
          <w:p w14:paraId="5303B07B" w14:textId="77777777" w:rsidR="00BF3BCD" w:rsidRPr="00F70D7D" w:rsidRDefault="00BF3BCD" w:rsidP="00BF3BCD">
            <w:pPr>
              <w:pStyle w:val="TableParagraph"/>
              <w:keepNext/>
              <w:spacing w:before="100" w:beforeAutospacing="1" w:after="100" w:afterAutospacing="1"/>
              <w:ind w:left="1" w:right="537"/>
              <w:jc w:val="right"/>
              <w:rPr>
                <w:sz w:val="16"/>
                <w:szCs w:val="16"/>
              </w:rPr>
            </w:pPr>
            <w:r w:rsidRPr="00F70D7D">
              <w:rPr>
                <w:sz w:val="16"/>
                <w:szCs w:val="16"/>
              </w:rPr>
              <w:t> </w:t>
            </w:r>
          </w:p>
        </w:tc>
        <w:tc>
          <w:tcPr>
            <w:tcW w:w="1502" w:type="dxa"/>
            <w:tcBorders>
              <w:top w:val="single" w:sz="8" w:space="0" w:color="0070AD"/>
              <w:left w:val="nil"/>
              <w:bottom w:val="nil"/>
              <w:right w:val="nil"/>
            </w:tcBorders>
            <w:shd w:val="clear" w:color="auto" w:fill="auto"/>
          </w:tcPr>
          <w:p w14:paraId="4F963321" w14:textId="0C9AE62B" w:rsidR="00BF3BCD" w:rsidRPr="006B1196" w:rsidRDefault="00BF3BCD" w:rsidP="00BF3BCD">
            <w:pPr>
              <w:keepNext/>
              <w:widowControl w:val="0"/>
              <w:spacing w:before="100" w:beforeAutospacing="1" w:after="100" w:afterAutospacing="1"/>
              <w:ind w:right="452"/>
              <w:jc w:val="right"/>
              <w:rPr>
                <w:rFonts w:eastAsia="Arial" w:cs="Arial"/>
                <w:sz w:val="16"/>
                <w:szCs w:val="18"/>
                <w:highlight w:val="cyan"/>
              </w:rPr>
            </w:pPr>
            <w:r w:rsidRPr="006B1196">
              <w:rPr>
                <w:sz w:val="16"/>
                <w:szCs w:val="18"/>
              </w:rPr>
              <w:t>+9</w:t>
            </w:r>
            <w:r w:rsidR="005F7608">
              <w:rPr>
                <w:sz w:val="16"/>
                <w:szCs w:val="18"/>
              </w:rPr>
              <w:t>,</w:t>
            </w:r>
            <w:r w:rsidRPr="006B1196">
              <w:rPr>
                <w:sz w:val="16"/>
                <w:szCs w:val="18"/>
              </w:rPr>
              <w:t>6%</w:t>
            </w:r>
          </w:p>
        </w:tc>
        <w:tc>
          <w:tcPr>
            <w:tcW w:w="1644" w:type="dxa"/>
            <w:tcBorders>
              <w:top w:val="single" w:sz="8" w:space="0" w:color="0070AD"/>
              <w:left w:val="nil"/>
              <w:bottom w:val="nil"/>
              <w:right w:val="nil"/>
            </w:tcBorders>
            <w:shd w:val="clear" w:color="auto" w:fill="FFFFFF" w:themeFill="background1"/>
          </w:tcPr>
          <w:p w14:paraId="503447AA" w14:textId="2D7CA96F" w:rsidR="00BF3BCD" w:rsidRPr="006B1196" w:rsidRDefault="00BF3BCD" w:rsidP="00BF3BCD">
            <w:pPr>
              <w:keepNext/>
              <w:widowControl w:val="0"/>
              <w:spacing w:before="100" w:beforeAutospacing="1" w:after="100" w:afterAutospacing="1"/>
              <w:ind w:right="452"/>
              <w:jc w:val="right"/>
              <w:rPr>
                <w:rFonts w:eastAsia="Arial" w:cs="Arial"/>
                <w:sz w:val="16"/>
                <w:szCs w:val="18"/>
                <w:highlight w:val="cyan"/>
              </w:rPr>
            </w:pPr>
            <w:r w:rsidRPr="006B1196">
              <w:rPr>
                <w:sz w:val="16"/>
                <w:szCs w:val="18"/>
              </w:rPr>
              <w:t>+7</w:t>
            </w:r>
            <w:r w:rsidR="00C06698">
              <w:rPr>
                <w:sz w:val="16"/>
                <w:szCs w:val="18"/>
              </w:rPr>
              <w:t>,</w:t>
            </w:r>
            <w:r w:rsidRPr="006B1196">
              <w:rPr>
                <w:sz w:val="16"/>
                <w:szCs w:val="18"/>
              </w:rPr>
              <w:t>6%</w:t>
            </w:r>
          </w:p>
        </w:tc>
        <w:tc>
          <w:tcPr>
            <w:tcW w:w="1559" w:type="dxa"/>
            <w:tcBorders>
              <w:top w:val="single" w:sz="8" w:space="0" w:color="0070AD"/>
              <w:left w:val="nil"/>
              <w:bottom w:val="nil"/>
              <w:right w:val="nil"/>
            </w:tcBorders>
            <w:shd w:val="clear" w:color="auto" w:fill="BBE7FF" w:themeFill="accent1" w:themeFillTint="33"/>
          </w:tcPr>
          <w:p w14:paraId="00AE13F6" w14:textId="705EE07B" w:rsidR="00BF3BCD" w:rsidRPr="006B1196" w:rsidRDefault="00BF3BCD" w:rsidP="00BF3BCD">
            <w:pPr>
              <w:keepNext/>
              <w:widowControl w:val="0"/>
              <w:spacing w:before="100" w:beforeAutospacing="1" w:after="100" w:afterAutospacing="1"/>
              <w:ind w:right="452"/>
              <w:jc w:val="right"/>
              <w:rPr>
                <w:rFonts w:eastAsia="Arial" w:cs="Arial"/>
                <w:sz w:val="16"/>
                <w:szCs w:val="18"/>
                <w:highlight w:val="cyan"/>
              </w:rPr>
            </w:pPr>
            <w:r w:rsidRPr="006B1196">
              <w:rPr>
                <w:sz w:val="16"/>
                <w:szCs w:val="18"/>
              </w:rPr>
              <w:t>+8,6%</w:t>
            </w:r>
          </w:p>
        </w:tc>
        <w:tc>
          <w:tcPr>
            <w:tcW w:w="257" w:type="dxa"/>
            <w:tcBorders>
              <w:top w:val="single" w:sz="8" w:space="0" w:color="0070AD"/>
              <w:left w:val="nil"/>
              <w:bottom w:val="nil"/>
              <w:right w:val="nil"/>
            </w:tcBorders>
          </w:tcPr>
          <w:p w14:paraId="3140779F" w14:textId="77777777" w:rsidR="00BF3BCD" w:rsidRPr="00F70D7D" w:rsidRDefault="00BF3BCD" w:rsidP="00BF3BCD">
            <w:pPr>
              <w:keepNext/>
              <w:widowControl w:val="0"/>
              <w:spacing w:before="100" w:beforeAutospacing="1" w:after="100" w:afterAutospacing="1"/>
              <w:ind w:right="452"/>
              <w:jc w:val="right"/>
              <w:rPr>
                <w:rFonts w:eastAsia="Arial" w:cs="Arial"/>
                <w:sz w:val="16"/>
                <w:szCs w:val="16"/>
              </w:rPr>
            </w:pPr>
          </w:p>
        </w:tc>
      </w:tr>
      <w:tr w:rsidR="00BF3BCD" w:rsidRPr="00F70D7D" w14:paraId="0927E05E" w14:textId="77777777" w:rsidTr="006B1196">
        <w:trPr>
          <w:trHeight w:val="227"/>
          <w:jc w:val="center"/>
        </w:trPr>
        <w:tc>
          <w:tcPr>
            <w:tcW w:w="3261" w:type="dxa"/>
          </w:tcPr>
          <w:p w14:paraId="7141EB4B" w14:textId="1CC29ED8" w:rsidR="00BF3BCD" w:rsidRPr="00D96326" w:rsidRDefault="00BF3BCD" w:rsidP="00BF3BCD">
            <w:pPr>
              <w:pStyle w:val="TableParagraph"/>
              <w:keepNext/>
              <w:spacing w:before="100" w:beforeAutospacing="1" w:after="100" w:afterAutospacing="1"/>
              <w:ind w:left="142"/>
              <w:rPr>
                <w:sz w:val="16"/>
                <w:szCs w:val="16"/>
                <w:lang w:val="fr-FR"/>
              </w:rPr>
            </w:pPr>
            <w:r w:rsidRPr="006B1196">
              <w:rPr>
                <w:sz w:val="16"/>
                <w:szCs w:val="16"/>
              </w:rPr>
              <w:t xml:space="preserve">Applications &amp; </w:t>
            </w:r>
            <w:proofErr w:type="spellStart"/>
            <w:r w:rsidRPr="006B1196">
              <w:rPr>
                <w:sz w:val="16"/>
                <w:szCs w:val="16"/>
              </w:rPr>
              <w:t>Technologie</w:t>
            </w:r>
            <w:proofErr w:type="spellEnd"/>
          </w:p>
        </w:tc>
        <w:tc>
          <w:tcPr>
            <w:tcW w:w="57" w:type="dxa"/>
            <w:tcBorders>
              <w:top w:val="nil"/>
              <w:left w:val="nil"/>
              <w:bottom w:val="nil"/>
              <w:right w:val="nil"/>
            </w:tcBorders>
            <w:shd w:val="clear" w:color="auto" w:fill="auto"/>
            <w:vAlign w:val="center"/>
          </w:tcPr>
          <w:p w14:paraId="08EC9E5D" w14:textId="77777777" w:rsidR="00BF3BCD" w:rsidRPr="00F70D7D" w:rsidRDefault="00BF3BCD" w:rsidP="00BF3BCD">
            <w:pPr>
              <w:pStyle w:val="TableParagraph"/>
              <w:keepNext/>
              <w:spacing w:before="100" w:beforeAutospacing="1" w:after="100" w:afterAutospacing="1"/>
              <w:ind w:left="1" w:right="537"/>
              <w:jc w:val="right"/>
              <w:rPr>
                <w:sz w:val="16"/>
                <w:szCs w:val="16"/>
              </w:rPr>
            </w:pPr>
          </w:p>
        </w:tc>
        <w:tc>
          <w:tcPr>
            <w:tcW w:w="1502" w:type="dxa"/>
            <w:tcBorders>
              <w:top w:val="nil"/>
              <w:left w:val="nil"/>
              <w:bottom w:val="nil"/>
              <w:right w:val="nil"/>
            </w:tcBorders>
            <w:shd w:val="clear" w:color="auto" w:fill="auto"/>
          </w:tcPr>
          <w:p w14:paraId="78840643" w14:textId="227CC870" w:rsidR="00BF3BCD" w:rsidRPr="006B1196" w:rsidRDefault="00BF3BCD" w:rsidP="00BF3BCD">
            <w:pPr>
              <w:keepNext/>
              <w:widowControl w:val="0"/>
              <w:spacing w:before="100" w:beforeAutospacing="1" w:after="100" w:afterAutospacing="1"/>
              <w:ind w:right="452"/>
              <w:jc w:val="right"/>
              <w:rPr>
                <w:rFonts w:eastAsia="Arial" w:cs="Arial"/>
                <w:sz w:val="16"/>
                <w:szCs w:val="18"/>
                <w:highlight w:val="cyan"/>
              </w:rPr>
            </w:pPr>
            <w:r w:rsidRPr="006B1196">
              <w:rPr>
                <w:sz w:val="16"/>
                <w:szCs w:val="18"/>
              </w:rPr>
              <w:t>+2</w:t>
            </w:r>
            <w:r w:rsidR="005F7608">
              <w:rPr>
                <w:sz w:val="16"/>
                <w:szCs w:val="18"/>
              </w:rPr>
              <w:t>,</w:t>
            </w:r>
            <w:r w:rsidRPr="006B1196">
              <w:rPr>
                <w:sz w:val="16"/>
                <w:szCs w:val="18"/>
              </w:rPr>
              <w:t>1%</w:t>
            </w:r>
          </w:p>
        </w:tc>
        <w:tc>
          <w:tcPr>
            <w:tcW w:w="1644" w:type="dxa"/>
            <w:tcBorders>
              <w:top w:val="nil"/>
              <w:left w:val="nil"/>
              <w:bottom w:val="nil"/>
              <w:right w:val="nil"/>
            </w:tcBorders>
            <w:shd w:val="clear" w:color="auto" w:fill="FFFFFF" w:themeFill="background1"/>
          </w:tcPr>
          <w:p w14:paraId="7BF1262E" w14:textId="2822449C" w:rsidR="00BF3BCD" w:rsidRPr="006B1196" w:rsidRDefault="00BF3BCD" w:rsidP="00BF3BCD">
            <w:pPr>
              <w:keepNext/>
              <w:widowControl w:val="0"/>
              <w:spacing w:before="100" w:beforeAutospacing="1" w:after="100" w:afterAutospacing="1"/>
              <w:ind w:right="452"/>
              <w:jc w:val="right"/>
              <w:rPr>
                <w:rFonts w:eastAsia="Arial" w:cs="Arial"/>
                <w:sz w:val="16"/>
                <w:szCs w:val="18"/>
                <w:highlight w:val="cyan"/>
              </w:rPr>
            </w:pPr>
            <w:r w:rsidRPr="006B1196">
              <w:rPr>
                <w:sz w:val="16"/>
                <w:szCs w:val="18"/>
              </w:rPr>
              <w:t>-4</w:t>
            </w:r>
            <w:r w:rsidR="00C06698">
              <w:rPr>
                <w:sz w:val="16"/>
                <w:szCs w:val="18"/>
              </w:rPr>
              <w:t>,</w:t>
            </w:r>
            <w:r w:rsidRPr="006B1196">
              <w:rPr>
                <w:sz w:val="16"/>
                <w:szCs w:val="18"/>
              </w:rPr>
              <w:t>5%</w:t>
            </w:r>
          </w:p>
        </w:tc>
        <w:tc>
          <w:tcPr>
            <w:tcW w:w="1559" w:type="dxa"/>
            <w:tcBorders>
              <w:top w:val="nil"/>
              <w:left w:val="nil"/>
              <w:bottom w:val="nil"/>
              <w:right w:val="nil"/>
            </w:tcBorders>
            <w:shd w:val="clear" w:color="auto" w:fill="BBE7FF" w:themeFill="accent1" w:themeFillTint="33"/>
          </w:tcPr>
          <w:p w14:paraId="6D52BE00" w14:textId="04645C75" w:rsidR="00BF3BCD" w:rsidRPr="006B1196" w:rsidRDefault="00BF3BCD" w:rsidP="00BF3BCD">
            <w:pPr>
              <w:keepNext/>
              <w:widowControl w:val="0"/>
              <w:spacing w:before="100" w:beforeAutospacing="1" w:after="100" w:afterAutospacing="1"/>
              <w:ind w:right="452"/>
              <w:jc w:val="right"/>
              <w:rPr>
                <w:rFonts w:eastAsia="Arial" w:cs="Arial"/>
                <w:sz w:val="16"/>
                <w:szCs w:val="18"/>
                <w:highlight w:val="cyan"/>
              </w:rPr>
            </w:pPr>
            <w:r w:rsidRPr="006B1196">
              <w:rPr>
                <w:sz w:val="16"/>
                <w:szCs w:val="18"/>
              </w:rPr>
              <w:t>-1,3%</w:t>
            </w:r>
          </w:p>
        </w:tc>
        <w:tc>
          <w:tcPr>
            <w:tcW w:w="257" w:type="dxa"/>
            <w:tcBorders>
              <w:top w:val="nil"/>
              <w:left w:val="nil"/>
              <w:bottom w:val="nil"/>
              <w:right w:val="nil"/>
            </w:tcBorders>
          </w:tcPr>
          <w:p w14:paraId="1A4FF99E" w14:textId="77777777" w:rsidR="00BF3BCD" w:rsidRPr="00F70D7D" w:rsidRDefault="00BF3BCD" w:rsidP="00BF3BCD">
            <w:pPr>
              <w:keepNext/>
              <w:widowControl w:val="0"/>
              <w:spacing w:before="100" w:beforeAutospacing="1" w:after="100" w:afterAutospacing="1"/>
              <w:ind w:right="452"/>
              <w:jc w:val="right"/>
              <w:rPr>
                <w:rFonts w:eastAsia="Arial" w:cs="Arial"/>
                <w:sz w:val="16"/>
                <w:szCs w:val="16"/>
              </w:rPr>
            </w:pPr>
          </w:p>
        </w:tc>
      </w:tr>
      <w:tr w:rsidR="00BF3BCD" w:rsidRPr="00F70D7D" w14:paraId="0DD36598" w14:textId="77777777" w:rsidTr="006B1196">
        <w:trPr>
          <w:trHeight w:val="227"/>
          <w:jc w:val="center"/>
        </w:trPr>
        <w:tc>
          <w:tcPr>
            <w:tcW w:w="3261" w:type="dxa"/>
            <w:tcBorders>
              <w:bottom w:val="single" w:sz="8" w:space="0" w:color="0070AD" w:themeColor="accent1"/>
            </w:tcBorders>
          </w:tcPr>
          <w:p w14:paraId="1CC17A99" w14:textId="536FEF38" w:rsidR="00BF3BCD" w:rsidRPr="00D96326" w:rsidRDefault="00BF3BCD" w:rsidP="00BF3BCD">
            <w:pPr>
              <w:pStyle w:val="TableParagraph"/>
              <w:keepNext/>
              <w:spacing w:before="100" w:beforeAutospacing="1" w:after="100" w:afterAutospacing="1"/>
              <w:ind w:left="142"/>
              <w:rPr>
                <w:sz w:val="16"/>
                <w:szCs w:val="16"/>
                <w:lang w:val="fr-FR"/>
              </w:rPr>
            </w:pPr>
            <w:proofErr w:type="spellStart"/>
            <w:r w:rsidRPr="006B1196">
              <w:rPr>
                <w:sz w:val="16"/>
                <w:szCs w:val="16"/>
              </w:rPr>
              <w:t>Opérations</w:t>
            </w:r>
            <w:proofErr w:type="spellEnd"/>
            <w:r w:rsidRPr="006B1196">
              <w:rPr>
                <w:sz w:val="16"/>
                <w:szCs w:val="16"/>
              </w:rPr>
              <w:t xml:space="preserve"> &amp; </w:t>
            </w:r>
            <w:proofErr w:type="spellStart"/>
            <w:r w:rsidRPr="006B1196">
              <w:rPr>
                <w:sz w:val="16"/>
                <w:szCs w:val="16"/>
              </w:rPr>
              <w:t>Ingénierie</w:t>
            </w:r>
            <w:proofErr w:type="spellEnd"/>
          </w:p>
        </w:tc>
        <w:tc>
          <w:tcPr>
            <w:tcW w:w="57" w:type="dxa"/>
            <w:tcBorders>
              <w:top w:val="nil"/>
              <w:left w:val="nil"/>
              <w:bottom w:val="single" w:sz="8" w:space="0" w:color="0070AD"/>
              <w:right w:val="nil"/>
            </w:tcBorders>
            <w:shd w:val="clear" w:color="auto" w:fill="auto"/>
            <w:vAlign w:val="center"/>
          </w:tcPr>
          <w:p w14:paraId="45891021" w14:textId="77777777" w:rsidR="00BF3BCD" w:rsidRPr="00F70D7D" w:rsidRDefault="00BF3BCD" w:rsidP="00BF3BCD">
            <w:pPr>
              <w:pStyle w:val="TableParagraph"/>
              <w:keepNext/>
              <w:spacing w:before="100" w:beforeAutospacing="1" w:after="100" w:afterAutospacing="1"/>
              <w:ind w:left="1" w:right="537"/>
              <w:jc w:val="right"/>
              <w:rPr>
                <w:sz w:val="16"/>
                <w:szCs w:val="16"/>
                <w:lang w:val="fr-FR"/>
              </w:rPr>
            </w:pPr>
            <w:r w:rsidRPr="00F70D7D">
              <w:rPr>
                <w:sz w:val="16"/>
                <w:szCs w:val="16"/>
                <w:lang w:val="fr-FR"/>
              </w:rPr>
              <w:t> </w:t>
            </w:r>
          </w:p>
        </w:tc>
        <w:tc>
          <w:tcPr>
            <w:tcW w:w="1502" w:type="dxa"/>
            <w:tcBorders>
              <w:top w:val="nil"/>
              <w:left w:val="nil"/>
              <w:bottom w:val="single" w:sz="8" w:space="0" w:color="0070AD"/>
              <w:right w:val="nil"/>
            </w:tcBorders>
            <w:shd w:val="clear" w:color="auto" w:fill="auto"/>
          </w:tcPr>
          <w:p w14:paraId="363CA5F2" w14:textId="45AED8EE" w:rsidR="00BF3BCD" w:rsidRPr="006B1196" w:rsidRDefault="00BF3BCD" w:rsidP="00BF3BCD">
            <w:pPr>
              <w:keepNext/>
              <w:widowControl w:val="0"/>
              <w:spacing w:before="100" w:beforeAutospacing="1" w:after="100" w:afterAutospacing="1"/>
              <w:ind w:right="452"/>
              <w:jc w:val="right"/>
              <w:rPr>
                <w:rFonts w:eastAsia="Arial" w:cs="Arial"/>
                <w:sz w:val="16"/>
                <w:szCs w:val="18"/>
                <w:highlight w:val="cyan"/>
              </w:rPr>
            </w:pPr>
            <w:r w:rsidRPr="006B1196">
              <w:rPr>
                <w:sz w:val="16"/>
                <w:szCs w:val="18"/>
              </w:rPr>
              <w:t>+3</w:t>
            </w:r>
            <w:r w:rsidR="005F7608">
              <w:rPr>
                <w:sz w:val="16"/>
                <w:szCs w:val="18"/>
              </w:rPr>
              <w:t>,</w:t>
            </w:r>
            <w:r w:rsidRPr="006B1196">
              <w:rPr>
                <w:sz w:val="16"/>
                <w:szCs w:val="18"/>
              </w:rPr>
              <w:t>5%</w:t>
            </w:r>
          </w:p>
        </w:tc>
        <w:tc>
          <w:tcPr>
            <w:tcW w:w="1644" w:type="dxa"/>
            <w:tcBorders>
              <w:top w:val="nil"/>
              <w:left w:val="nil"/>
              <w:bottom w:val="single" w:sz="8" w:space="0" w:color="0070AD"/>
              <w:right w:val="nil"/>
            </w:tcBorders>
            <w:shd w:val="clear" w:color="auto" w:fill="FFFFFF" w:themeFill="background1"/>
          </w:tcPr>
          <w:p w14:paraId="4FB6F43A" w14:textId="5FC50E82" w:rsidR="00BF3BCD" w:rsidRPr="006B1196" w:rsidRDefault="00BF3BCD" w:rsidP="00BF3BCD">
            <w:pPr>
              <w:keepNext/>
              <w:widowControl w:val="0"/>
              <w:spacing w:before="100" w:beforeAutospacing="1" w:after="100" w:afterAutospacing="1"/>
              <w:ind w:right="452"/>
              <w:jc w:val="right"/>
              <w:rPr>
                <w:rFonts w:eastAsia="Arial" w:cs="Arial"/>
                <w:sz w:val="16"/>
                <w:szCs w:val="18"/>
                <w:highlight w:val="cyan"/>
              </w:rPr>
            </w:pPr>
            <w:r w:rsidRPr="006B1196">
              <w:rPr>
                <w:sz w:val="16"/>
                <w:szCs w:val="18"/>
              </w:rPr>
              <w:t>+69</w:t>
            </w:r>
            <w:r w:rsidR="00C06698">
              <w:rPr>
                <w:sz w:val="16"/>
                <w:szCs w:val="18"/>
              </w:rPr>
              <w:t>,</w:t>
            </w:r>
            <w:r w:rsidRPr="006B1196">
              <w:rPr>
                <w:sz w:val="16"/>
                <w:szCs w:val="18"/>
              </w:rPr>
              <w:t>4%</w:t>
            </w:r>
          </w:p>
        </w:tc>
        <w:tc>
          <w:tcPr>
            <w:tcW w:w="1559" w:type="dxa"/>
            <w:tcBorders>
              <w:top w:val="nil"/>
              <w:left w:val="nil"/>
              <w:bottom w:val="single" w:sz="8" w:space="0" w:color="0070AD"/>
              <w:right w:val="nil"/>
            </w:tcBorders>
            <w:shd w:val="clear" w:color="auto" w:fill="BBE7FF" w:themeFill="accent1" w:themeFillTint="33"/>
          </w:tcPr>
          <w:p w14:paraId="38C44191" w14:textId="1F635F77" w:rsidR="00BF3BCD" w:rsidRPr="006B1196" w:rsidRDefault="00BF3BCD" w:rsidP="00BF3BCD">
            <w:pPr>
              <w:keepNext/>
              <w:widowControl w:val="0"/>
              <w:spacing w:before="100" w:beforeAutospacing="1" w:after="100" w:afterAutospacing="1"/>
              <w:ind w:right="452"/>
              <w:jc w:val="right"/>
              <w:rPr>
                <w:rFonts w:eastAsia="Arial" w:cs="Arial"/>
                <w:sz w:val="16"/>
                <w:szCs w:val="18"/>
                <w:highlight w:val="cyan"/>
              </w:rPr>
            </w:pPr>
            <w:r w:rsidRPr="006B1196">
              <w:rPr>
                <w:sz w:val="16"/>
                <w:szCs w:val="18"/>
              </w:rPr>
              <w:t>+37,2%</w:t>
            </w:r>
          </w:p>
        </w:tc>
        <w:tc>
          <w:tcPr>
            <w:tcW w:w="257" w:type="dxa"/>
            <w:tcBorders>
              <w:top w:val="nil"/>
              <w:left w:val="nil"/>
              <w:bottom w:val="single" w:sz="8" w:space="0" w:color="0070AD"/>
              <w:right w:val="nil"/>
            </w:tcBorders>
          </w:tcPr>
          <w:p w14:paraId="5C14321D" w14:textId="77777777" w:rsidR="00BF3BCD" w:rsidRPr="00F70D7D" w:rsidRDefault="00BF3BCD" w:rsidP="00BF3BCD">
            <w:pPr>
              <w:keepNext/>
              <w:widowControl w:val="0"/>
              <w:spacing w:before="100" w:beforeAutospacing="1" w:after="100" w:afterAutospacing="1"/>
              <w:ind w:right="452"/>
              <w:jc w:val="right"/>
              <w:rPr>
                <w:rFonts w:eastAsia="Arial" w:cs="Arial"/>
                <w:sz w:val="16"/>
                <w:szCs w:val="16"/>
              </w:rPr>
            </w:pPr>
          </w:p>
        </w:tc>
      </w:tr>
    </w:tbl>
    <w:p w14:paraId="2CC65BCF" w14:textId="77777777" w:rsidR="00717A69" w:rsidRDefault="00717A69" w:rsidP="00717A69">
      <w:pPr>
        <w:spacing w:before="120" w:after="120" w:line="276" w:lineRule="auto"/>
        <w:rPr>
          <w:rFonts w:cs="Arial"/>
        </w:rPr>
      </w:pPr>
    </w:p>
    <w:p w14:paraId="269D29E6" w14:textId="736F24CF" w:rsidR="00775468" w:rsidRPr="00D96326" w:rsidRDefault="00717A69" w:rsidP="006B1196">
      <w:pPr>
        <w:spacing w:before="120" w:after="120" w:line="276" w:lineRule="auto"/>
      </w:pPr>
      <w:r>
        <w:rPr>
          <w:rFonts w:cs="Arial"/>
        </w:rPr>
        <w:t>Avec l’intégration d’Altran à partir du 2</w:t>
      </w:r>
      <w:r w:rsidRPr="00907331">
        <w:rPr>
          <w:rFonts w:cs="Arial"/>
          <w:vertAlign w:val="superscript"/>
        </w:rPr>
        <w:t>ème</w:t>
      </w:r>
      <w:r>
        <w:rPr>
          <w:rFonts w:cs="Arial"/>
        </w:rPr>
        <w:t xml:space="preserve"> trimestre 2020, dont l’essentiel de l’activité relève de l’Ingénierie, le mix métier du Groupe évolue sensiblement. Si les activités de conseil en </w:t>
      </w:r>
      <w:r w:rsidRPr="00255245">
        <w:rPr>
          <w:rFonts w:cs="Arial"/>
          <w:b/>
          <w:bCs/>
        </w:rPr>
        <w:t>Stratégie</w:t>
      </w:r>
      <w:r>
        <w:rPr>
          <w:rFonts w:cs="Arial"/>
        </w:rPr>
        <w:t xml:space="preserve"> et </w:t>
      </w:r>
      <w:r w:rsidRPr="00255245">
        <w:rPr>
          <w:rFonts w:cs="Arial"/>
          <w:b/>
          <w:bCs/>
        </w:rPr>
        <w:t>Transformation</w:t>
      </w:r>
      <w:r>
        <w:rPr>
          <w:rFonts w:cs="Arial"/>
        </w:rPr>
        <w:t xml:space="preserve"> continuent de représenter</w:t>
      </w:r>
      <w:r w:rsidR="00E80B9E">
        <w:rPr>
          <w:rFonts w:cs="Arial"/>
        </w:rPr>
        <w:t>,</w:t>
      </w:r>
      <w:r>
        <w:rPr>
          <w:rFonts w:cs="Arial"/>
        </w:rPr>
        <w:t xml:space="preserve"> </w:t>
      </w:r>
      <w:r w:rsidR="00E80B9E">
        <w:rPr>
          <w:rFonts w:cs="Arial"/>
        </w:rPr>
        <w:t>au 2</w:t>
      </w:r>
      <w:r w:rsidR="00E80B9E" w:rsidRPr="006B1196">
        <w:rPr>
          <w:rFonts w:cs="Arial"/>
          <w:vertAlign w:val="superscript"/>
        </w:rPr>
        <w:t>ème</w:t>
      </w:r>
      <w:r w:rsidR="00E80B9E">
        <w:rPr>
          <w:rFonts w:cs="Arial"/>
        </w:rPr>
        <w:t xml:space="preserve"> trimestre, </w:t>
      </w:r>
      <w:r>
        <w:rPr>
          <w:rFonts w:cs="Arial"/>
        </w:rPr>
        <w:t>7% du chiffre d’affaires total du Groupe, les activités d’</w:t>
      </w:r>
      <w:r w:rsidRPr="00255245">
        <w:rPr>
          <w:rFonts w:cs="Arial"/>
          <w:b/>
          <w:bCs/>
        </w:rPr>
        <w:t>Opérations</w:t>
      </w:r>
      <w:r>
        <w:rPr>
          <w:rFonts w:cs="Arial"/>
        </w:rPr>
        <w:t xml:space="preserve"> et d’</w:t>
      </w:r>
      <w:r w:rsidRPr="00255245">
        <w:rPr>
          <w:rFonts w:cs="Arial"/>
          <w:b/>
          <w:bCs/>
        </w:rPr>
        <w:t>Ingénierie</w:t>
      </w:r>
      <w:r>
        <w:rPr>
          <w:rFonts w:cs="Arial"/>
        </w:rPr>
        <w:t xml:space="preserve"> représentent désormais 33% du Groupe avec l’apport des activités d’ingénierie d’Altran tandis que les Services d’</w:t>
      </w:r>
      <w:r w:rsidRPr="00255245">
        <w:rPr>
          <w:rFonts w:cs="Arial"/>
          <w:b/>
          <w:bCs/>
        </w:rPr>
        <w:t>Applications</w:t>
      </w:r>
      <w:r>
        <w:rPr>
          <w:rFonts w:cs="Arial"/>
        </w:rPr>
        <w:t xml:space="preserve"> et de </w:t>
      </w:r>
      <w:r w:rsidRPr="00255245">
        <w:rPr>
          <w:rFonts w:cs="Arial"/>
          <w:b/>
          <w:bCs/>
        </w:rPr>
        <w:t xml:space="preserve">Technologie </w:t>
      </w:r>
      <w:r>
        <w:rPr>
          <w:rFonts w:cs="Arial"/>
        </w:rPr>
        <w:t xml:space="preserve">restent le cœur de métier du Groupe mais </w:t>
      </w:r>
      <w:r w:rsidR="00C06698">
        <w:rPr>
          <w:rFonts w:cs="Arial"/>
        </w:rPr>
        <w:t xml:space="preserve">ne </w:t>
      </w:r>
      <w:r>
        <w:rPr>
          <w:rFonts w:cs="Arial"/>
        </w:rPr>
        <w:t xml:space="preserve">représentent désormais </w:t>
      </w:r>
      <w:r w:rsidR="00C06698">
        <w:rPr>
          <w:rFonts w:cs="Arial"/>
        </w:rPr>
        <w:t xml:space="preserve">que </w:t>
      </w:r>
      <w:r>
        <w:rPr>
          <w:rFonts w:cs="Arial"/>
        </w:rPr>
        <w:t>60% de l’ensemble.</w:t>
      </w:r>
    </w:p>
    <w:p w14:paraId="285B01AB" w14:textId="58B23463" w:rsidR="00FF412C" w:rsidRPr="00907331" w:rsidRDefault="00493004" w:rsidP="006B1196">
      <w:pPr>
        <w:pStyle w:val="ListParagraph"/>
        <w:keepNext/>
        <w:numPr>
          <w:ilvl w:val="0"/>
          <w:numId w:val="11"/>
        </w:numPr>
        <w:spacing w:before="120" w:after="120" w:line="276" w:lineRule="auto"/>
        <w:rPr>
          <w:rFonts w:cs="Arial"/>
          <w:b/>
          <w:bCs/>
        </w:rPr>
      </w:pPr>
      <w:bookmarkStart w:id="14" w:name="_Hlk504930058"/>
      <w:bookmarkStart w:id="15" w:name="_Hlk14638337"/>
      <w:r w:rsidRPr="00907331">
        <w:rPr>
          <w:rFonts w:cs="Arial"/>
          <w:b/>
          <w:bCs/>
        </w:rPr>
        <w:t>2</w:t>
      </w:r>
      <w:r w:rsidRPr="00907331">
        <w:rPr>
          <w:rFonts w:cs="Arial"/>
          <w:b/>
          <w:bCs/>
          <w:vertAlign w:val="superscript"/>
        </w:rPr>
        <w:t>ème</w:t>
      </w:r>
      <w:r w:rsidRPr="00907331">
        <w:rPr>
          <w:rFonts w:cs="Arial"/>
          <w:b/>
          <w:bCs/>
        </w:rPr>
        <w:t xml:space="preserve"> trimestre</w:t>
      </w:r>
      <w:r w:rsidR="003945C1">
        <w:rPr>
          <w:rFonts w:cs="Arial"/>
          <w:b/>
          <w:bCs/>
        </w:rPr>
        <w:t> :</w:t>
      </w:r>
    </w:p>
    <w:p w14:paraId="4D9F2ABB" w14:textId="3A55C709" w:rsidR="00B6428A" w:rsidRDefault="00FF412C" w:rsidP="00907331">
      <w:pPr>
        <w:spacing w:before="120" w:after="120" w:line="276" w:lineRule="auto"/>
        <w:rPr>
          <w:rFonts w:cs="Arial"/>
        </w:rPr>
      </w:pPr>
      <w:r>
        <w:rPr>
          <w:rFonts w:cs="Arial"/>
        </w:rPr>
        <w:t>C</w:t>
      </w:r>
      <w:r w:rsidR="00B6428A">
        <w:rPr>
          <w:rFonts w:cs="Arial"/>
        </w:rPr>
        <w:t>omme anticipé dans un contexte de crise, l</w:t>
      </w:r>
      <w:r w:rsidR="0055257F">
        <w:rPr>
          <w:rFonts w:cs="Arial"/>
        </w:rPr>
        <w:t>e</w:t>
      </w:r>
      <w:r w:rsidR="00D53D9B">
        <w:rPr>
          <w:rFonts w:cs="Arial"/>
        </w:rPr>
        <w:t>s</w:t>
      </w:r>
      <w:r w:rsidR="0055257F">
        <w:rPr>
          <w:rFonts w:cs="Arial"/>
        </w:rPr>
        <w:t xml:space="preserve"> rythme</w:t>
      </w:r>
      <w:r w:rsidR="00D53D9B">
        <w:rPr>
          <w:rFonts w:cs="Arial"/>
        </w:rPr>
        <w:t>s</w:t>
      </w:r>
      <w:r w:rsidR="0055257F">
        <w:rPr>
          <w:rFonts w:cs="Arial"/>
        </w:rPr>
        <w:t xml:space="preserve"> de</w:t>
      </w:r>
      <w:r w:rsidR="00B6428A">
        <w:rPr>
          <w:rFonts w:cs="Arial"/>
        </w:rPr>
        <w:t xml:space="preserve"> croissance organique </w:t>
      </w:r>
      <w:r w:rsidR="003F7803">
        <w:rPr>
          <w:rFonts w:cs="Arial"/>
        </w:rPr>
        <w:t xml:space="preserve">des services d’infrastructure cloud et de </w:t>
      </w:r>
      <w:r w:rsidR="003F7803">
        <w:rPr>
          <w:rFonts w:cs="Arial"/>
          <w:i/>
          <w:iCs/>
        </w:rPr>
        <w:t>Business Services</w:t>
      </w:r>
      <w:r w:rsidR="003F7803">
        <w:rPr>
          <w:rFonts w:cs="Arial"/>
        </w:rPr>
        <w:t xml:space="preserve"> </w:t>
      </w:r>
      <w:r w:rsidR="00143EC3">
        <w:rPr>
          <w:rFonts w:cs="Arial"/>
        </w:rPr>
        <w:t>(</w:t>
      </w:r>
      <w:r w:rsidR="004F3E4B">
        <w:rPr>
          <w:rFonts w:cs="Arial"/>
        </w:rPr>
        <w:t xml:space="preserve">les </w:t>
      </w:r>
      <w:r w:rsidR="00143EC3">
        <w:rPr>
          <w:rFonts w:cs="Arial"/>
        </w:rPr>
        <w:t>métier</w:t>
      </w:r>
      <w:r w:rsidR="004F3E4B">
        <w:rPr>
          <w:rFonts w:cs="Arial"/>
        </w:rPr>
        <w:t>s</w:t>
      </w:r>
      <w:r w:rsidR="00143EC3">
        <w:rPr>
          <w:rFonts w:cs="Arial"/>
        </w:rPr>
        <w:t xml:space="preserve"> d’</w:t>
      </w:r>
      <w:r w:rsidR="00B6428A" w:rsidRPr="006B1196">
        <w:rPr>
          <w:rFonts w:cs="Arial"/>
          <w:b/>
          <w:bCs/>
        </w:rPr>
        <w:t>Opérations</w:t>
      </w:r>
      <w:r w:rsidR="00B6428A">
        <w:rPr>
          <w:rFonts w:cs="Arial"/>
        </w:rPr>
        <w:t xml:space="preserve">) </w:t>
      </w:r>
      <w:r w:rsidR="00447271">
        <w:rPr>
          <w:rFonts w:cs="Arial"/>
        </w:rPr>
        <w:t>n’</w:t>
      </w:r>
      <w:r w:rsidR="00D53D9B">
        <w:rPr>
          <w:rFonts w:cs="Arial"/>
        </w:rPr>
        <w:t>ont</w:t>
      </w:r>
      <w:r w:rsidR="00447271">
        <w:rPr>
          <w:rFonts w:cs="Arial"/>
        </w:rPr>
        <w:t xml:space="preserve"> été que </w:t>
      </w:r>
      <w:r w:rsidR="00D53D9B">
        <w:rPr>
          <w:rFonts w:cs="Arial"/>
        </w:rPr>
        <w:t xml:space="preserve">relativement </w:t>
      </w:r>
      <w:r w:rsidR="00447271">
        <w:rPr>
          <w:rFonts w:cs="Arial"/>
        </w:rPr>
        <w:t>peu affecté</w:t>
      </w:r>
      <w:r w:rsidR="00D53D9B">
        <w:rPr>
          <w:rFonts w:cs="Arial"/>
        </w:rPr>
        <w:t>s</w:t>
      </w:r>
      <w:r w:rsidR="00447271">
        <w:rPr>
          <w:rFonts w:cs="Arial"/>
        </w:rPr>
        <w:t xml:space="preserve"> </w:t>
      </w:r>
      <w:r w:rsidR="00D53D9B">
        <w:rPr>
          <w:rFonts w:cs="Arial"/>
        </w:rPr>
        <w:t>par le contexte</w:t>
      </w:r>
      <w:r w:rsidR="00B03842">
        <w:rPr>
          <w:rFonts w:cs="Arial"/>
        </w:rPr>
        <w:t>,</w:t>
      </w:r>
      <w:r w:rsidR="00B6428A">
        <w:rPr>
          <w:rFonts w:cs="Arial"/>
        </w:rPr>
        <w:t xml:space="preserve"> tandis que les métiers </w:t>
      </w:r>
      <w:r w:rsidR="002863D7">
        <w:rPr>
          <w:rFonts w:cs="Arial"/>
        </w:rPr>
        <w:t>d’</w:t>
      </w:r>
      <w:r w:rsidR="002863D7" w:rsidRPr="0004689A">
        <w:rPr>
          <w:rFonts w:cs="Arial"/>
          <w:b/>
          <w:bCs/>
        </w:rPr>
        <w:t>Ingénierie</w:t>
      </w:r>
      <w:r w:rsidR="002863D7">
        <w:rPr>
          <w:rFonts w:cs="Arial"/>
        </w:rPr>
        <w:t xml:space="preserve"> et </w:t>
      </w:r>
      <w:r w:rsidR="00B6428A">
        <w:rPr>
          <w:rFonts w:cs="Arial"/>
        </w:rPr>
        <w:t xml:space="preserve">de conseil </w:t>
      </w:r>
      <w:r w:rsidR="00B6428A" w:rsidRPr="00EA7C4B">
        <w:rPr>
          <w:rFonts w:cs="Arial"/>
        </w:rPr>
        <w:t xml:space="preserve">en </w:t>
      </w:r>
      <w:r w:rsidR="00B6428A" w:rsidRPr="006B1196">
        <w:rPr>
          <w:rFonts w:cs="Arial"/>
          <w:b/>
          <w:bCs/>
        </w:rPr>
        <w:t>Stratégie</w:t>
      </w:r>
      <w:r w:rsidR="00B6428A" w:rsidRPr="00EA7C4B">
        <w:rPr>
          <w:rFonts w:cs="Arial"/>
        </w:rPr>
        <w:t xml:space="preserve"> et </w:t>
      </w:r>
      <w:r w:rsidR="00B6428A" w:rsidRPr="006B1196">
        <w:rPr>
          <w:rFonts w:cs="Arial"/>
          <w:b/>
          <w:bCs/>
        </w:rPr>
        <w:t>Transformation</w:t>
      </w:r>
      <w:r w:rsidR="00B6428A">
        <w:rPr>
          <w:rFonts w:cs="Arial"/>
        </w:rPr>
        <w:t xml:space="preserve"> ont </w:t>
      </w:r>
      <w:r w:rsidR="00455162">
        <w:rPr>
          <w:rFonts w:cs="Arial"/>
        </w:rPr>
        <w:t xml:space="preserve">eu </w:t>
      </w:r>
      <w:r w:rsidR="00B6428A">
        <w:rPr>
          <w:rFonts w:cs="Arial"/>
        </w:rPr>
        <w:t xml:space="preserve">tendance </w:t>
      </w:r>
      <w:r w:rsidR="00493004">
        <w:rPr>
          <w:rFonts w:cs="Arial"/>
        </w:rPr>
        <w:t>à</w:t>
      </w:r>
      <w:r w:rsidR="00B6428A">
        <w:rPr>
          <w:rFonts w:cs="Arial"/>
        </w:rPr>
        <w:t xml:space="preserve"> enregistrer un ralentissement plus marqué</w:t>
      </w:r>
      <w:r w:rsidR="00AE7049">
        <w:rPr>
          <w:rFonts w:cs="Arial"/>
        </w:rPr>
        <w:t xml:space="preserve"> que la moyenne du Groupe</w:t>
      </w:r>
      <w:r w:rsidR="00B6428A">
        <w:rPr>
          <w:rFonts w:cs="Arial"/>
        </w:rPr>
        <w:t>.</w:t>
      </w:r>
      <w:r w:rsidR="00AE7049">
        <w:rPr>
          <w:rFonts w:cs="Arial"/>
        </w:rPr>
        <w:t xml:space="preserve"> </w:t>
      </w:r>
      <w:r w:rsidR="00107AD5" w:rsidRPr="002F446E">
        <w:rPr>
          <w:rFonts w:cs="Arial"/>
        </w:rPr>
        <w:t>Les services</w:t>
      </w:r>
      <w:r w:rsidR="00107AD5" w:rsidRPr="002F446E">
        <w:rPr>
          <w:rFonts w:cs="Arial"/>
          <w:b/>
        </w:rPr>
        <w:t xml:space="preserve"> </w:t>
      </w:r>
      <w:r w:rsidR="00107AD5" w:rsidRPr="002F446E">
        <w:rPr>
          <w:rFonts w:cs="Arial"/>
        </w:rPr>
        <w:t>d’</w:t>
      </w:r>
      <w:r w:rsidR="00107AD5" w:rsidRPr="002F446E">
        <w:rPr>
          <w:rFonts w:cs="Arial"/>
          <w:b/>
        </w:rPr>
        <w:t xml:space="preserve">Applications </w:t>
      </w:r>
      <w:r w:rsidR="00107AD5" w:rsidRPr="002F446E">
        <w:rPr>
          <w:rFonts w:cs="Arial"/>
        </w:rPr>
        <w:t>et de</w:t>
      </w:r>
      <w:r w:rsidR="00107AD5" w:rsidRPr="002F446E">
        <w:rPr>
          <w:rFonts w:cs="Arial"/>
          <w:b/>
        </w:rPr>
        <w:t xml:space="preserve"> Technologie</w:t>
      </w:r>
      <w:r w:rsidR="00107AD5">
        <w:rPr>
          <w:rFonts w:cs="Arial"/>
        </w:rPr>
        <w:t xml:space="preserve">, </w:t>
      </w:r>
      <w:r w:rsidR="00107AD5" w:rsidRPr="0016295C">
        <w:rPr>
          <w:rFonts w:cs="Arial"/>
        </w:rPr>
        <w:t>qui constituent le cœur de l’activité du Groupe</w:t>
      </w:r>
      <w:r w:rsidR="00107AD5">
        <w:rPr>
          <w:rFonts w:cs="Arial"/>
        </w:rPr>
        <w:t xml:space="preserve">, </w:t>
      </w:r>
      <w:r w:rsidR="00D66958">
        <w:rPr>
          <w:rFonts w:cs="Arial"/>
        </w:rPr>
        <w:t xml:space="preserve">ont </w:t>
      </w:r>
      <w:r w:rsidR="00DA761B">
        <w:rPr>
          <w:rFonts w:cs="Arial"/>
        </w:rPr>
        <w:t xml:space="preserve">quant à eux </w:t>
      </w:r>
      <w:r w:rsidR="00EA1903">
        <w:rPr>
          <w:rFonts w:cs="Arial"/>
        </w:rPr>
        <w:t>démontré une résilience l</w:t>
      </w:r>
      <w:r w:rsidR="00ED5548">
        <w:rPr>
          <w:rFonts w:cs="Arial"/>
        </w:rPr>
        <w:t>ég</w:t>
      </w:r>
      <w:r w:rsidR="004F3E4B">
        <w:rPr>
          <w:rFonts w:cs="Arial"/>
        </w:rPr>
        <w:t>èrement supérieure à la moyenne du Groupe.</w:t>
      </w:r>
    </w:p>
    <w:p w14:paraId="2F8E6D4B" w14:textId="3954F729" w:rsidR="00DF72FD" w:rsidRPr="00907331" w:rsidRDefault="00DF72FD" w:rsidP="00907331">
      <w:pPr>
        <w:pStyle w:val="ListParagraph"/>
        <w:numPr>
          <w:ilvl w:val="0"/>
          <w:numId w:val="11"/>
        </w:numPr>
        <w:spacing w:before="120" w:after="120" w:line="276" w:lineRule="auto"/>
        <w:rPr>
          <w:rFonts w:cs="Arial"/>
          <w:b/>
          <w:bCs/>
        </w:rPr>
      </w:pPr>
      <w:r w:rsidRPr="00907331">
        <w:rPr>
          <w:rFonts w:cs="Arial"/>
          <w:b/>
          <w:bCs/>
        </w:rPr>
        <w:t>1</w:t>
      </w:r>
      <w:r w:rsidRPr="00907331">
        <w:rPr>
          <w:rFonts w:cs="Arial"/>
          <w:b/>
          <w:bCs/>
          <w:vertAlign w:val="superscript"/>
        </w:rPr>
        <w:t>er</w:t>
      </w:r>
      <w:r w:rsidRPr="00907331">
        <w:rPr>
          <w:rFonts w:cs="Arial"/>
          <w:b/>
          <w:bCs/>
        </w:rPr>
        <w:t xml:space="preserve"> semestre</w:t>
      </w:r>
      <w:r w:rsidR="003945C1">
        <w:rPr>
          <w:rFonts w:cs="Arial"/>
          <w:b/>
          <w:bCs/>
        </w:rPr>
        <w:t> :</w:t>
      </w:r>
    </w:p>
    <w:p w14:paraId="0AA56910" w14:textId="4458D773" w:rsidR="00230C70" w:rsidRPr="002F446E" w:rsidRDefault="00230C70" w:rsidP="00907331">
      <w:pPr>
        <w:spacing w:before="120" w:after="120" w:line="276" w:lineRule="auto"/>
        <w:rPr>
          <w:rFonts w:cs="Arial"/>
        </w:rPr>
      </w:pPr>
      <w:r w:rsidRPr="002F446E">
        <w:rPr>
          <w:rFonts w:cs="Arial"/>
        </w:rPr>
        <w:t xml:space="preserve">Les activités de conseil </w:t>
      </w:r>
      <w:bookmarkStart w:id="16" w:name="_Hlk48334998"/>
      <w:r w:rsidRPr="002F446E">
        <w:rPr>
          <w:rFonts w:cs="Arial"/>
        </w:rPr>
        <w:t xml:space="preserve">en </w:t>
      </w:r>
      <w:r w:rsidRPr="002F446E">
        <w:rPr>
          <w:rFonts w:cs="Arial"/>
          <w:b/>
        </w:rPr>
        <w:t>Stratégie</w:t>
      </w:r>
      <w:r w:rsidRPr="002F446E">
        <w:rPr>
          <w:rFonts w:cs="Arial"/>
        </w:rPr>
        <w:t xml:space="preserve"> et </w:t>
      </w:r>
      <w:r w:rsidRPr="002F446E">
        <w:rPr>
          <w:rFonts w:cs="Arial"/>
          <w:b/>
        </w:rPr>
        <w:t>Transformation</w:t>
      </w:r>
      <w:bookmarkEnd w:id="16"/>
      <w:r w:rsidRPr="002F446E">
        <w:rPr>
          <w:rFonts w:cs="Arial"/>
        </w:rPr>
        <w:t xml:space="preserve">, </w:t>
      </w:r>
      <w:r w:rsidR="006B0F7B">
        <w:rPr>
          <w:rFonts w:cs="Arial"/>
        </w:rPr>
        <w:t>ont bénéficié de l’intégration des services de conseil à forte valeur ajoutée développés par Altran ces dernières années</w:t>
      </w:r>
      <w:r w:rsidR="006B0F7B" w:rsidRPr="002F446E">
        <w:rPr>
          <w:rFonts w:cs="Arial"/>
        </w:rPr>
        <w:t xml:space="preserve"> </w:t>
      </w:r>
      <w:r w:rsidR="006B0F7B">
        <w:rPr>
          <w:rFonts w:cs="Arial"/>
        </w:rPr>
        <w:t xml:space="preserve">et </w:t>
      </w:r>
      <w:r w:rsidRPr="002F446E">
        <w:rPr>
          <w:rFonts w:cs="Arial"/>
        </w:rPr>
        <w:t xml:space="preserve">enregistrent </w:t>
      </w:r>
      <w:r w:rsidR="006B0F7B">
        <w:rPr>
          <w:rFonts w:cs="Arial"/>
        </w:rPr>
        <w:t xml:space="preserve">ainsi </w:t>
      </w:r>
      <w:r w:rsidRPr="002F446E">
        <w:rPr>
          <w:rFonts w:cs="Arial"/>
        </w:rPr>
        <w:t xml:space="preserve">une hausse </w:t>
      </w:r>
      <w:r w:rsidR="006B0F7B" w:rsidRPr="002F446E">
        <w:rPr>
          <w:rFonts w:cs="Arial"/>
        </w:rPr>
        <w:t xml:space="preserve">de </w:t>
      </w:r>
      <w:r w:rsidR="00B03842">
        <w:rPr>
          <w:rFonts w:cs="Arial"/>
        </w:rPr>
        <w:t>+</w:t>
      </w:r>
      <w:r w:rsidR="006B0F7B">
        <w:rPr>
          <w:rFonts w:cs="Arial"/>
        </w:rPr>
        <w:t>8,6</w:t>
      </w:r>
      <w:r w:rsidR="006B0F7B" w:rsidRPr="002F446E">
        <w:rPr>
          <w:rFonts w:cs="Arial"/>
        </w:rPr>
        <w:t>%</w:t>
      </w:r>
      <w:r w:rsidR="006B0F7B">
        <w:rPr>
          <w:rFonts w:cs="Arial"/>
        </w:rPr>
        <w:t xml:space="preserve"> </w:t>
      </w:r>
      <w:r w:rsidR="006B0F7B" w:rsidRPr="002F446E">
        <w:rPr>
          <w:rFonts w:cs="Arial"/>
        </w:rPr>
        <w:t xml:space="preserve">à taux de change constants </w:t>
      </w:r>
      <w:r w:rsidR="009F7681" w:rsidRPr="002F446E">
        <w:rPr>
          <w:rFonts w:cs="Arial"/>
        </w:rPr>
        <w:t>de leur chiffre d'affaires total</w:t>
      </w:r>
      <w:r w:rsidR="0082230E" w:rsidRPr="00907331">
        <w:rPr>
          <w:rFonts w:cs="Arial"/>
          <w:vertAlign w:val="superscript"/>
        </w:rPr>
        <w:fldChar w:fldCharType="begin"/>
      </w:r>
      <w:r w:rsidR="0082230E" w:rsidRPr="00907331">
        <w:rPr>
          <w:rFonts w:cs="Arial"/>
          <w:vertAlign w:val="superscript"/>
        </w:rPr>
        <w:instrText xml:space="preserve"> NOTEREF _Ref13738408 \h </w:instrText>
      </w:r>
      <w:r w:rsidR="0082230E">
        <w:rPr>
          <w:rFonts w:cs="Arial"/>
          <w:vertAlign w:val="superscript"/>
        </w:rPr>
        <w:instrText xml:space="preserve"> \* MERGEFORMAT </w:instrText>
      </w:r>
      <w:r w:rsidR="0082230E" w:rsidRPr="00907331">
        <w:rPr>
          <w:rFonts w:cs="Arial"/>
          <w:vertAlign w:val="superscript"/>
        </w:rPr>
      </w:r>
      <w:r w:rsidR="0082230E" w:rsidRPr="00907331">
        <w:rPr>
          <w:rFonts w:cs="Arial"/>
          <w:vertAlign w:val="superscript"/>
        </w:rPr>
        <w:fldChar w:fldCharType="separate"/>
      </w:r>
      <w:r w:rsidR="00B02E5E" w:rsidRPr="00B02E5E">
        <w:t>*</w:t>
      </w:r>
      <w:r w:rsidR="0082230E" w:rsidRPr="00907331">
        <w:rPr>
          <w:rFonts w:cs="Arial"/>
          <w:vertAlign w:val="superscript"/>
        </w:rPr>
        <w:fldChar w:fldCharType="end"/>
      </w:r>
      <w:r w:rsidR="008D710D">
        <w:rPr>
          <w:rFonts w:cs="Arial"/>
        </w:rPr>
        <w:t>.</w:t>
      </w:r>
    </w:p>
    <w:p w14:paraId="06BC4316" w14:textId="66428712" w:rsidR="00230C70" w:rsidRPr="002F446E" w:rsidRDefault="00230C70" w:rsidP="00907331">
      <w:pPr>
        <w:spacing w:before="120" w:after="120" w:line="276" w:lineRule="auto"/>
        <w:rPr>
          <w:rFonts w:cs="Arial"/>
        </w:rPr>
      </w:pPr>
      <w:r w:rsidRPr="002F446E">
        <w:rPr>
          <w:rFonts w:cs="Arial"/>
        </w:rPr>
        <w:t>Les services</w:t>
      </w:r>
      <w:r w:rsidRPr="002F446E">
        <w:rPr>
          <w:rFonts w:cs="Arial"/>
          <w:b/>
        </w:rPr>
        <w:t xml:space="preserve"> </w:t>
      </w:r>
      <w:r w:rsidRPr="002F446E">
        <w:rPr>
          <w:rFonts w:cs="Arial"/>
        </w:rPr>
        <w:t>d’</w:t>
      </w:r>
      <w:r w:rsidRPr="002F446E">
        <w:rPr>
          <w:rFonts w:cs="Arial"/>
          <w:b/>
        </w:rPr>
        <w:t xml:space="preserve">Applications </w:t>
      </w:r>
      <w:r w:rsidRPr="002F446E">
        <w:rPr>
          <w:rFonts w:cs="Arial"/>
        </w:rPr>
        <w:t>et de</w:t>
      </w:r>
      <w:r w:rsidRPr="002F446E">
        <w:rPr>
          <w:rFonts w:cs="Arial"/>
          <w:b/>
        </w:rPr>
        <w:t xml:space="preserve"> Technologie</w:t>
      </w:r>
      <w:r w:rsidR="00326393" w:rsidRPr="0016295C">
        <w:rPr>
          <w:rFonts w:cs="Arial"/>
        </w:rPr>
        <w:t>,</w:t>
      </w:r>
      <w:r w:rsidRPr="0016295C">
        <w:rPr>
          <w:rFonts w:cs="Arial"/>
        </w:rPr>
        <w:t xml:space="preserve"> qui constituent le cœur de l’activité du Groupe</w:t>
      </w:r>
      <w:r w:rsidR="00326393" w:rsidRPr="0016295C">
        <w:rPr>
          <w:rFonts w:cs="Arial"/>
        </w:rPr>
        <w:t>,</w:t>
      </w:r>
      <w:r w:rsidRPr="002F446E">
        <w:rPr>
          <w:rFonts w:cs="Arial"/>
        </w:rPr>
        <w:t xml:space="preserve"> </w:t>
      </w:r>
      <w:r w:rsidR="00AE6A4A" w:rsidRPr="002F446E">
        <w:rPr>
          <w:rFonts w:cs="Arial"/>
        </w:rPr>
        <w:t xml:space="preserve">voient leur chiffre d’affaires total </w:t>
      </w:r>
      <w:r w:rsidR="00F86D52">
        <w:rPr>
          <w:rFonts w:cs="Arial"/>
        </w:rPr>
        <w:t xml:space="preserve">reculer </w:t>
      </w:r>
      <w:r w:rsidR="00063287">
        <w:rPr>
          <w:rFonts w:cs="Arial"/>
        </w:rPr>
        <w:t xml:space="preserve">légèrement, </w:t>
      </w:r>
      <w:r w:rsidR="00AE6A4A" w:rsidRPr="002F446E">
        <w:rPr>
          <w:rFonts w:cs="Arial"/>
        </w:rPr>
        <w:t xml:space="preserve">de </w:t>
      </w:r>
      <w:r w:rsidR="00B03842">
        <w:rPr>
          <w:rFonts w:cs="Arial"/>
        </w:rPr>
        <w:t>-</w:t>
      </w:r>
      <w:r w:rsidR="00F86D52">
        <w:rPr>
          <w:rFonts w:cs="Arial"/>
        </w:rPr>
        <w:t>1,3</w:t>
      </w:r>
      <w:r w:rsidR="00AE6A4A" w:rsidRPr="002F446E">
        <w:rPr>
          <w:rFonts w:cs="Arial"/>
        </w:rPr>
        <w:t xml:space="preserve">% à taux de change constants. </w:t>
      </w:r>
      <w:r w:rsidR="00C86707">
        <w:rPr>
          <w:rFonts w:cs="Arial"/>
        </w:rPr>
        <w:t xml:space="preserve">L’impact de l’acquisition d’Altran </w:t>
      </w:r>
      <w:r w:rsidR="0031247B">
        <w:rPr>
          <w:rFonts w:cs="Arial"/>
        </w:rPr>
        <w:t xml:space="preserve">sur la croissance à taux de change constants </w:t>
      </w:r>
      <w:r w:rsidR="00C86707">
        <w:rPr>
          <w:rFonts w:cs="Arial"/>
        </w:rPr>
        <w:t xml:space="preserve">est </w:t>
      </w:r>
      <w:r w:rsidR="006073C1">
        <w:rPr>
          <w:rFonts w:cs="Arial"/>
        </w:rPr>
        <w:t>limité</w:t>
      </w:r>
      <w:r w:rsidR="00C86707">
        <w:rPr>
          <w:rFonts w:cs="Arial"/>
        </w:rPr>
        <w:t xml:space="preserve"> dans cette ligne de service.</w:t>
      </w:r>
    </w:p>
    <w:p w14:paraId="7F666646" w14:textId="2144A4B8" w:rsidR="00230C70" w:rsidRDefault="00230C70" w:rsidP="00907331">
      <w:pPr>
        <w:spacing w:before="120" w:after="120" w:line="276" w:lineRule="auto"/>
        <w:rPr>
          <w:rFonts w:cs="Arial"/>
        </w:rPr>
      </w:pPr>
      <w:r w:rsidRPr="002F446E">
        <w:rPr>
          <w:rFonts w:cs="Arial"/>
        </w:rPr>
        <w:t>Enfin</w:t>
      </w:r>
      <w:r w:rsidR="00AE6A4A" w:rsidRPr="002F446E">
        <w:rPr>
          <w:rFonts w:cs="Arial"/>
        </w:rPr>
        <w:t>,</w:t>
      </w:r>
      <w:r w:rsidRPr="002F446E">
        <w:rPr>
          <w:rFonts w:cs="Arial"/>
        </w:rPr>
        <w:t xml:space="preserve"> l</w:t>
      </w:r>
      <w:r w:rsidR="00AE6A4A" w:rsidRPr="002F446E">
        <w:rPr>
          <w:rFonts w:cs="Arial"/>
        </w:rPr>
        <w:t>e chiffre d’affaires total d</w:t>
      </w:r>
      <w:r w:rsidRPr="002F446E">
        <w:rPr>
          <w:rFonts w:cs="Arial"/>
        </w:rPr>
        <w:t>es services d’</w:t>
      </w:r>
      <w:r w:rsidRPr="002F446E">
        <w:rPr>
          <w:rFonts w:cs="Arial"/>
          <w:b/>
        </w:rPr>
        <w:t>Opérations</w:t>
      </w:r>
      <w:r w:rsidRPr="002F446E">
        <w:rPr>
          <w:rFonts w:cs="Arial"/>
        </w:rPr>
        <w:t xml:space="preserve"> et d’</w:t>
      </w:r>
      <w:r w:rsidRPr="002F446E">
        <w:rPr>
          <w:rFonts w:cs="Arial"/>
          <w:b/>
        </w:rPr>
        <w:t>Ingénierie</w:t>
      </w:r>
      <w:r w:rsidRPr="002F446E">
        <w:rPr>
          <w:rFonts w:cs="Arial"/>
        </w:rPr>
        <w:t xml:space="preserve"> </w:t>
      </w:r>
      <w:r w:rsidR="000F66AF">
        <w:rPr>
          <w:rFonts w:cs="Arial"/>
        </w:rPr>
        <w:t>affiche une</w:t>
      </w:r>
      <w:r w:rsidR="00AE6A4A" w:rsidRPr="002F446E">
        <w:rPr>
          <w:rFonts w:cs="Arial"/>
        </w:rPr>
        <w:t xml:space="preserve"> croissance </w:t>
      </w:r>
      <w:r w:rsidRPr="002F446E">
        <w:rPr>
          <w:rFonts w:cs="Arial"/>
        </w:rPr>
        <w:t xml:space="preserve">de </w:t>
      </w:r>
      <w:r w:rsidR="00B03842">
        <w:rPr>
          <w:rFonts w:cs="Arial"/>
        </w:rPr>
        <w:t>+</w:t>
      </w:r>
      <w:r w:rsidR="0017509A">
        <w:rPr>
          <w:rFonts w:cs="Arial"/>
        </w:rPr>
        <w:t>37,2</w:t>
      </w:r>
      <w:r w:rsidRPr="002F446E">
        <w:rPr>
          <w:rFonts w:cs="Arial"/>
        </w:rPr>
        <w:t>% à taux de change constants</w:t>
      </w:r>
      <w:r w:rsidR="000F66AF">
        <w:rPr>
          <w:rFonts w:cs="Arial"/>
        </w:rPr>
        <w:t xml:space="preserve"> sous l’effet de l’intégration d’Altran, dont l’essentiel des activités </w:t>
      </w:r>
      <w:r w:rsidR="00677102">
        <w:rPr>
          <w:rFonts w:cs="Arial"/>
        </w:rPr>
        <w:t>relèvent de l’Ingéni</w:t>
      </w:r>
      <w:r w:rsidR="002C373E">
        <w:rPr>
          <w:rFonts w:cs="Arial"/>
        </w:rPr>
        <w:t>e</w:t>
      </w:r>
      <w:r w:rsidR="00677102">
        <w:rPr>
          <w:rFonts w:cs="Arial"/>
        </w:rPr>
        <w:t>rie</w:t>
      </w:r>
      <w:r w:rsidRPr="002F446E">
        <w:rPr>
          <w:rFonts w:cs="Arial"/>
        </w:rPr>
        <w:t>.</w:t>
      </w:r>
    </w:p>
    <w:bookmarkEnd w:id="14"/>
    <w:bookmarkEnd w:id="15"/>
    <w:p w14:paraId="0B6D1A9B" w14:textId="2E5C35FB" w:rsidR="00B00202" w:rsidRPr="00087EB2" w:rsidRDefault="00B00202" w:rsidP="00907331">
      <w:pPr>
        <w:spacing w:before="120" w:after="120" w:line="276" w:lineRule="auto"/>
        <w:rPr>
          <w:rFonts w:ascii="Verdana" w:hAnsi="Verdana" w:cs="Arial"/>
          <w:b/>
        </w:rPr>
      </w:pPr>
    </w:p>
    <w:p w14:paraId="73A25751" w14:textId="42D12BC8" w:rsidR="00B00202" w:rsidRPr="002F446E" w:rsidRDefault="00C96D53" w:rsidP="00907331">
      <w:pPr>
        <w:pStyle w:val="Heading1"/>
        <w:spacing w:line="276" w:lineRule="auto"/>
      </w:pPr>
      <w:r w:rsidRPr="002F446E">
        <w:t>ÉVOLUTION DES EFFECTIFS</w:t>
      </w:r>
    </w:p>
    <w:p w14:paraId="7A274E75" w14:textId="616FDEE3" w:rsidR="00980F65" w:rsidRPr="002F446E" w:rsidRDefault="00980F65" w:rsidP="00907331">
      <w:pPr>
        <w:pStyle w:val="BodyText"/>
        <w:spacing w:line="276" w:lineRule="auto"/>
      </w:pPr>
      <w:r w:rsidRPr="002F446E">
        <w:t xml:space="preserve">Au 30 juin </w:t>
      </w:r>
      <w:r w:rsidR="00580CAF">
        <w:t>2020</w:t>
      </w:r>
      <w:r w:rsidRPr="002F446E">
        <w:t xml:space="preserve">, l’effectif total du Groupe s’établit à </w:t>
      </w:r>
      <w:r w:rsidR="00320F45">
        <w:t>265 100</w:t>
      </w:r>
      <w:r w:rsidRPr="002F446E">
        <w:t xml:space="preserve"> personnes, </w:t>
      </w:r>
      <w:r w:rsidR="00827552">
        <w:t>en</w:t>
      </w:r>
      <w:r w:rsidRPr="002F446E">
        <w:t xml:space="preserve"> </w:t>
      </w:r>
      <w:r w:rsidR="00100253">
        <w:t>hausse</w:t>
      </w:r>
      <w:r w:rsidRPr="002F446E">
        <w:t xml:space="preserve"> de </w:t>
      </w:r>
      <w:r w:rsidR="00B03842">
        <w:t>+</w:t>
      </w:r>
      <w:r w:rsidR="001A5384">
        <w:t>22</w:t>
      </w:r>
      <w:r w:rsidRPr="002F446E">
        <w:t>% sur un an</w:t>
      </w:r>
      <w:r w:rsidR="00522054">
        <w:t xml:space="preserve"> principalement sous l’effet de </w:t>
      </w:r>
      <w:r w:rsidR="00522054" w:rsidRPr="008D3B10">
        <w:t xml:space="preserve">l’intégration </w:t>
      </w:r>
      <w:r w:rsidR="002E1F65">
        <w:t>de</w:t>
      </w:r>
      <w:r w:rsidR="00C71B78">
        <w:t>s</w:t>
      </w:r>
      <w:r w:rsidR="00521EB1">
        <w:t xml:space="preserve"> </w:t>
      </w:r>
      <w:r w:rsidR="002A73DE" w:rsidRPr="00907331">
        <w:t>50</w:t>
      </w:r>
      <w:r w:rsidR="00522054" w:rsidRPr="00593312">
        <w:t xml:space="preserve"> </w:t>
      </w:r>
      <w:r w:rsidR="002A73DE" w:rsidRPr="00907331">
        <w:t>0</w:t>
      </w:r>
      <w:r w:rsidR="002A73DE" w:rsidRPr="00593312">
        <w:t xml:space="preserve">00 </w:t>
      </w:r>
      <w:r w:rsidR="00522054" w:rsidRPr="00593312">
        <w:t>collaborateurs</w:t>
      </w:r>
      <w:r w:rsidR="00522054">
        <w:t xml:space="preserve"> d’Altran</w:t>
      </w:r>
      <w:r w:rsidRPr="002F446E">
        <w:t xml:space="preserve">. </w:t>
      </w:r>
      <w:proofErr w:type="gramStart"/>
      <w:r w:rsidRPr="002F446E">
        <w:t xml:space="preserve">Les effectifs </w:t>
      </w:r>
      <w:r w:rsidRPr="002F446E">
        <w:rPr>
          <w:i/>
        </w:rPr>
        <w:t>offshore</w:t>
      </w:r>
      <w:proofErr w:type="gramEnd"/>
      <w:r w:rsidRPr="002F446E">
        <w:t xml:space="preserve"> représentent près de </w:t>
      </w:r>
      <w:r w:rsidR="00827552">
        <w:t>139 500</w:t>
      </w:r>
      <w:r w:rsidRPr="002F446E">
        <w:t xml:space="preserve"> collaborateurs</w:t>
      </w:r>
      <w:r w:rsidR="000C7D77">
        <w:t>,</w:t>
      </w:r>
      <w:r w:rsidRPr="002F446E">
        <w:t xml:space="preserve"> </w:t>
      </w:r>
      <w:r w:rsidR="00827552">
        <w:t>soit</w:t>
      </w:r>
      <w:r w:rsidRPr="002F446E">
        <w:t xml:space="preserve"> </w:t>
      </w:r>
      <w:r w:rsidR="00827552">
        <w:t>53</w:t>
      </w:r>
      <w:r w:rsidRPr="002F446E">
        <w:t xml:space="preserve">% de l’effectif total. </w:t>
      </w:r>
    </w:p>
    <w:p w14:paraId="37EB691F" w14:textId="77777777" w:rsidR="00B00202" w:rsidRPr="002F446E" w:rsidRDefault="00B00202" w:rsidP="00907331">
      <w:pPr>
        <w:spacing w:before="120" w:after="120" w:line="276" w:lineRule="auto"/>
        <w:rPr>
          <w:rFonts w:ascii="Verdana" w:hAnsi="Verdana" w:cs="Arial"/>
        </w:rPr>
      </w:pPr>
    </w:p>
    <w:p w14:paraId="5D2C9B7C" w14:textId="15317743" w:rsidR="00B00202" w:rsidRPr="002F446E" w:rsidRDefault="00C96D53" w:rsidP="00907331">
      <w:pPr>
        <w:pStyle w:val="Heading1"/>
        <w:spacing w:line="276" w:lineRule="auto"/>
      </w:pPr>
      <w:r w:rsidRPr="002F446E">
        <w:t>BILAN</w:t>
      </w:r>
    </w:p>
    <w:p w14:paraId="101DBA00" w14:textId="3A4974F8" w:rsidR="00C0138D" w:rsidRDefault="0076342F" w:rsidP="00907331">
      <w:pPr>
        <w:spacing w:before="120" w:after="120" w:line="276" w:lineRule="auto"/>
        <w:rPr>
          <w:rFonts w:ascii="Verdana" w:hAnsi="Verdana" w:cs="Arial"/>
        </w:rPr>
      </w:pPr>
      <w:r>
        <w:rPr>
          <w:rFonts w:ascii="Verdana" w:hAnsi="Verdana" w:cs="Arial"/>
        </w:rPr>
        <w:t>Au cours du 1</w:t>
      </w:r>
      <w:r w:rsidRPr="00907331">
        <w:rPr>
          <w:rFonts w:ascii="Verdana" w:hAnsi="Verdana" w:cs="Arial"/>
          <w:vertAlign w:val="superscript"/>
        </w:rPr>
        <w:t>er</w:t>
      </w:r>
      <w:r>
        <w:rPr>
          <w:rFonts w:ascii="Verdana" w:hAnsi="Verdana" w:cs="Arial"/>
        </w:rPr>
        <w:t xml:space="preserve"> semestre 2020, l</w:t>
      </w:r>
      <w:r w:rsidR="00C0138D">
        <w:rPr>
          <w:rFonts w:ascii="Verdana" w:hAnsi="Verdana" w:cs="Arial"/>
        </w:rPr>
        <w:t>a structure du bilan</w:t>
      </w:r>
      <w:r w:rsidR="00034934">
        <w:rPr>
          <w:rFonts w:ascii="Verdana" w:hAnsi="Verdana" w:cs="Arial"/>
        </w:rPr>
        <w:t xml:space="preserve"> </w:t>
      </w:r>
      <w:r w:rsidR="004E7129">
        <w:rPr>
          <w:rFonts w:ascii="Verdana" w:hAnsi="Verdana" w:cs="Arial"/>
        </w:rPr>
        <w:t xml:space="preserve">de Capgemini </w:t>
      </w:r>
      <w:r>
        <w:rPr>
          <w:rFonts w:ascii="Verdana" w:hAnsi="Verdana" w:cs="Arial"/>
        </w:rPr>
        <w:t xml:space="preserve">a sensiblement évolué </w:t>
      </w:r>
      <w:r w:rsidR="00BD414D">
        <w:rPr>
          <w:rFonts w:ascii="Verdana" w:hAnsi="Verdana" w:cs="Arial"/>
        </w:rPr>
        <w:t xml:space="preserve">avec </w:t>
      </w:r>
      <w:r w:rsidR="00F625BD">
        <w:rPr>
          <w:rFonts w:ascii="Verdana" w:hAnsi="Verdana" w:cs="Arial"/>
        </w:rPr>
        <w:t>l’acquisition d’Altran</w:t>
      </w:r>
      <w:r w:rsidR="00502764">
        <w:rPr>
          <w:rFonts w:ascii="Verdana" w:hAnsi="Verdana" w:cs="Arial"/>
        </w:rPr>
        <w:t xml:space="preserve"> </w:t>
      </w:r>
      <w:r w:rsidR="00CF48FE">
        <w:rPr>
          <w:rFonts w:ascii="Verdana" w:hAnsi="Verdana" w:cs="Arial"/>
        </w:rPr>
        <w:t xml:space="preserve">pour une valeur d’entreprise de 5,2 milliards d’euros </w:t>
      </w:r>
      <w:r w:rsidR="00BD414D">
        <w:rPr>
          <w:rFonts w:ascii="Verdana" w:hAnsi="Verdana" w:cs="Arial"/>
        </w:rPr>
        <w:t>(</w:t>
      </w:r>
      <w:r w:rsidR="00CF48FE">
        <w:rPr>
          <w:rFonts w:ascii="Verdana" w:hAnsi="Verdana" w:cs="Arial"/>
        </w:rPr>
        <w:t xml:space="preserve">dont </w:t>
      </w:r>
      <w:r w:rsidR="00BD414D" w:rsidRPr="00BD414D">
        <w:rPr>
          <w:rFonts w:ascii="Verdana" w:hAnsi="Verdana" w:cs="Arial"/>
        </w:rPr>
        <w:t>3,</w:t>
      </w:r>
      <w:r w:rsidR="00474265">
        <w:rPr>
          <w:rFonts w:ascii="Verdana" w:hAnsi="Verdana" w:cs="Arial"/>
        </w:rPr>
        <w:t>7</w:t>
      </w:r>
      <w:r w:rsidR="00BD414D" w:rsidRPr="00BD414D">
        <w:rPr>
          <w:rFonts w:ascii="Verdana" w:hAnsi="Verdana" w:cs="Arial"/>
        </w:rPr>
        <w:t xml:space="preserve"> milliards d’euros </w:t>
      </w:r>
      <w:r w:rsidR="002E0DD3" w:rsidRPr="002E0DD3">
        <w:rPr>
          <w:rFonts w:ascii="Verdana" w:hAnsi="Verdana" w:cs="Arial"/>
        </w:rPr>
        <w:t>pour l’achat en numéraire des titres au capital</w:t>
      </w:r>
      <w:bookmarkStart w:id="17" w:name="_Ref48670698"/>
      <w:r w:rsidR="005A3BBC">
        <w:rPr>
          <w:rStyle w:val="FootnoteReference"/>
          <w:rFonts w:ascii="Verdana" w:hAnsi="Verdana" w:cs="Arial"/>
        </w:rPr>
        <w:footnoteReference w:id="5"/>
      </w:r>
      <w:bookmarkEnd w:id="17"/>
      <w:r w:rsidR="008C6986">
        <w:rPr>
          <w:rFonts w:ascii="Verdana" w:hAnsi="Verdana" w:cs="Arial"/>
        </w:rPr>
        <w:t>)</w:t>
      </w:r>
      <w:r w:rsidR="00502764">
        <w:rPr>
          <w:rFonts w:ascii="Verdana" w:hAnsi="Verdana" w:cs="Arial"/>
        </w:rPr>
        <w:t>.</w:t>
      </w:r>
    </w:p>
    <w:p w14:paraId="00B044F0" w14:textId="242B7861" w:rsidR="009837FE" w:rsidRDefault="00CE773A" w:rsidP="00907331">
      <w:pPr>
        <w:spacing w:before="120" w:after="120" w:line="276" w:lineRule="auto"/>
        <w:rPr>
          <w:rFonts w:ascii="Verdana" w:hAnsi="Verdana" w:cs="Arial"/>
        </w:rPr>
      </w:pPr>
      <w:r>
        <w:rPr>
          <w:rFonts w:ascii="Verdana" w:hAnsi="Verdana" w:cs="Arial"/>
        </w:rPr>
        <w:t xml:space="preserve">L’acquisition </w:t>
      </w:r>
      <w:r w:rsidR="000324A4">
        <w:rPr>
          <w:rFonts w:ascii="Verdana" w:hAnsi="Verdana" w:cs="Arial"/>
        </w:rPr>
        <w:t xml:space="preserve">des titres Altran </w:t>
      </w:r>
      <w:r>
        <w:rPr>
          <w:rFonts w:ascii="Verdana" w:hAnsi="Verdana" w:cs="Arial"/>
        </w:rPr>
        <w:t xml:space="preserve">ayant été effectuée en deux étapes distinctes </w:t>
      </w:r>
      <w:r w:rsidR="009D6360">
        <w:rPr>
          <w:rFonts w:ascii="Verdana" w:hAnsi="Verdana" w:cs="Arial"/>
        </w:rPr>
        <w:t>(</w:t>
      </w:r>
      <w:r w:rsidR="00CE3FD4">
        <w:rPr>
          <w:rFonts w:ascii="Verdana" w:hAnsi="Verdana" w:cs="Arial"/>
        </w:rPr>
        <w:t>avant et après la prise de contrôle</w:t>
      </w:r>
      <w:r w:rsidR="0052469F">
        <w:rPr>
          <w:rFonts w:ascii="Verdana" w:hAnsi="Verdana" w:cs="Arial"/>
        </w:rPr>
        <w:t xml:space="preserve"> </w:t>
      </w:r>
      <w:r w:rsidR="00A1176D">
        <w:rPr>
          <w:rFonts w:ascii="Verdana" w:hAnsi="Verdana" w:cs="Arial"/>
        </w:rPr>
        <w:t xml:space="preserve">intervenue </w:t>
      </w:r>
      <w:r w:rsidR="00F479BE">
        <w:rPr>
          <w:rFonts w:ascii="Verdana" w:hAnsi="Verdana" w:cs="Arial"/>
        </w:rPr>
        <w:t>le 13</w:t>
      </w:r>
      <w:r w:rsidR="0052469F">
        <w:rPr>
          <w:rFonts w:ascii="Verdana" w:hAnsi="Verdana" w:cs="Arial"/>
        </w:rPr>
        <w:t xml:space="preserve"> mars 2020)</w:t>
      </w:r>
      <w:r w:rsidR="00570A8B">
        <w:rPr>
          <w:rFonts w:ascii="Verdana" w:hAnsi="Verdana" w:cs="Arial"/>
        </w:rPr>
        <w:t xml:space="preserve">, cette transaction </w:t>
      </w:r>
      <w:r w:rsidR="00170BF5">
        <w:rPr>
          <w:rFonts w:ascii="Verdana" w:hAnsi="Verdana" w:cs="Arial"/>
        </w:rPr>
        <w:t>a entraîné</w:t>
      </w:r>
      <w:r w:rsidR="00570A8B">
        <w:rPr>
          <w:rFonts w:ascii="Verdana" w:hAnsi="Verdana" w:cs="Arial"/>
        </w:rPr>
        <w:t xml:space="preserve"> </w:t>
      </w:r>
      <w:r w:rsidR="008B6FAF">
        <w:rPr>
          <w:rFonts w:ascii="Verdana" w:hAnsi="Verdana" w:cs="Arial"/>
        </w:rPr>
        <w:t xml:space="preserve">sur la période </w:t>
      </w:r>
      <w:r w:rsidR="00A35703">
        <w:rPr>
          <w:rFonts w:ascii="Verdana" w:hAnsi="Verdana" w:cs="Arial"/>
        </w:rPr>
        <w:t xml:space="preserve">une hausse </w:t>
      </w:r>
      <w:r w:rsidR="000E0724">
        <w:rPr>
          <w:rFonts w:ascii="Verdana" w:hAnsi="Verdana" w:cs="Arial"/>
        </w:rPr>
        <w:t>des écarts d’acquisition</w:t>
      </w:r>
      <w:r w:rsidR="00117113">
        <w:rPr>
          <w:rStyle w:val="FootnoteReference"/>
          <w:rFonts w:ascii="Verdana" w:hAnsi="Verdana" w:cs="Arial"/>
        </w:rPr>
        <w:footnoteReference w:id="6"/>
      </w:r>
      <w:r w:rsidR="000E0724">
        <w:rPr>
          <w:rFonts w:ascii="Verdana" w:hAnsi="Verdana" w:cs="Arial"/>
        </w:rPr>
        <w:t xml:space="preserve"> </w:t>
      </w:r>
      <w:r w:rsidR="00DE77B7">
        <w:rPr>
          <w:rFonts w:ascii="Verdana" w:hAnsi="Verdana"/>
          <w:szCs w:val="18"/>
        </w:rPr>
        <w:t xml:space="preserve">pour 2,6 milliards d’euros </w:t>
      </w:r>
      <w:r w:rsidR="000E0724">
        <w:rPr>
          <w:rFonts w:ascii="Verdana" w:hAnsi="Verdana" w:cs="Arial"/>
        </w:rPr>
        <w:t xml:space="preserve">(10,3 milliards d’euros </w:t>
      </w:r>
      <w:r w:rsidR="00F9738B">
        <w:rPr>
          <w:rFonts w:ascii="Verdana" w:hAnsi="Verdana" w:cs="Arial"/>
        </w:rPr>
        <w:t xml:space="preserve">à la clôture contre 7,7 milliards d’euros à l’ouverture) </w:t>
      </w:r>
      <w:r w:rsidR="00F571A1">
        <w:rPr>
          <w:rFonts w:ascii="Verdana" w:hAnsi="Verdana" w:cs="Arial"/>
        </w:rPr>
        <w:t xml:space="preserve">puis une baisse des capitaux propres </w:t>
      </w:r>
      <w:r w:rsidR="00E4733C">
        <w:rPr>
          <w:rFonts w:ascii="Verdana" w:hAnsi="Verdana" w:cs="Arial"/>
        </w:rPr>
        <w:t xml:space="preserve">(5,9 milliards d’euros à la clôture contre </w:t>
      </w:r>
      <w:r w:rsidR="005835DB">
        <w:rPr>
          <w:rFonts w:ascii="Verdana" w:hAnsi="Verdana" w:cs="Arial"/>
        </w:rPr>
        <w:t>8,4</w:t>
      </w:r>
      <w:r w:rsidR="00E4733C">
        <w:rPr>
          <w:rFonts w:ascii="Verdana" w:hAnsi="Verdana" w:cs="Arial"/>
        </w:rPr>
        <w:t xml:space="preserve"> milliards d’euros à l’ouverture)</w:t>
      </w:r>
      <w:r w:rsidR="00034934">
        <w:rPr>
          <w:rFonts w:ascii="Verdana" w:hAnsi="Verdana" w:cs="Arial"/>
        </w:rPr>
        <w:t>.</w:t>
      </w:r>
    </w:p>
    <w:p w14:paraId="1355B9FE" w14:textId="21E5F9C9" w:rsidR="00B00202" w:rsidRDefault="00B00202" w:rsidP="00907331">
      <w:pPr>
        <w:spacing w:before="120" w:after="120" w:line="276" w:lineRule="auto"/>
        <w:rPr>
          <w:rFonts w:ascii="Verdana" w:hAnsi="Verdana" w:cs="Arial"/>
        </w:rPr>
      </w:pPr>
      <w:r w:rsidRPr="002F446E">
        <w:rPr>
          <w:rFonts w:ascii="Verdana" w:hAnsi="Verdana" w:cs="Arial"/>
        </w:rPr>
        <w:t xml:space="preserve">Au 30 juin </w:t>
      </w:r>
      <w:r w:rsidR="00580CAF">
        <w:rPr>
          <w:rFonts w:ascii="Verdana" w:hAnsi="Verdana" w:cs="Arial"/>
        </w:rPr>
        <w:t>2020</w:t>
      </w:r>
      <w:r w:rsidRPr="002F446E">
        <w:rPr>
          <w:rFonts w:ascii="Verdana" w:hAnsi="Verdana" w:cs="Arial"/>
        </w:rPr>
        <w:t xml:space="preserve">, le Groupe dispose </w:t>
      </w:r>
      <w:r w:rsidR="009B0008">
        <w:rPr>
          <w:rFonts w:ascii="Verdana" w:hAnsi="Verdana" w:cs="Arial"/>
        </w:rPr>
        <w:t xml:space="preserve">à son bilan </w:t>
      </w:r>
      <w:r w:rsidRPr="002F446E">
        <w:rPr>
          <w:rFonts w:ascii="Verdana" w:hAnsi="Verdana" w:cs="Arial"/>
        </w:rPr>
        <w:t xml:space="preserve">d’une trésorerie </w:t>
      </w:r>
      <w:r w:rsidR="00A60058">
        <w:rPr>
          <w:rFonts w:ascii="Verdana" w:hAnsi="Verdana" w:cs="Arial"/>
        </w:rPr>
        <w:t xml:space="preserve">et d’actifs de gestion de trésorerie </w:t>
      </w:r>
      <w:r w:rsidR="0078152D">
        <w:rPr>
          <w:rFonts w:ascii="Verdana" w:hAnsi="Verdana" w:cs="Arial"/>
        </w:rPr>
        <w:t xml:space="preserve">pour un montant total </w:t>
      </w:r>
      <w:r w:rsidRPr="002F446E">
        <w:rPr>
          <w:rFonts w:ascii="Verdana" w:hAnsi="Verdana" w:cs="Arial"/>
        </w:rPr>
        <w:t xml:space="preserve">de </w:t>
      </w:r>
      <w:r w:rsidR="00FC115A">
        <w:rPr>
          <w:rFonts w:ascii="Verdana" w:hAnsi="Verdana" w:cs="Arial"/>
        </w:rPr>
        <w:t>2</w:t>
      </w:r>
      <w:r w:rsidR="00593312">
        <w:rPr>
          <w:rFonts w:ascii="Verdana" w:hAnsi="Verdana" w:cs="Arial"/>
        </w:rPr>
        <w:t>,</w:t>
      </w:r>
      <w:r w:rsidR="000B4F5A">
        <w:rPr>
          <w:rFonts w:ascii="Verdana" w:hAnsi="Verdana" w:cs="Arial"/>
        </w:rPr>
        <w:t>4</w:t>
      </w:r>
      <w:r w:rsidR="00FC115A">
        <w:rPr>
          <w:rFonts w:ascii="Verdana" w:hAnsi="Verdana" w:cs="Arial"/>
        </w:rPr>
        <w:t> </w:t>
      </w:r>
      <w:r w:rsidRPr="002F446E">
        <w:rPr>
          <w:rFonts w:ascii="Verdana" w:hAnsi="Verdana" w:cs="Arial"/>
        </w:rPr>
        <w:t>milli</w:t>
      </w:r>
      <w:r w:rsidR="003410F7">
        <w:rPr>
          <w:rFonts w:ascii="Verdana" w:hAnsi="Verdana" w:cs="Arial"/>
        </w:rPr>
        <w:t>ard</w:t>
      </w:r>
      <w:r w:rsidRPr="002F446E">
        <w:rPr>
          <w:rFonts w:ascii="Verdana" w:hAnsi="Verdana" w:cs="Arial"/>
        </w:rPr>
        <w:t xml:space="preserve">s d’euros. Compte tenu de la dette financière de </w:t>
      </w:r>
      <w:r w:rsidR="007F6D51">
        <w:rPr>
          <w:rFonts w:ascii="Verdana" w:hAnsi="Verdana" w:cs="Arial"/>
        </w:rPr>
        <w:t>8</w:t>
      </w:r>
      <w:r w:rsidR="00593312">
        <w:rPr>
          <w:rFonts w:ascii="Verdana" w:hAnsi="Verdana" w:cs="Arial"/>
        </w:rPr>
        <w:t>,5</w:t>
      </w:r>
      <w:r w:rsidR="007F6D51">
        <w:rPr>
          <w:rFonts w:ascii="Verdana" w:hAnsi="Verdana" w:cs="Arial"/>
        </w:rPr>
        <w:t xml:space="preserve"> </w:t>
      </w:r>
      <w:r w:rsidR="003410F7" w:rsidRPr="002F446E">
        <w:rPr>
          <w:rFonts w:ascii="Verdana" w:hAnsi="Verdana" w:cs="Arial"/>
        </w:rPr>
        <w:t>milli</w:t>
      </w:r>
      <w:r w:rsidR="003410F7">
        <w:rPr>
          <w:rFonts w:ascii="Verdana" w:hAnsi="Verdana" w:cs="Arial"/>
        </w:rPr>
        <w:t>ard</w:t>
      </w:r>
      <w:r w:rsidR="003410F7" w:rsidRPr="002F446E">
        <w:rPr>
          <w:rFonts w:ascii="Verdana" w:hAnsi="Verdana" w:cs="Arial"/>
        </w:rPr>
        <w:t xml:space="preserve">s </w:t>
      </w:r>
      <w:r w:rsidRPr="002F446E">
        <w:rPr>
          <w:rFonts w:ascii="Verdana" w:hAnsi="Verdana" w:cs="Arial"/>
        </w:rPr>
        <w:t>d’euros et des instruments dérivés, l’endettement net</w:t>
      </w:r>
      <w:r w:rsidR="00701F43" w:rsidRPr="00536504">
        <w:rPr>
          <w:rFonts w:ascii="Verdana" w:hAnsi="Verdana" w:cs="Arial"/>
          <w:bCs/>
          <w:vertAlign w:val="superscript"/>
        </w:rPr>
        <w:fldChar w:fldCharType="begin"/>
      </w:r>
      <w:r w:rsidR="00701F43" w:rsidRPr="00C43BD3">
        <w:rPr>
          <w:rFonts w:ascii="Verdana" w:hAnsi="Verdana" w:cs="Arial"/>
          <w:bCs/>
          <w:vertAlign w:val="superscript"/>
        </w:rPr>
        <w:instrText xml:space="preserve"> NOTEREF _Ref13738408 \h  \* MERGEFORMAT </w:instrText>
      </w:r>
      <w:r w:rsidR="00701F43" w:rsidRPr="00536504">
        <w:rPr>
          <w:rFonts w:ascii="Verdana" w:hAnsi="Verdana" w:cs="Arial"/>
          <w:bCs/>
          <w:vertAlign w:val="superscript"/>
        </w:rPr>
      </w:r>
      <w:r w:rsidR="00701F43" w:rsidRPr="00536504">
        <w:rPr>
          <w:rFonts w:ascii="Verdana" w:hAnsi="Verdana" w:cs="Arial"/>
          <w:bCs/>
          <w:vertAlign w:val="superscript"/>
        </w:rPr>
        <w:fldChar w:fldCharType="separate"/>
      </w:r>
      <w:r w:rsidR="00B02E5E" w:rsidRPr="00B02E5E">
        <w:t>*</w:t>
      </w:r>
      <w:r w:rsidR="00701F43" w:rsidRPr="00536504">
        <w:rPr>
          <w:rFonts w:ascii="Verdana" w:hAnsi="Verdana" w:cs="Arial"/>
          <w:bCs/>
          <w:vertAlign w:val="superscript"/>
        </w:rPr>
        <w:fldChar w:fldCharType="end"/>
      </w:r>
      <w:r w:rsidRPr="002F446E">
        <w:rPr>
          <w:rFonts w:ascii="Verdana" w:hAnsi="Verdana" w:cs="Arial"/>
        </w:rPr>
        <w:t xml:space="preserve"> du Groupe </w:t>
      </w:r>
      <w:r w:rsidR="00D827D9">
        <w:rPr>
          <w:rFonts w:ascii="Verdana" w:hAnsi="Verdana" w:cs="Arial"/>
        </w:rPr>
        <w:t>au 30 juin</w:t>
      </w:r>
      <w:r w:rsidRPr="002F446E">
        <w:rPr>
          <w:rFonts w:ascii="Verdana" w:hAnsi="Verdana" w:cs="Arial"/>
        </w:rPr>
        <w:t xml:space="preserve"> </w:t>
      </w:r>
      <w:r w:rsidR="00580CAF">
        <w:rPr>
          <w:rFonts w:ascii="Verdana" w:hAnsi="Verdana" w:cs="Arial"/>
        </w:rPr>
        <w:t>2020</w:t>
      </w:r>
      <w:r w:rsidRPr="002F446E">
        <w:rPr>
          <w:rFonts w:ascii="Verdana" w:hAnsi="Verdana" w:cs="Arial"/>
        </w:rPr>
        <w:t xml:space="preserve"> </w:t>
      </w:r>
      <w:r w:rsidR="00FC115A">
        <w:rPr>
          <w:rFonts w:ascii="Verdana" w:hAnsi="Verdana" w:cs="Arial"/>
        </w:rPr>
        <w:t xml:space="preserve">s’élève à </w:t>
      </w:r>
      <w:r w:rsidR="007E089D">
        <w:rPr>
          <w:rFonts w:ascii="Verdana" w:hAnsi="Verdana" w:cs="Arial"/>
        </w:rPr>
        <w:t>6</w:t>
      </w:r>
      <w:r w:rsidR="00593312">
        <w:rPr>
          <w:rFonts w:ascii="Verdana" w:hAnsi="Verdana" w:cs="Arial"/>
        </w:rPr>
        <w:t>,0</w:t>
      </w:r>
      <w:r w:rsidR="007E089D">
        <w:rPr>
          <w:rFonts w:ascii="Verdana" w:hAnsi="Verdana" w:cs="Arial"/>
        </w:rPr>
        <w:t xml:space="preserve"> </w:t>
      </w:r>
      <w:r w:rsidRPr="002F446E">
        <w:rPr>
          <w:rFonts w:ascii="Verdana" w:hAnsi="Verdana" w:cs="Arial"/>
        </w:rPr>
        <w:t>milli</w:t>
      </w:r>
      <w:r w:rsidR="003410F7">
        <w:rPr>
          <w:rFonts w:ascii="Verdana" w:hAnsi="Verdana" w:cs="Arial"/>
        </w:rPr>
        <w:t>ard</w:t>
      </w:r>
      <w:r w:rsidRPr="002F446E">
        <w:rPr>
          <w:rFonts w:ascii="Verdana" w:hAnsi="Verdana" w:cs="Arial"/>
        </w:rPr>
        <w:t xml:space="preserve">s d’euros, </w:t>
      </w:r>
      <w:r w:rsidRPr="00FC115A">
        <w:rPr>
          <w:rFonts w:ascii="Verdana" w:hAnsi="Verdana" w:cs="Arial"/>
        </w:rPr>
        <w:t xml:space="preserve">contre </w:t>
      </w:r>
      <w:r w:rsidR="00FC115A" w:rsidRPr="00FC115A">
        <w:rPr>
          <w:rFonts w:ascii="Verdana" w:hAnsi="Verdana" w:cs="Arial"/>
        </w:rPr>
        <w:t>1</w:t>
      </w:r>
      <w:r w:rsidR="003410F7">
        <w:rPr>
          <w:rFonts w:ascii="Verdana" w:hAnsi="Verdana" w:cs="Arial"/>
        </w:rPr>
        <w:t>,</w:t>
      </w:r>
      <w:r w:rsidR="0013589E">
        <w:rPr>
          <w:rFonts w:ascii="Verdana" w:hAnsi="Verdana" w:cs="Arial"/>
        </w:rPr>
        <w:t>6 </w:t>
      </w:r>
      <w:r w:rsidRPr="00FC115A">
        <w:rPr>
          <w:rFonts w:ascii="Verdana" w:hAnsi="Verdana" w:cs="Arial"/>
        </w:rPr>
        <w:t>milli</w:t>
      </w:r>
      <w:r w:rsidR="003410F7">
        <w:rPr>
          <w:rFonts w:ascii="Verdana" w:hAnsi="Verdana" w:cs="Arial"/>
        </w:rPr>
        <w:t>ard</w:t>
      </w:r>
      <w:r w:rsidRPr="00FC115A">
        <w:rPr>
          <w:rFonts w:ascii="Verdana" w:hAnsi="Verdana" w:cs="Arial"/>
        </w:rPr>
        <w:t xml:space="preserve"> d’euros </w:t>
      </w:r>
      <w:r w:rsidR="00EB41A7" w:rsidRPr="00FC115A">
        <w:rPr>
          <w:rFonts w:ascii="Verdana" w:hAnsi="Verdana" w:cs="Arial"/>
        </w:rPr>
        <w:t>au 30 juin 2019 et</w:t>
      </w:r>
      <w:r w:rsidR="00CD35E6" w:rsidRPr="00FC115A">
        <w:rPr>
          <w:rFonts w:ascii="Verdana" w:hAnsi="Verdana" w:cs="Arial"/>
        </w:rPr>
        <w:t xml:space="preserve"> </w:t>
      </w:r>
      <w:r w:rsidR="003410F7">
        <w:rPr>
          <w:rFonts w:ascii="Verdana" w:hAnsi="Verdana" w:cs="Arial"/>
        </w:rPr>
        <w:t>0,</w:t>
      </w:r>
      <w:r w:rsidR="00FC115A" w:rsidRPr="00FC115A">
        <w:rPr>
          <w:rFonts w:ascii="Verdana" w:hAnsi="Verdana" w:cs="Arial"/>
        </w:rPr>
        <w:t>6</w:t>
      </w:r>
      <w:r w:rsidR="00BF630C" w:rsidRPr="00FC115A">
        <w:rPr>
          <w:rFonts w:ascii="Verdana" w:hAnsi="Verdana" w:cs="Arial"/>
        </w:rPr>
        <w:t xml:space="preserve"> milli</w:t>
      </w:r>
      <w:r w:rsidR="003410F7">
        <w:rPr>
          <w:rFonts w:ascii="Verdana" w:hAnsi="Verdana" w:cs="Arial"/>
        </w:rPr>
        <w:t>ard</w:t>
      </w:r>
      <w:r w:rsidR="00BF630C" w:rsidRPr="00FC115A">
        <w:rPr>
          <w:rFonts w:ascii="Verdana" w:hAnsi="Verdana" w:cs="Arial"/>
        </w:rPr>
        <w:t xml:space="preserve"> d’euros</w:t>
      </w:r>
      <w:r w:rsidR="00EB41A7" w:rsidRPr="00FC115A">
        <w:rPr>
          <w:rFonts w:ascii="Verdana" w:hAnsi="Verdana" w:cs="Arial"/>
        </w:rPr>
        <w:t xml:space="preserve"> au 31 décembre 2019</w:t>
      </w:r>
      <w:r w:rsidRPr="00FC115A">
        <w:rPr>
          <w:rFonts w:ascii="Verdana" w:hAnsi="Verdana" w:cs="Arial"/>
        </w:rPr>
        <w:t>.</w:t>
      </w:r>
      <w:r w:rsidRPr="002F446E">
        <w:rPr>
          <w:rFonts w:ascii="Verdana" w:hAnsi="Verdana" w:cs="Arial"/>
        </w:rPr>
        <w:t xml:space="preserve"> </w:t>
      </w:r>
      <w:r w:rsidR="00453D64" w:rsidRPr="004940A8">
        <w:rPr>
          <w:rFonts w:ascii="Verdana" w:hAnsi="Verdana" w:cs="Arial"/>
        </w:rPr>
        <w:t xml:space="preserve">Cette hausse de l’endettement net est </w:t>
      </w:r>
      <w:r w:rsidR="00453D64">
        <w:rPr>
          <w:rFonts w:ascii="Verdana" w:hAnsi="Verdana" w:cs="Arial"/>
        </w:rPr>
        <w:t xml:space="preserve">essentiellement </w:t>
      </w:r>
      <w:r w:rsidR="00453D64" w:rsidRPr="004940A8">
        <w:rPr>
          <w:rFonts w:ascii="Verdana" w:hAnsi="Verdana" w:cs="Arial"/>
        </w:rPr>
        <w:t>liée à l’acquisition d’Altran.</w:t>
      </w:r>
    </w:p>
    <w:p w14:paraId="46A55CD2" w14:textId="6FDC32FF" w:rsidR="004A6C79" w:rsidRDefault="00DF75D8" w:rsidP="00907331">
      <w:pPr>
        <w:spacing w:before="120" w:after="120" w:line="276" w:lineRule="auto"/>
        <w:rPr>
          <w:rFonts w:ascii="Verdana" w:hAnsi="Verdana" w:cs="Arial"/>
        </w:rPr>
      </w:pPr>
      <w:r w:rsidRPr="00DF75D8">
        <w:rPr>
          <w:rFonts w:ascii="Verdana" w:hAnsi="Verdana" w:cs="Arial"/>
        </w:rPr>
        <w:t xml:space="preserve">Le financement de l’acquisition d’Altran a été réalisé </w:t>
      </w:r>
      <w:r w:rsidR="00ED0D45">
        <w:rPr>
          <w:rFonts w:ascii="Verdana" w:hAnsi="Verdana" w:cs="Arial"/>
        </w:rPr>
        <w:t>c</w:t>
      </w:r>
      <w:r w:rsidR="000C1C65" w:rsidRPr="000C1C65">
        <w:rPr>
          <w:rFonts w:ascii="Verdana" w:hAnsi="Verdana" w:cs="Arial"/>
        </w:rPr>
        <w:t xml:space="preserve">onformément </w:t>
      </w:r>
      <w:proofErr w:type="gramStart"/>
      <w:r w:rsidR="000C1C65" w:rsidRPr="000C1C65">
        <w:rPr>
          <w:rFonts w:ascii="Verdana" w:hAnsi="Verdana" w:cs="Arial"/>
        </w:rPr>
        <w:t>au</w:t>
      </w:r>
      <w:proofErr w:type="gramEnd"/>
      <w:r w:rsidR="000C1C65" w:rsidRPr="000C1C65">
        <w:rPr>
          <w:rFonts w:ascii="Verdana" w:hAnsi="Verdana" w:cs="Arial"/>
        </w:rPr>
        <w:t xml:space="preserve"> plan </w:t>
      </w:r>
      <w:r w:rsidR="002D1F5F">
        <w:rPr>
          <w:rFonts w:ascii="Verdana" w:hAnsi="Verdana" w:cs="Arial"/>
        </w:rPr>
        <w:t xml:space="preserve">présenté </w:t>
      </w:r>
      <w:r w:rsidR="007248D2">
        <w:rPr>
          <w:rFonts w:ascii="Verdana" w:hAnsi="Verdana" w:cs="Arial"/>
        </w:rPr>
        <w:t xml:space="preserve">en juin 2019 </w:t>
      </w:r>
      <w:r w:rsidR="005A1746">
        <w:rPr>
          <w:rFonts w:ascii="Verdana" w:hAnsi="Verdana" w:cs="Arial"/>
        </w:rPr>
        <w:t>(</w:t>
      </w:r>
      <w:r w:rsidR="0020637D">
        <w:rPr>
          <w:rFonts w:ascii="Verdana" w:hAnsi="Verdana" w:cs="Arial"/>
        </w:rPr>
        <w:t>5,4</w:t>
      </w:r>
      <w:r w:rsidR="000A31C6">
        <w:rPr>
          <w:rFonts w:ascii="Verdana" w:hAnsi="Verdana" w:cs="Arial"/>
        </w:rPr>
        <w:t xml:space="preserve"> milliards d’euros </w:t>
      </w:r>
      <w:r w:rsidR="00AD5BC1">
        <w:rPr>
          <w:rFonts w:ascii="Verdana" w:hAnsi="Verdana" w:cs="Arial"/>
        </w:rPr>
        <w:t xml:space="preserve">couvrant </w:t>
      </w:r>
      <w:r w:rsidR="00B44C98">
        <w:rPr>
          <w:rFonts w:ascii="Verdana" w:hAnsi="Verdana" w:cs="Arial"/>
        </w:rPr>
        <w:t>3,</w:t>
      </w:r>
      <w:r w:rsidR="005038AF">
        <w:rPr>
          <w:rFonts w:ascii="Verdana" w:hAnsi="Verdana" w:cs="Arial"/>
        </w:rPr>
        <w:t>7</w:t>
      </w:r>
      <w:r w:rsidR="00B44C98">
        <w:rPr>
          <w:rFonts w:ascii="Verdana" w:hAnsi="Verdana" w:cs="Arial"/>
        </w:rPr>
        <w:t xml:space="preserve"> milliards d’euros pour l’achat des titres</w:t>
      </w:r>
      <w:r w:rsidR="00320032">
        <w:rPr>
          <w:rFonts w:ascii="Verdana" w:hAnsi="Verdana" w:cs="Arial"/>
        </w:rPr>
        <w:t xml:space="preserve"> et 1,</w:t>
      </w:r>
      <w:r w:rsidR="00EE704C">
        <w:rPr>
          <w:rFonts w:ascii="Verdana" w:hAnsi="Verdana" w:cs="Arial"/>
        </w:rPr>
        <w:t>7</w:t>
      </w:r>
      <w:r w:rsidR="00320032">
        <w:rPr>
          <w:rFonts w:ascii="Verdana" w:hAnsi="Verdana" w:cs="Arial"/>
        </w:rPr>
        <w:t xml:space="preserve"> milliard </w:t>
      </w:r>
      <w:r w:rsidR="00791EA5">
        <w:rPr>
          <w:rFonts w:ascii="Verdana" w:hAnsi="Verdana" w:cs="Arial"/>
        </w:rPr>
        <w:t xml:space="preserve">d’euros </w:t>
      </w:r>
      <w:r w:rsidR="00320032">
        <w:rPr>
          <w:rFonts w:ascii="Verdana" w:hAnsi="Verdana" w:cs="Arial"/>
        </w:rPr>
        <w:t>de dette</w:t>
      </w:r>
      <w:r w:rsidR="00CF0E41">
        <w:rPr>
          <w:rFonts w:ascii="Verdana" w:hAnsi="Verdana" w:cs="Arial"/>
        </w:rPr>
        <w:t xml:space="preserve"> </w:t>
      </w:r>
      <w:r w:rsidR="00154CD6">
        <w:rPr>
          <w:rFonts w:ascii="Verdana" w:hAnsi="Verdana" w:cs="Arial"/>
        </w:rPr>
        <w:t>brute</w:t>
      </w:r>
      <w:r w:rsidR="00780E90">
        <w:rPr>
          <w:rFonts w:ascii="Verdana" w:hAnsi="Verdana" w:cs="Arial"/>
        </w:rPr>
        <w:t xml:space="preserve"> portée par Altran</w:t>
      </w:r>
      <w:r w:rsidR="00B02515">
        <w:rPr>
          <w:rFonts w:ascii="Verdana" w:hAnsi="Verdana" w:cs="Arial"/>
        </w:rPr>
        <w:t>)</w:t>
      </w:r>
      <w:r w:rsidR="000C1C65" w:rsidRPr="000C1C65">
        <w:rPr>
          <w:rFonts w:ascii="Verdana" w:hAnsi="Verdana" w:cs="Arial"/>
        </w:rPr>
        <w:t xml:space="preserve">, Capgemini </w:t>
      </w:r>
      <w:r w:rsidR="002144A8">
        <w:rPr>
          <w:rFonts w:ascii="Verdana" w:hAnsi="Verdana" w:cs="Arial"/>
        </w:rPr>
        <w:t xml:space="preserve">a </w:t>
      </w:r>
      <w:r w:rsidR="007248D2">
        <w:rPr>
          <w:rFonts w:ascii="Verdana" w:hAnsi="Verdana" w:cs="Arial"/>
        </w:rPr>
        <w:t xml:space="preserve">ainsi </w:t>
      </w:r>
      <w:r w:rsidR="00ED1AC6">
        <w:rPr>
          <w:rFonts w:ascii="Verdana" w:hAnsi="Verdana" w:cs="Arial"/>
        </w:rPr>
        <w:t xml:space="preserve">mobilisé sa trésorerie disponible pour </w:t>
      </w:r>
      <w:r w:rsidR="007248D2">
        <w:rPr>
          <w:rFonts w:ascii="Verdana" w:hAnsi="Verdana" w:cs="Arial"/>
        </w:rPr>
        <w:t xml:space="preserve">environ </w:t>
      </w:r>
      <w:r w:rsidR="00ED1AC6">
        <w:rPr>
          <w:rFonts w:ascii="Verdana" w:hAnsi="Verdana" w:cs="Arial"/>
        </w:rPr>
        <w:t>1,0 milliard d’euros</w:t>
      </w:r>
      <w:r w:rsidR="004901F5">
        <w:rPr>
          <w:rFonts w:ascii="Verdana" w:hAnsi="Verdana" w:cs="Arial"/>
        </w:rPr>
        <w:t xml:space="preserve"> </w:t>
      </w:r>
      <w:r w:rsidR="004901F5" w:rsidRPr="004901F5">
        <w:rPr>
          <w:rFonts w:ascii="Verdana" w:hAnsi="Verdana" w:cs="Arial"/>
        </w:rPr>
        <w:t>(dont 0,4 milliard d’euros pour l’achat de titres en 2019)</w:t>
      </w:r>
      <w:r w:rsidR="00ED1AC6">
        <w:rPr>
          <w:rFonts w:ascii="Verdana" w:hAnsi="Verdana" w:cs="Arial"/>
        </w:rPr>
        <w:t xml:space="preserve"> </w:t>
      </w:r>
      <w:r w:rsidR="00BF0223">
        <w:rPr>
          <w:rFonts w:ascii="Verdana" w:hAnsi="Verdana" w:cs="Arial"/>
        </w:rPr>
        <w:t xml:space="preserve">et </w:t>
      </w:r>
      <w:r w:rsidR="000C1C65" w:rsidRPr="000C1C65">
        <w:rPr>
          <w:rFonts w:ascii="Verdana" w:hAnsi="Verdana" w:cs="Arial"/>
        </w:rPr>
        <w:t xml:space="preserve">a procédé </w:t>
      </w:r>
      <w:r w:rsidR="00CC2A29">
        <w:rPr>
          <w:rFonts w:ascii="Verdana" w:hAnsi="Verdana" w:cs="Arial"/>
        </w:rPr>
        <w:t xml:space="preserve">à des émissions obligataires pour </w:t>
      </w:r>
      <w:r w:rsidR="00BA4F8E">
        <w:rPr>
          <w:rFonts w:ascii="Verdana" w:hAnsi="Verdana" w:cs="Arial"/>
        </w:rPr>
        <w:t>le solde</w:t>
      </w:r>
      <w:r w:rsidR="00CC2A29">
        <w:rPr>
          <w:rFonts w:ascii="Verdana" w:hAnsi="Verdana" w:cs="Arial"/>
        </w:rPr>
        <w:t xml:space="preserve">. </w:t>
      </w:r>
    </w:p>
    <w:p w14:paraId="79DC48E5" w14:textId="08F2603D" w:rsidR="00642946" w:rsidRDefault="00540FEA" w:rsidP="00907331">
      <w:pPr>
        <w:spacing w:before="120" w:after="120" w:line="276" w:lineRule="auto"/>
        <w:rPr>
          <w:rFonts w:ascii="Verdana" w:hAnsi="Verdana" w:cs="Arial"/>
        </w:rPr>
      </w:pPr>
      <w:r>
        <w:rPr>
          <w:rFonts w:ascii="Verdana" w:hAnsi="Verdana" w:cs="Arial"/>
        </w:rPr>
        <w:t xml:space="preserve">Le Groupe a ainsi </w:t>
      </w:r>
      <w:r w:rsidR="004D410A">
        <w:rPr>
          <w:rFonts w:ascii="Verdana" w:hAnsi="Verdana" w:cs="Arial"/>
        </w:rPr>
        <w:t xml:space="preserve">émis </w:t>
      </w:r>
      <w:r w:rsidR="002B4AE8">
        <w:rPr>
          <w:rFonts w:ascii="Verdana" w:hAnsi="Verdana" w:cs="Arial"/>
        </w:rPr>
        <w:t>en</w:t>
      </w:r>
      <w:r w:rsidR="002B4AE8" w:rsidRPr="000C1C65">
        <w:rPr>
          <w:rFonts w:ascii="Verdana" w:hAnsi="Verdana" w:cs="Arial"/>
        </w:rPr>
        <w:t xml:space="preserve"> </w:t>
      </w:r>
      <w:r w:rsidR="000C1C65" w:rsidRPr="000C1C65">
        <w:rPr>
          <w:rFonts w:ascii="Verdana" w:hAnsi="Verdana" w:cs="Arial"/>
        </w:rPr>
        <w:t xml:space="preserve">avril 2020 un emprunt obligataire multi-tranches </w:t>
      </w:r>
      <w:r w:rsidR="00816470">
        <w:rPr>
          <w:rFonts w:ascii="Verdana" w:hAnsi="Verdana" w:cs="Arial"/>
        </w:rPr>
        <w:t xml:space="preserve">pour un total </w:t>
      </w:r>
      <w:r w:rsidR="000C1C65" w:rsidRPr="000C1C65">
        <w:rPr>
          <w:rFonts w:ascii="Verdana" w:hAnsi="Verdana" w:cs="Arial"/>
        </w:rPr>
        <w:t>de 3,5 milliards d’euros</w:t>
      </w:r>
      <w:r w:rsidR="00354589">
        <w:rPr>
          <w:rFonts w:ascii="Verdana" w:hAnsi="Verdana" w:cs="Arial"/>
        </w:rPr>
        <w:t xml:space="preserve"> dont 2,8 milliards d’euros </w:t>
      </w:r>
      <w:r w:rsidR="004A6C79">
        <w:rPr>
          <w:rFonts w:ascii="Verdana" w:hAnsi="Verdana" w:cs="Arial"/>
        </w:rPr>
        <w:t xml:space="preserve">ont été utilisés </w:t>
      </w:r>
      <w:r w:rsidR="00354589">
        <w:rPr>
          <w:rFonts w:ascii="Verdana" w:hAnsi="Verdana" w:cs="Arial"/>
        </w:rPr>
        <w:t>pour le financement de l’acquisition</w:t>
      </w:r>
      <w:r w:rsidR="00603F92">
        <w:rPr>
          <w:rStyle w:val="FootnoteReference"/>
          <w:rFonts w:ascii="Verdana" w:hAnsi="Verdana" w:cs="Arial"/>
        </w:rPr>
        <w:footnoteReference w:id="7"/>
      </w:r>
      <w:r w:rsidR="00252EE3">
        <w:rPr>
          <w:rFonts w:ascii="Verdana" w:hAnsi="Verdana" w:cs="Arial"/>
        </w:rPr>
        <w:t>. P</w:t>
      </w:r>
      <w:r w:rsidR="00354589">
        <w:rPr>
          <w:rFonts w:ascii="Verdana" w:hAnsi="Verdana" w:cs="Arial"/>
        </w:rPr>
        <w:t>uis</w:t>
      </w:r>
      <w:r w:rsidR="00E51E8C">
        <w:rPr>
          <w:rFonts w:ascii="Verdana" w:hAnsi="Verdana" w:cs="Arial"/>
        </w:rPr>
        <w:t>,</w:t>
      </w:r>
      <w:r w:rsidR="00354589">
        <w:rPr>
          <w:rFonts w:ascii="Verdana" w:hAnsi="Verdana" w:cs="Arial"/>
        </w:rPr>
        <w:t xml:space="preserve"> </w:t>
      </w:r>
      <w:r w:rsidR="00252EE3">
        <w:rPr>
          <w:rFonts w:ascii="Verdana" w:hAnsi="Verdana" w:cs="Arial"/>
        </w:rPr>
        <w:t>le</w:t>
      </w:r>
      <w:r w:rsidR="00B82F93">
        <w:rPr>
          <w:rFonts w:ascii="Verdana" w:hAnsi="Verdana" w:cs="Arial"/>
        </w:rPr>
        <w:t xml:space="preserve"> refinancement </w:t>
      </w:r>
      <w:r w:rsidR="00F52856">
        <w:rPr>
          <w:rFonts w:ascii="Verdana" w:hAnsi="Verdana" w:cs="Arial"/>
        </w:rPr>
        <w:t xml:space="preserve">des </w:t>
      </w:r>
      <w:r w:rsidR="0008009A">
        <w:rPr>
          <w:rFonts w:ascii="Verdana" w:hAnsi="Verdana" w:cs="Arial"/>
        </w:rPr>
        <w:t>prêt</w:t>
      </w:r>
      <w:r w:rsidR="00F52856">
        <w:rPr>
          <w:rFonts w:ascii="Verdana" w:hAnsi="Verdana" w:cs="Arial"/>
        </w:rPr>
        <w:t>s</w:t>
      </w:r>
      <w:r w:rsidR="0008009A">
        <w:rPr>
          <w:rFonts w:ascii="Verdana" w:hAnsi="Verdana" w:cs="Arial"/>
        </w:rPr>
        <w:t xml:space="preserve"> à terme</w:t>
      </w:r>
      <w:r w:rsidR="00B82F93">
        <w:rPr>
          <w:rFonts w:ascii="Verdana" w:hAnsi="Verdana" w:cs="Arial"/>
        </w:rPr>
        <w:t xml:space="preserve"> </w:t>
      </w:r>
      <w:r w:rsidR="00780E90">
        <w:rPr>
          <w:rFonts w:ascii="Verdana" w:hAnsi="Verdana" w:cs="Arial"/>
        </w:rPr>
        <w:t>d’</w:t>
      </w:r>
      <w:r w:rsidR="00B82F93">
        <w:rPr>
          <w:rFonts w:ascii="Verdana" w:hAnsi="Verdana" w:cs="Arial"/>
        </w:rPr>
        <w:t xml:space="preserve">Altran </w:t>
      </w:r>
      <w:r w:rsidR="00252EE3">
        <w:rPr>
          <w:rFonts w:ascii="Verdana" w:hAnsi="Verdana" w:cs="Arial"/>
        </w:rPr>
        <w:t xml:space="preserve">a été effectué </w:t>
      </w:r>
      <w:r w:rsidR="00C64170">
        <w:rPr>
          <w:rFonts w:ascii="Verdana" w:hAnsi="Verdana" w:cs="Arial"/>
        </w:rPr>
        <w:t xml:space="preserve">en juin 2020 </w:t>
      </w:r>
      <w:r w:rsidR="00B82F93">
        <w:rPr>
          <w:rFonts w:ascii="Verdana" w:hAnsi="Verdana" w:cs="Arial"/>
        </w:rPr>
        <w:t>au travers d’</w:t>
      </w:r>
      <w:r w:rsidR="0028129A">
        <w:rPr>
          <w:rFonts w:ascii="Verdana" w:hAnsi="Verdana" w:cs="Arial"/>
        </w:rPr>
        <w:t>une seconde émission obligataire multi</w:t>
      </w:r>
      <w:r w:rsidR="00444BB5">
        <w:rPr>
          <w:rFonts w:ascii="Verdana" w:hAnsi="Verdana" w:cs="Arial"/>
        </w:rPr>
        <w:t>-tranches</w:t>
      </w:r>
      <w:r w:rsidR="006E1C04">
        <w:rPr>
          <w:rFonts w:ascii="Verdana" w:hAnsi="Verdana" w:cs="Arial"/>
        </w:rPr>
        <w:t xml:space="preserve"> pour un montant</w:t>
      </w:r>
      <w:r w:rsidR="00444BB5">
        <w:rPr>
          <w:rFonts w:ascii="Verdana" w:hAnsi="Verdana" w:cs="Arial"/>
        </w:rPr>
        <w:t xml:space="preserve"> de 1,</w:t>
      </w:r>
      <w:r w:rsidR="00513210">
        <w:rPr>
          <w:rFonts w:ascii="Verdana" w:hAnsi="Verdana" w:cs="Arial"/>
        </w:rPr>
        <w:t>6</w:t>
      </w:r>
      <w:r w:rsidR="00444BB5">
        <w:rPr>
          <w:rFonts w:ascii="Verdana" w:hAnsi="Verdana" w:cs="Arial"/>
        </w:rPr>
        <w:t xml:space="preserve"> milliard d’euros</w:t>
      </w:r>
      <w:r w:rsidR="001F5C60">
        <w:rPr>
          <w:rFonts w:ascii="Verdana" w:hAnsi="Verdana" w:cs="Arial"/>
        </w:rPr>
        <w:t xml:space="preserve">. </w:t>
      </w:r>
    </w:p>
    <w:p w14:paraId="3F7E0DC6" w14:textId="48315A9B" w:rsidR="008E29F7" w:rsidRPr="000C1C65" w:rsidRDefault="00642946" w:rsidP="00907331">
      <w:pPr>
        <w:spacing w:before="120" w:after="120" w:line="276" w:lineRule="auto"/>
        <w:rPr>
          <w:rFonts w:ascii="Verdana" w:hAnsi="Verdana" w:cs="Arial"/>
        </w:rPr>
      </w:pPr>
      <w:r w:rsidRPr="2C79DB7B">
        <w:rPr>
          <w:rFonts w:ascii="Verdana" w:hAnsi="Verdana" w:cs="Arial"/>
        </w:rPr>
        <w:t xml:space="preserve">Ces </w:t>
      </w:r>
      <w:r w:rsidR="00265FF4">
        <w:rPr>
          <w:rFonts w:ascii="Verdana" w:hAnsi="Verdana" w:cs="Arial"/>
        </w:rPr>
        <w:t>opérations</w:t>
      </w:r>
      <w:r w:rsidR="00526008">
        <w:rPr>
          <w:rFonts w:ascii="Verdana" w:hAnsi="Verdana" w:cs="Arial"/>
        </w:rPr>
        <w:t xml:space="preserve"> de refinancement</w:t>
      </w:r>
      <w:r w:rsidR="00D0726F" w:rsidRPr="2C79DB7B">
        <w:rPr>
          <w:rFonts w:ascii="Verdana" w:hAnsi="Verdana" w:cs="Arial"/>
        </w:rPr>
        <w:t xml:space="preserve"> </w:t>
      </w:r>
      <w:r w:rsidRPr="2C79DB7B">
        <w:rPr>
          <w:rFonts w:ascii="Verdana" w:hAnsi="Verdana" w:cs="Arial"/>
        </w:rPr>
        <w:t xml:space="preserve">ont permis </w:t>
      </w:r>
      <w:r w:rsidR="00322B68" w:rsidRPr="2C79DB7B">
        <w:rPr>
          <w:rFonts w:ascii="Verdana" w:hAnsi="Verdana" w:cs="Arial"/>
        </w:rPr>
        <w:t>de porter</w:t>
      </w:r>
      <w:r w:rsidR="00033239" w:rsidRPr="2C79DB7B">
        <w:rPr>
          <w:rFonts w:ascii="Verdana" w:hAnsi="Verdana" w:cs="Arial"/>
        </w:rPr>
        <w:t xml:space="preserve"> </w:t>
      </w:r>
      <w:r w:rsidR="00322B68" w:rsidRPr="2C79DB7B">
        <w:rPr>
          <w:rFonts w:ascii="Verdana" w:hAnsi="Verdana" w:cs="Arial"/>
        </w:rPr>
        <w:t xml:space="preserve">à </w:t>
      </w:r>
      <w:r w:rsidR="008E023D">
        <w:rPr>
          <w:rFonts w:ascii="Verdana" w:hAnsi="Verdana" w:cs="Arial"/>
        </w:rPr>
        <w:t>6,6</w:t>
      </w:r>
      <w:r w:rsidR="00322B68" w:rsidRPr="2C79DB7B">
        <w:rPr>
          <w:rFonts w:ascii="Verdana" w:hAnsi="Verdana" w:cs="Arial"/>
        </w:rPr>
        <w:t xml:space="preserve"> ans </w:t>
      </w:r>
      <w:r w:rsidR="00033239" w:rsidRPr="2C79DB7B">
        <w:rPr>
          <w:rFonts w:ascii="Verdana" w:hAnsi="Verdana" w:cs="Arial"/>
        </w:rPr>
        <w:t xml:space="preserve">la maturité moyenne </w:t>
      </w:r>
      <w:r w:rsidR="001E0147" w:rsidRPr="2C79DB7B">
        <w:rPr>
          <w:rFonts w:ascii="Verdana" w:hAnsi="Verdana" w:cs="Arial"/>
        </w:rPr>
        <w:t>d</w:t>
      </w:r>
      <w:r w:rsidR="00033239" w:rsidRPr="2C79DB7B">
        <w:rPr>
          <w:rFonts w:ascii="Verdana" w:hAnsi="Verdana" w:cs="Arial"/>
        </w:rPr>
        <w:t>e la dette</w:t>
      </w:r>
      <w:r w:rsidR="00322B68" w:rsidRPr="2C79DB7B">
        <w:rPr>
          <w:rFonts w:ascii="Verdana" w:hAnsi="Verdana" w:cs="Arial"/>
        </w:rPr>
        <w:t xml:space="preserve"> </w:t>
      </w:r>
      <w:r w:rsidR="00F27975">
        <w:rPr>
          <w:rFonts w:ascii="Verdana" w:hAnsi="Verdana" w:cs="Arial"/>
        </w:rPr>
        <w:t>obligataire</w:t>
      </w:r>
      <w:r w:rsidR="00F27975" w:rsidRPr="2C79DB7B">
        <w:rPr>
          <w:rFonts w:ascii="Verdana" w:hAnsi="Verdana" w:cs="Arial"/>
        </w:rPr>
        <w:t xml:space="preserve"> </w:t>
      </w:r>
      <w:r w:rsidR="00322B68" w:rsidRPr="2C79DB7B">
        <w:rPr>
          <w:rFonts w:ascii="Verdana" w:hAnsi="Verdana" w:cs="Arial"/>
        </w:rPr>
        <w:t>du Groupe,</w:t>
      </w:r>
      <w:r w:rsidR="00033239" w:rsidRPr="2C79DB7B">
        <w:rPr>
          <w:rFonts w:ascii="Verdana" w:hAnsi="Verdana" w:cs="Arial"/>
        </w:rPr>
        <w:t xml:space="preserve"> </w:t>
      </w:r>
      <w:r w:rsidR="00322B68" w:rsidRPr="2C79DB7B">
        <w:rPr>
          <w:rFonts w:ascii="Verdana" w:hAnsi="Verdana" w:cs="Arial"/>
        </w:rPr>
        <w:t>qui</w:t>
      </w:r>
      <w:r w:rsidR="000031E4" w:rsidRPr="2C79DB7B">
        <w:rPr>
          <w:rFonts w:ascii="Verdana" w:hAnsi="Verdana" w:cs="Arial"/>
        </w:rPr>
        <w:t xml:space="preserve"> présente</w:t>
      </w:r>
      <w:r w:rsidR="001E0147" w:rsidRPr="2C79DB7B">
        <w:rPr>
          <w:rFonts w:ascii="Verdana" w:hAnsi="Verdana" w:cs="Arial"/>
        </w:rPr>
        <w:t xml:space="preserve"> </w:t>
      </w:r>
      <w:r w:rsidR="00D57AF4" w:rsidRPr="2C79DB7B">
        <w:rPr>
          <w:rFonts w:ascii="Verdana" w:hAnsi="Verdana" w:cs="Arial"/>
        </w:rPr>
        <w:t>un co</w:t>
      </w:r>
      <w:r w:rsidR="00E61A7E" w:rsidRPr="2C79DB7B">
        <w:rPr>
          <w:rFonts w:ascii="Verdana" w:hAnsi="Verdana" w:cs="Arial"/>
        </w:rPr>
        <w:t>û</w:t>
      </w:r>
      <w:r w:rsidR="001E0147" w:rsidRPr="2C79DB7B">
        <w:rPr>
          <w:rFonts w:ascii="Verdana" w:hAnsi="Verdana" w:cs="Arial"/>
        </w:rPr>
        <w:t xml:space="preserve">t </w:t>
      </w:r>
      <w:r w:rsidR="000031E4" w:rsidRPr="2C79DB7B">
        <w:rPr>
          <w:rFonts w:ascii="Verdana" w:hAnsi="Verdana" w:cs="Arial"/>
        </w:rPr>
        <w:t>moyen</w:t>
      </w:r>
      <w:r w:rsidR="001E0147" w:rsidRPr="2C79DB7B">
        <w:rPr>
          <w:rFonts w:ascii="Verdana" w:hAnsi="Verdana" w:cs="Arial"/>
        </w:rPr>
        <w:t xml:space="preserve"> faible </w:t>
      </w:r>
      <w:r w:rsidR="17BDB802" w:rsidRPr="2C79DB7B">
        <w:rPr>
          <w:rFonts w:ascii="Verdana" w:hAnsi="Verdana" w:cs="Arial"/>
        </w:rPr>
        <w:t>d</w:t>
      </w:r>
      <w:r w:rsidR="006C77AC">
        <w:rPr>
          <w:rFonts w:ascii="Verdana" w:hAnsi="Verdana" w:cs="Arial"/>
        </w:rPr>
        <w:t xml:space="preserve">e </w:t>
      </w:r>
      <w:r w:rsidR="001E0147" w:rsidRPr="00850D55">
        <w:rPr>
          <w:rFonts w:ascii="Verdana" w:hAnsi="Verdana" w:cs="Arial"/>
        </w:rPr>
        <w:t>1,</w:t>
      </w:r>
      <w:r w:rsidR="00F131FD">
        <w:rPr>
          <w:rFonts w:ascii="Verdana" w:hAnsi="Verdana" w:cs="Arial"/>
        </w:rPr>
        <w:t>8</w:t>
      </w:r>
      <w:r w:rsidR="00D57AF4" w:rsidRPr="00850D55">
        <w:rPr>
          <w:rFonts w:ascii="Verdana" w:hAnsi="Verdana" w:cs="Arial"/>
        </w:rPr>
        <w:t>%</w:t>
      </w:r>
      <w:r w:rsidR="00626421" w:rsidRPr="00850D55">
        <w:rPr>
          <w:rFonts w:ascii="Verdana" w:hAnsi="Verdana" w:cs="Arial"/>
        </w:rPr>
        <w:t>.</w:t>
      </w:r>
      <w:r w:rsidR="00626421" w:rsidRPr="2C79DB7B">
        <w:rPr>
          <w:rFonts w:ascii="Verdana" w:hAnsi="Verdana" w:cs="Arial"/>
        </w:rPr>
        <w:t xml:space="preserve"> </w:t>
      </w:r>
      <w:r w:rsidR="001F5C60" w:rsidRPr="2C79DB7B">
        <w:rPr>
          <w:rFonts w:ascii="Verdana" w:hAnsi="Verdana" w:cs="Arial"/>
        </w:rPr>
        <w:t>Le</w:t>
      </w:r>
      <w:r w:rsidR="00914C1C">
        <w:rPr>
          <w:rFonts w:ascii="Verdana" w:hAnsi="Verdana" w:cs="Arial"/>
        </w:rPr>
        <w:t>ur</w:t>
      </w:r>
      <w:r w:rsidR="00626421" w:rsidRPr="2C79DB7B">
        <w:rPr>
          <w:rFonts w:ascii="Verdana" w:hAnsi="Verdana" w:cs="Arial"/>
        </w:rPr>
        <w:t xml:space="preserve"> </w:t>
      </w:r>
      <w:r w:rsidR="006F3B3F" w:rsidRPr="2C79DB7B">
        <w:rPr>
          <w:rFonts w:ascii="Verdana" w:hAnsi="Verdana" w:cs="Arial"/>
        </w:rPr>
        <w:t xml:space="preserve">large </w:t>
      </w:r>
      <w:r w:rsidR="00BD2832" w:rsidRPr="2C79DB7B">
        <w:rPr>
          <w:rFonts w:ascii="Verdana" w:hAnsi="Verdana" w:cs="Arial"/>
        </w:rPr>
        <w:t xml:space="preserve">succès </w:t>
      </w:r>
      <w:r w:rsidR="00947B0C" w:rsidRPr="2C79DB7B">
        <w:rPr>
          <w:rFonts w:ascii="Verdana" w:hAnsi="Verdana" w:cs="Arial"/>
        </w:rPr>
        <w:t xml:space="preserve">témoigne de la confiance des investisseurs dans </w:t>
      </w:r>
      <w:r w:rsidR="005720B1" w:rsidRPr="2C79DB7B">
        <w:rPr>
          <w:rFonts w:ascii="Verdana" w:hAnsi="Verdana" w:cs="Arial"/>
        </w:rPr>
        <w:t>l</w:t>
      </w:r>
      <w:r w:rsidR="00317DC3" w:rsidRPr="2C79DB7B">
        <w:rPr>
          <w:rFonts w:ascii="Verdana" w:hAnsi="Verdana" w:cs="Arial"/>
        </w:rPr>
        <w:t xml:space="preserve">a qualité </w:t>
      </w:r>
      <w:r w:rsidR="005720B1" w:rsidRPr="2C79DB7B">
        <w:rPr>
          <w:rFonts w:ascii="Verdana" w:hAnsi="Verdana" w:cs="Arial"/>
        </w:rPr>
        <w:t>du profil financier de Capgemini</w:t>
      </w:r>
      <w:r w:rsidR="001F5C60" w:rsidRPr="2C79DB7B">
        <w:rPr>
          <w:rFonts w:ascii="Verdana" w:hAnsi="Verdana" w:cs="Arial"/>
        </w:rPr>
        <w:t xml:space="preserve"> </w:t>
      </w:r>
      <w:r w:rsidR="00317DC3" w:rsidRPr="2C79DB7B">
        <w:rPr>
          <w:rFonts w:ascii="Verdana" w:hAnsi="Verdana" w:cs="Arial"/>
        </w:rPr>
        <w:t>et la pertinence de sa stratégie de croissance</w:t>
      </w:r>
      <w:r w:rsidR="003A7D2D" w:rsidRPr="2C79DB7B">
        <w:rPr>
          <w:rFonts w:ascii="Verdana" w:hAnsi="Verdana" w:cs="Arial"/>
        </w:rPr>
        <w:t>.</w:t>
      </w:r>
    </w:p>
    <w:p w14:paraId="5739B149" w14:textId="77777777" w:rsidR="00E62AD7" w:rsidRPr="002F446E" w:rsidRDefault="00E62AD7" w:rsidP="00907331">
      <w:pPr>
        <w:spacing w:before="120" w:after="120" w:line="276" w:lineRule="auto"/>
        <w:rPr>
          <w:rFonts w:ascii="Verdana" w:hAnsi="Verdana" w:cs="Arial"/>
        </w:rPr>
      </w:pPr>
    </w:p>
    <w:p w14:paraId="1BC47B03" w14:textId="423C242F" w:rsidR="00C96D53" w:rsidRPr="002F446E" w:rsidRDefault="00280EB9" w:rsidP="00907331">
      <w:pPr>
        <w:spacing w:before="120" w:after="120" w:line="276" w:lineRule="auto"/>
        <w:rPr>
          <w:rFonts w:ascii="Verdana" w:hAnsi="Verdana" w:cs="Arial"/>
          <w:b/>
        </w:rPr>
      </w:pPr>
      <w:bookmarkStart w:id="18" w:name="_Hlk14680968"/>
      <w:r>
        <w:rPr>
          <w:rFonts w:ascii="Verdana" w:hAnsi="Verdana" w:cs="Arial"/>
          <w:b/>
        </w:rPr>
        <w:t>ACQUISITION ET INTEGRATION</w:t>
      </w:r>
      <w:r w:rsidRPr="002F446E">
        <w:rPr>
          <w:rFonts w:ascii="Verdana" w:hAnsi="Verdana" w:cs="Arial"/>
          <w:b/>
        </w:rPr>
        <w:t xml:space="preserve"> </w:t>
      </w:r>
      <w:r w:rsidR="00C96D53" w:rsidRPr="002F446E">
        <w:rPr>
          <w:rFonts w:ascii="Verdana" w:hAnsi="Verdana" w:cs="Arial"/>
          <w:b/>
        </w:rPr>
        <w:t>D’ALTRAN</w:t>
      </w:r>
      <w:r w:rsidR="008E324C" w:rsidRPr="002F446E">
        <w:rPr>
          <w:rFonts w:ascii="Verdana" w:hAnsi="Verdana" w:cs="Arial"/>
          <w:b/>
        </w:rPr>
        <w:t xml:space="preserve"> TECHNOLOGIES</w:t>
      </w:r>
    </w:p>
    <w:bookmarkEnd w:id="18"/>
    <w:p w14:paraId="491449DF" w14:textId="4DFF7540" w:rsidR="00E43A74" w:rsidRPr="000F31FA" w:rsidRDefault="00280EB9" w:rsidP="00907331">
      <w:pPr>
        <w:spacing w:before="120" w:after="120" w:line="276" w:lineRule="auto"/>
        <w:rPr>
          <w:rFonts w:cs="Arial"/>
        </w:rPr>
      </w:pPr>
      <w:r>
        <w:rPr>
          <w:rFonts w:cs="Arial"/>
        </w:rPr>
        <w:t>A</w:t>
      </w:r>
      <w:r w:rsidR="00D22DC0">
        <w:rPr>
          <w:rFonts w:cs="Arial"/>
        </w:rPr>
        <w:t>près la prise de contrôle</w:t>
      </w:r>
      <w:r w:rsidR="00FC4234">
        <w:rPr>
          <w:rFonts w:cs="Arial"/>
        </w:rPr>
        <w:t xml:space="preserve"> d’Altran</w:t>
      </w:r>
      <w:r w:rsidR="00D22DC0">
        <w:rPr>
          <w:rFonts w:cs="Arial"/>
        </w:rPr>
        <w:t xml:space="preserve"> </w:t>
      </w:r>
      <w:r w:rsidR="00FC4234">
        <w:rPr>
          <w:rFonts w:cs="Arial"/>
        </w:rPr>
        <w:t xml:space="preserve">intervenue </w:t>
      </w:r>
      <w:r w:rsidR="00D22DC0">
        <w:rPr>
          <w:rFonts w:cs="Arial"/>
        </w:rPr>
        <w:t xml:space="preserve">le </w:t>
      </w:r>
      <w:r w:rsidR="002348A3">
        <w:rPr>
          <w:rFonts w:cs="Arial"/>
        </w:rPr>
        <w:t xml:space="preserve">13 mars </w:t>
      </w:r>
      <w:r w:rsidR="00AB44C9">
        <w:rPr>
          <w:rFonts w:cs="Arial"/>
        </w:rPr>
        <w:t xml:space="preserve">2020, </w:t>
      </w:r>
      <w:r w:rsidR="00E43A74" w:rsidRPr="000F31FA">
        <w:rPr>
          <w:rFonts w:cs="Arial"/>
        </w:rPr>
        <w:t xml:space="preserve">Capgemini </w:t>
      </w:r>
      <w:r w:rsidR="002538A2">
        <w:rPr>
          <w:rFonts w:cs="Arial"/>
        </w:rPr>
        <w:t>a effectué une nouvelle ouverture de l’offre</w:t>
      </w:r>
      <w:r w:rsidR="00AE3468">
        <w:rPr>
          <w:rFonts w:cs="Arial"/>
        </w:rPr>
        <w:t xml:space="preserve"> publique d’achat </w:t>
      </w:r>
      <w:r w:rsidR="00A632AE">
        <w:rPr>
          <w:rFonts w:cs="Arial"/>
        </w:rPr>
        <w:t xml:space="preserve">amicale </w:t>
      </w:r>
      <w:r w:rsidR="00AE3468">
        <w:rPr>
          <w:rFonts w:cs="Arial"/>
        </w:rPr>
        <w:t xml:space="preserve">dont le succès a permis </w:t>
      </w:r>
      <w:r w:rsidR="00A632AE">
        <w:rPr>
          <w:rFonts w:cs="Arial"/>
        </w:rPr>
        <w:t>l</w:t>
      </w:r>
      <w:r w:rsidR="00E43A74" w:rsidRPr="000F31FA">
        <w:rPr>
          <w:rFonts w:cs="Arial"/>
        </w:rPr>
        <w:t>a mis</w:t>
      </w:r>
      <w:r w:rsidR="00791EA5">
        <w:rPr>
          <w:rFonts w:cs="Arial"/>
        </w:rPr>
        <w:t>e</w:t>
      </w:r>
      <w:r w:rsidR="00E43A74" w:rsidRPr="000F31FA">
        <w:rPr>
          <w:rFonts w:cs="Arial"/>
        </w:rPr>
        <w:t xml:space="preserve"> en œuvre </w:t>
      </w:r>
      <w:r w:rsidR="001C6884" w:rsidRPr="000F31FA">
        <w:rPr>
          <w:rFonts w:cs="Arial"/>
        </w:rPr>
        <w:t xml:space="preserve">en avril 2020 </w:t>
      </w:r>
      <w:r w:rsidR="00A632AE">
        <w:rPr>
          <w:rFonts w:cs="Arial"/>
        </w:rPr>
        <w:t>d’</w:t>
      </w:r>
      <w:r w:rsidR="00E43A74" w:rsidRPr="000F31FA">
        <w:rPr>
          <w:rFonts w:cs="Arial"/>
        </w:rPr>
        <w:t xml:space="preserve">une procédure de retrait obligatoire portant sur les actions Altran non encore détenues. A l’issue de cette procédure, Capgemini détient 100% du capital et des droits de vote de la société Altran Technologies, </w:t>
      </w:r>
      <w:r w:rsidR="000F31FA" w:rsidRPr="000F31FA">
        <w:rPr>
          <w:rFonts w:cs="Arial"/>
        </w:rPr>
        <w:t>qui</w:t>
      </w:r>
      <w:r w:rsidR="00E43A74" w:rsidRPr="000F31FA">
        <w:rPr>
          <w:rFonts w:cs="Arial"/>
        </w:rPr>
        <w:t xml:space="preserve"> est entièrement intégré</w:t>
      </w:r>
      <w:r w:rsidR="000F31FA" w:rsidRPr="000F31FA">
        <w:rPr>
          <w:rFonts w:cs="Arial"/>
        </w:rPr>
        <w:t>e</w:t>
      </w:r>
      <w:r w:rsidR="00E43A74" w:rsidRPr="000F31FA">
        <w:rPr>
          <w:rFonts w:cs="Arial"/>
        </w:rPr>
        <w:t xml:space="preserve"> dans le périmètre de consolidation de Capgemini depuis le 1</w:t>
      </w:r>
      <w:r w:rsidR="00E43A74" w:rsidRPr="000F31FA">
        <w:rPr>
          <w:rFonts w:cs="Arial"/>
          <w:vertAlign w:val="superscript"/>
        </w:rPr>
        <w:t>er</w:t>
      </w:r>
      <w:r w:rsidR="00E43A74" w:rsidRPr="000F31FA">
        <w:rPr>
          <w:rFonts w:cs="Arial"/>
        </w:rPr>
        <w:t xml:space="preserve"> avril 2020</w:t>
      </w:r>
      <w:r w:rsidR="00446B4A">
        <w:rPr>
          <w:rFonts w:cs="Arial"/>
        </w:rPr>
        <w:t xml:space="preserve"> comme indiqué précédemment</w:t>
      </w:r>
      <w:r w:rsidR="00E43A74" w:rsidRPr="000F31FA">
        <w:rPr>
          <w:rFonts w:cs="Arial"/>
        </w:rPr>
        <w:t xml:space="preserve">. </w:t>
      </w:r>
    </w:p>
    <w:p w14:paraId="74A32692" w14:textId="183A5BC1" w:rsidR="004C21B3" w:rsidRDefault="008B2D8D" w:rsidP="00907331">
      <w:pPr>
        <w:spacing w:before="120" w:after="120" w:line="276" w:lineRule="auto"/>
        <w:rPr>
          <w:rFonts w:cs="Arial"/>
        </w:rPr>
      </w:pPr>
      <w:r w:rsidRPr="007672FB">
        <w:rPr>
          <w:rFonts w:cs="Arial"/>
        </w:rPr>
        <w:t>Le processus d’intégration</w:t>
      </w:r>
      <w:r w:rsidR="00AD17F1" w:rsidRPr="007672FB">
        <w:rPr>
          <w:rFonts w:cs="Arial"/>
        </w:rPr>
        <w:t xml:space="preserve"> a été </w:t>
      </w:r>
      <w:r w:rsidR="005557FC" w:rsidRPr="007672FB">
        <w:rPr>
          <w:rFonts w:cs="Arial"/>
        </w:rPr>
        <w:t>immédiatement</w:t>
      </w:r>
      <w:r w:rsidR="00AD17F1" w:rsidRPr="007672FB">
        <w:rPr>
          <w:rFonts w:cs="Arial"/>
        </w:rPr>
        <w:t xml:space="preserve"> </w:t>
      </w:r>
      <w:r w:rsidR="005557FC" w:rsidRPr="007672FB">
        <w:rPr>
          <w:rFonts w:cs="Arial"/>
        </w:rPr>
        <w:t>engagé</w:t>
      </w:r>
      <w:r w:rsidR="00AD17F1" w:rsidRPr="007672FB">
        <w:rPr>
          <w:rFonts w:cs="Arial"/>
        </w:rPr>
        <w:t xml:space="preserve"> et </w:t>
      </w:r>
      <w:r w:rsidR="007672FB">
        <w:rPr>
          <w:rFonts w:cs="Arial"/>
        </w:rPr>
        <w:t>progresse</w:t>
      </w:r>
      <w:r w:rsidR="00AD17F1" w:rsidRPr="007672FB">
        <w:rPr>
          <w:rFonts w:cs="Arial"/>
        </w:rPr>
        <w:t xml:space="preserve"> conformément aux attentes du Groupe.</w:t>
      </w:r>
      <w:r w:rsidR="00AD17F1" w:rsidRPr="005557FC">
        <w:rPr>
          <w:rFonts w:cs="Arial"/>
        </w:rPr>
        <w:t xml:space="preserve"> </w:t>
      </w:r>
      <w:r w:rsidR="004C21B3" w:rsidRPr="004C21B3">
        <w:rPr>
          <w:rFonts w:cs="Arial"/>
        </w:rPr>
        <w:t xml:space="preserve">Les synergies de coûts et de modèles opérationnels </w:t>
      </w:r>
      <w:r w:rsidR="00B32016">
        <w:rPr>
          <w:rFonts w:cs="Arial"/>
        </w:rPr>
        <w:t xml:space="preserve">sont attendues pour </w:t>
      </w:r>
      <w:r w:rsidR="00243C0F">
        <w:rPr>
          <w:rFonts w:cs="Arial"/>
        </w:rPr>
        <w:t xml:space="preserve">un </w:t>
      </w:r>
      <w:r w:rsidR="00B32016">
        <w:rPr>
          <w:rFonts w:cs="Arial"/>
        </w:rPr>
        <w:t>montant compris</w:t>
      </w:r>
      <w:r w:rsidR="004C21B3" w:rsidRPr="004C21B3">
        <w:rPr>
          <w:rFonts w:cs="Arial"/>
        </w:rPr>
        <w:t xml:space="preserve"> entre 70 et </w:t>
      </w:r>
      <w:r w:rsidR="00D51D26" w:rsidRPr="004C21B3">
        <w:rPr>
          <w:rFonts w:cs="Arial"/>
        </w:rPr>
        <w:t>100</w:t>
      </w:r>
      <w:r w:rsidR="00D51D26">
        <w:rPr>
          <w:rFonts w:cs="Arial"/>
        </w:rPr>
        <w:t> </w:t>
      </w:r>
      <w:r w:rsidR="004C21B3" w:rsidRPr="004C21B3">
        <w:rPr>
          <w:rFonts w:cs="Arial"/>
        </w:rPr>
        <w:t>millions d’euros avant impôts en année pleine</w:t>
      </w:r>
      <w:r w:rsidR="00B32016">
        <w:rPr>
          <w:rFonts w:cs="Arial"/>
        </w:rPr>
        <w:t xml:space="preserve">, </w:t>
      </w:r>
      <w:r w:rsidR="00415B46">
        <w:rPr>
          <w:rFonts w:cs="Arial"/>
        </w:rPr>
        <w:t xml:space="preserve">conformément aux </w:t>
      </w:r>
      <w:r w:rsidR="00800F5A">
        <w:rPr>
          <w:rFonts w:cs="Arial"/>
        </w:rPr>
        <w:t xml:space="preserve">estimations communiquées lors de l’annonce du projet d’acquisition. </w:t>
      </w:r>
      <w:r w:rsidR="000B61F2">
        <w:rPr>
          <w:rFonts w:cs="Arial"/>
        </w:rPr>
        <w:t>Capgemini</w:t>
      </w:r>
      <w:r w:rsidR="00800F5A">
        <w:rPr>
          <w:rFonts w:cs="Arial"/>
        </w:rPr>
        <w:t xml:space="preserve"> estime désormais être en mesure d’atteindre</w:t>
      </w:r>
      <w:r w:rsidR="00830970" w:rsidRPr="00830970">
        <w:rPr>
          <w:rFonts w:cs="Arial"/>
        </w:rPr>
        <w:t xml:space="preserve"> </w:t>
      </w:r>
      <w:r w:rsidR="00780381">
        <w:rPr>
          <w:rFonts w:cs="Arial"/>
        </w:rPr>
        <w:t>deux tiers des synergies attendue</w:t>
      </w:r>
      <w:r w:rsidR="002A6D62">
        <w:rPr>
          <w:rFonts w:cs="Arial"/>
        </w:rPr>
        <w:t>s</w:t>
      </w:r>
      <w:r w:rsidR="00926A05">
        <w:rPr>
          <w:rFonts w:cs="Arial"/>
        </w:rPr>
        <w:t>,</w:t>
      </w:r>
      <w:r w:rsidR="00780381">
        <w:rPr>
          <w:rFonts w:cs="Arial"/>
        </w:rPr>
        <w:t xml:space="preserve"> en rythme annualisé</w:t>
      </w:r>
      <w:r w:rsidR="00926A05">
        <w:rPr>
          <w:rFonts w:cs="Arial"/>
        </w:rPr>
        <w:t>,</w:t>
      </w:r>
      <w:r w:rsidR="00780381">
        <w:rPr>
          <w:rFonts w:cs="Arial"/>
        </w:rPr>
        <w:t xml:space="preserve"> </w:t>
      </w:r>
      <w:r w:rsidR="005E7B61">
        <w:rPr>
          <w:rFonts w:cs="Arial"/>
        </w:rPr>
        <w:t xml:space="preserve">dès juin </w:t>
      </w:r>
      <w:r w:rsidR="00904660">
        <w:rPr>
          <w:rFonts w:cs="Arial"/>
        </w:rPr>
        <w:t>2021</w:t>
      </w:r>
      <w:r w:rsidR="00926A05">
        <w:rPr>
          <w:rFonts w:cs="Arial"/>
        </w:rPr>
        <w:t xml:space="preserve">. </w:t>
      </w:r>
      <w:r w:rsidR="00261188">
        <w:rPr>
          <w:rFonts w:cs="Arial"/>
        </w:rPr>
        <w:t>De plus</w:t>
      </w:r>
      <w:r w:rsidR="00C164E3">
        <w:rPr>
          <w:rFonts w:cs="Arial"/>
        </w:rPr>
        <w:t>, sur la base des</w:t>
      </w:r>
      <w:r w:rsidR="00C164E3" w:rsidRPr="00C164E3">
        <w:rPr>
          <w:rFonts w:cs="Arial"/>
        </w:rPr>
        <w:t xml:space="preserve"> nombreuses opportunités commerciales </w:t>
      </w:r>
      <w:r w:rsidR="00C164E3">
        <w:rPr>
          <w:rFonts w:cs="Arial"/>
        </w:rPr>
        <w:t xml:space="preserve">déjà </w:t>
      </w:r>
      <w:r w:rsidR="00C164E3" w:rsidRPr="00C164E3">
        <w:rPr>
          <w:rFonts w:cs="Arial"/>
        </w:rPr>
        <w:t>identifiées</w:t>
      </w:r>
      <w:r w:rsidR="00C164E3">
        <w:rPr>
          <w:rFonts w:cs="Arial"/>
        </w:rPr>
        <w:t>,</w:t>
      </w:r>
      <w:r w:rsidR="00C164E3" w:rsidRPr="00C164E3">
        <w:rPr>
          <w:rFonts w:cs="Arial"/>
        </w:rPr>
        <w:t xml:space="preserve"> </w:t>
      </w:r>
      <w:r w:rsidR="007A4B52">
        <w:rPr>
          <w:rFonts w:cs="Arial"/>
        </w:rPr>
        <w:t>et pour</w:t>
      </w:r>
      <w:r w:rsidR="00C164E3" w:rsidRPr="00C164E3">
        <w:rPr>
          <w:rFonts w:cs="Arial"/>
        </w:rPr>
        <w:t xml:space="preserve"> certaines déjà signées</w:t>
      </w:r>
      <w:r w:rsidR="00C164E3">
        <w:rPr>
          <w:rFonts w:cs="Arial"/>
        </w:rPr>
        <w:t>,</w:t>
      </w:r>
      <w:r w:rsidR="00B93A59">
        <w:rPr>
          <w:rFonts w:cs="Arial"/>
        </w:rPr>
        <w:t xml:space="preserve"> le Groupe est confiant </w:t>
      </w:r>
      <w:r w:rsidR="007C27E7">
        <w:rPr>
          <w:rFonts w:cs="Arial"/>
        </w:rPr>
        <w:t xml:space="preserve">dans sa capacité </w:t>
      </w:r>
      <w:r w:rsidR="00BA4FF6">
        <w:rPr>
          <w:rFonts w:cs="Arial"/>
        </w:rPr>
        <w:t xml:space="preserve">à </w:t>
      </w:r>
      <w:r w:rsidR="00397CAF">
        <w:rPr>
          <w:rFonts w:cs="Arial"/>
        </w:rPr>
        <w:t>réaliser les synergies commerciales annoncées</w:t>
      </w:r>
      <w:r w:rsidR="007D6E33">
        <w:rPr>
          <w:rFonts w:cs="Arial"/>
        </w:rPr>
        <w:t>, qui correspondent</w:t>
      </w:r>
      <w:r w:rsidR="00B51B21">
        <w:rPr>
          <w:rFonts w:cs="Arial"/>
        </w:rPr>
        <w:t xml:space="preserve"> à </w:t>
      </w:r>
      <w:r w:rsidR="00397CAF" w:rsidRPr="00397CAF">
        <w:rPr>
          <w:rFonts w:cs="Arial"/>
        </w:rPr>
        <w:t>un chiffre d’affaires annuel additionnel compris entre 200 et 350 millions d’euros</w:t>
      </w:r>
      <w:r w:rsidR="00B51B21">
        <w:rPr>
          <w:rFonts w:cs="Arial"/>
        </w:rPr>
        <w:t xml:space="preserve"> à </w:t>
      </w:r>
      <w:r w:rsidR="00CE2983">
        <w:rPr>
          <w:rFonts w:cs="Arial"/>
        </w:rPr>
        <w:t xml:space="preserve">un horizon de 3 ans. </w:t>
      </w:r>
    </w:p>
    <w:p w14:paraId="2C24697F" w14:textId="77777777" w:rsidR="00BE2D78" w:rsidRPr="002F446E" w:rsidRDefault="00BE2D78" w:rsidP="00907331">
      <w:pPr>
        <w:spacing w:before="120" w:after="120" w:line="276" w:lineRule="auto"/>
        <w:rPr>
          <w:rFonts w:ascii="Verdana" w:hAnsi="Verdana"/>
          <w:b/>
          <w:caps/>
          <w:szCs w:val="36"/>
        </w:rPr>
      </w:pPr>
    </w:p>
    <w:p w14:paraId="0BEFF3CC" w14:textId="77777777" w:rsidR="00BE2D78" w:rsidRPr="002F446E" w:rsidRDefault="00BE2D78" w:rsidP="00907331">
      <w:pPr>
        <w:pStyle w:val="Heading1"/>
        <w:spacing w:line="276" w:lineRule="auto"/>
      </w:pPr>
      <w:r w:rsidRPr="002F446E">
        <w:t>PERSPECTIVES</w:t>
      </w:r>
    </w:p>
    <w:p w14:paraId="71CD02D8" w14:textId="76B3CE17" w:rsidR="001643DE" w:rsidRDefault="00E13281" w:rsidP="00907331">
      <w:pPr>
        <w:spacing w:before="120" w:after="120" w:line="276" w:lineRule="auto"/>
        <w:rPr>
          <w:rFonts w:ascii="Verdana" w:hAnsi="Verdana" w:cs="Arial"/>
          <w:bCs/>
        </w:rPr>
      </w:pPr>
      <w:r w:rsidRPr="006B1196">
        <w:rPr>
          <w:rFonts w:ascii="Verdana" w:hAnsi="Verdana" w:cs="Arial"/>
          <w:bCs/>
        </w:rPr>
        <w:t>D</w:t>
      </w:r>
      <w:r w:rsidR="00B11A3F" w:rsidRPr="006B1196">
        <w:rPr>
          <w:rFonts w:ascii="Verdana" w:hAnsi="Verdana" w:cs="Arial"/>
          <w:bCs/>
        </w:rPr>
        <w:t xml:space="preserve">ans un environnement encore </w:t>
      </w:r>
      <w:r w:rsidRPr="006B1196">
        <w:rPr>
          <w:rFonts w:ascii="Verdana" w:hAnsi="Verdana" w:cs="Arial"/>
          <w:bCs/>
        </w:rPr>
        <w:t>in</w:t>
      </w:r>
      <w:r w:rsidR="00B11A3F" w:rsidRPr="006B1196">
        <w:rPr>
          <w:rFonts w:ascii="Verdana" w:hAnsi="Verdana" w:cs="Arial"/>
          <w:bCs/>
        </w:rPr>
        <w:t>certain</w:t>
      </w:r>
      <w:r w:rsidRPr="006B1196">
        <w:rPr>
          <w:rFonts w:ascii="Verdana" w:hAnsi="Verdana" w:cs="Arial"/>
          <w:bCs/>
        </w:rPr>
        <w:t>,</w:t>
      </w:r>
      <w:r w:rsidR="00B11A3F" w:rsidRPr="006B1196">
        <w:rPr>
          <w:rFonts w:ascii="Verdana" w:hAnsi="Verdana" w:cs="Arial"/>
          <w:bCs/>
        </w:rPr>
        <w:t xml:space="preserve"> le Groupe </w:t>
      </w:r>
      <w:r w:rsidRPr="006B1196">
        <w:rPr>
          <w:rFonts w:ascii="Verdana" w:hAnsi="Verdana" w:cs="Arial"/>
          <w:bCs/>
        </w:rPr>
        <w:t xml:space="preserve">anticipe </w:t>
      </w:r>
      <w:r w:rsidR="00FC0818" w:rsidRPr="006B1196">
        <w:rPr>
          <w:rFonts w:ascii="Verdana" w:hAnsi="Verdana" w:cs="Arial"/>
          <w:bCs/>
        </w:rPr>
        <w:t>pour le 2</w:t>
      </w:r>
      <w:r w:rsidR="00FC0818" w:rsidRPr="006B1196">
        <w:rPr>
          <w:rFonts w:ascii="Verdana" w:hAnsi="Verdana" w:cs="Arial"/>
          <w:bCs/>
          <w:vertAlign w:val="superscript"/>
        </w:rPr>
        <w:t>ème</w:t>
      </w:r>
      <w:r w:rsidR="00FC0818" w:rsidRPr="006B1196">
        <w:rPr>
          <w:rFonts w:ascii="Verdana" w:hAnsi="Verdana" w:cs="Arial"/>
          <w:bCs/>
        </w:rPr>
        <w:t xml:space="preserve"> semestre 20</w:t>
      </w:r>
      <w:r w:rsidR="00344D65">
        <w:rPr>
          <w:rFonts w:ascii="Verdana" w:hAnsi="Verdana" w:cs="Arial"/>
          <w:bCs/>
        </w:rPr>
        <w:t>20</w:t>
      </w:r>
      <w:r w:rsidR="00FC0818" w:rsidRPr="006B1196">
        <w:rPr>
          <w:rFonts w:ascii="Verdana" w:hAnsi="Verdana" w:cs="Arial"/>
          <w:bCs/>
        </w:rPr>
        <w:t xml:space="preserve"> </w:t>
      </w:r>
      <w:r w:rsidR="008F4002" w:rsidRPr="006B1196">
        <w:rPr>
          <w:rFonts w:ascii="Verdana" w:hAnsi="Verdana" w:cs="Arial"/>
          <w:bCs/>
        </w:rPr>
        <w:t>un redressement progressif de son niveau d’activité</w:t>
      </w:r>
      <w:r w:rsidR="00DE5499">
        <w:rPr>
          <w:rFonts w:ascii="Verdana" w:hAnsi="Verdana" w:cs="Arial"/>
          <w:bCs/>
        </w:rPr>
        <w:t xml:space="preserve"> par rapport au 2</w:t>
      </w:r>
      <w:r w:rsidR="00DE5499" w:rsidRPr="00B41454">
        <w:rPr>
          <w:rFonts w:ascii="Verdana" w:hAnsi="Verdana" w:cs="Arial"/>
          <w:bCs/>
          <w:vertAlign w:val="superscript"/>
        </w:rPr>
        <w:t>ème</w:t>
      </w:r>
      <w:r w:rsidR="00DE5499">
        <w:rPr>
          <w:rFonts w:ascii="Verdana" w:hAnsi="Verdana" w:cs="Arial"/>
          <w:bCs/>
        </w:rPr>
        <w:t xml:space="preserve"> trime</w:t>
      </w:r>
      <w:r w:rsidR="00FD5835">
        <w:rPr>
          <w:rFonts w:ascii="Verdana" w:hAnsi="Verdana" w:cs="Arial"/>
          <w:bCs/>
        </w:rPr>
        <w:t>stre</w:t>
      </w:r>
      <w:r w:rsidR="002A3956" w:rsidRPr="006B1196">
        <w:rPr>
          <w:rFonts w:ascii="Verdana" w:hAnsi="Verdana" w:cs="Arial"/>
          <w:bCs/>
        </w:rPr>
        <w:t xml:space="preserve">. </w:t>
      </w:r>
    </w:p>
    <w:p w14:paraId="2665D68A" w14:textId="713BB013" w:rsidR="00B11A3F" w:rsidRPr="006B1196" w:rsidRDefault="00E60251" w:rsidP="00907331">
      <w:pPr>
        <w:spacing w:before="120" w:after="120" w:line="276" w:lineRule="auto"/>
        <w:rPr>
          <w:rFonts w:ascii="Verdana" w:hAnsi="Verdana" w:cs="Arial"/>
          <w:bCs/>
        </w:rPr>
      </w:pPr>
      <w:r>
        <w:rPr>
          <w:rFonts w:ascii="Verdana" w:hAnsi="Verdana" w:cs="Arial"/>
          <w:bCs/>
        </w:rPr>
        <w:t>L</w:t>
      </w:r>
      <w:r w:rsidR="002A3956" w:rsidRPr="006B1196">
        <w:rPr>
          <w:rFonts w:ascii="Verdana" w:hAnsi="Verdana" w:cs="Arial"/>
          <w:bCs/>
        </w:rPr>
        <w:t xml:space="preserve">e Groupe </w:t>
      </w:r>
      <w:r w:rsidR="004E7ADD" w:rsidRPr="006B1196">
        <w:rPr>
          <w:rFonts w:ascii="Verdana" w:hAnsi="Verdana" w:cs="Arial"/>
          <w:bCs/>
        </w:rPr>
        <w:t xml:space="preserve">se fixe </w:t>
      </w:r>
      <w:r>
        <w:rPr>
          <w:rFonts w:ascii="Verdana" w:hAnsi="Verdana" w:cs="Arial"/>
          <w:bCs/>
        </w:rPr>
        <w:t xml:space="preserve">ainsi </w:t>
      </w:r>
      <w:r w:rsidR="004E7ADD" w:rsidRPr="006B1196">
        <w:rPr>
          <w:rFonts w:ascii="Verdana" w:hAnsi="Verdana" w:cs="Arial"/>
          <w:bCs/>
        </w:rPr>
        <w:t xml:space="preserve">comme </w:t>
      </w:r>
      <w:r w:rsidR="00344D65" w:rsidRPr="568E2FE4">
        <w:rPr>
          <w:rFonts w:ascii="Verdana" w:hAnsi="Verdana" w:cs="Arial"/>
        </w:rPr>
        <w:t>objectif</w:t>
      </w:r>
      <w:r w:rsidR="00FD5835" w:rsidRPr="568E2FE4">
        <w:rPr>
          <w:rFonts w:ascii="Verdana" w:hAnsi="Verdana" w:cs="Arial"/>
        </w:rPr>
        <w:t>s</w:t>
      </w:r>
      <w:r w:rsidR="00781CB1" w:rsidRPr="006B1196">
        <w:rPr>
          <w:rFonts w:ascii="Verdana" w:hAnsi="Verdana" w:cs="Arial"/>
          <w:bCs/>
        </w:rPr>
        <w:t xml:space="preserve"> </w:t>
      </w:r>
      <w:r w:rsidR="00781CB1" w:rsidRPr="00632C26">
        <w:rPr>
          <w:rFonts w:ascii="Verdana" w:hAnsi="Verdana" w:cs="Arial"/>
          <w:bCs/>
          <w:u w:val="single"/>
        </w:rPr>
        <w:t xml:space="preserve">pour </w:t>
      </w:r>
      <w:r w:rsidR="001A2D0D" w:rsidRPr="00632C26">
        <w:rPr>
          <w:rFonts w:ascii="Verdana" w:hAnsi="Verdana" w:cs="Arial"/>
          <w:bCs/>
          <w:u w:val="single"/>
        </w:rPr>
        <w:t>l’ensemble de l’année 2020</w:t>
      </w:r>
      <w:r w:rsidR="004E7ADD" w:rsidRPr="006B1196">
        <w:rPr>
          <w:rFonts w:ascii="Verdana" w:hAnsi="Verdana" w:cs="Arial"/>
          <w:bCs/>
        </w:rPr>
        <w:t> :</w:t>
      </w:r>
    </w:p>
    <w:p w14:paraId="67E63167" w14:textId="543E1F1F" w:rsidR="001A2D0D" w:rsidRPr="006B1196" w:rsidRDefault="001A2D0D" w:rsidP="001A2D0D">
      <w:pPr>
        <w:pStyle w:val="ListParagraph"/>
        <w:numPr>
          <w:ilvl w:val="0"/>
          <w:numId w:val="11"/>
        </w:numPr>
        <w:spacing w:before="120" w:after="120" w:line="276" w:lineRule="auto"/>
        <w:rPr>
          <w:rFonts w:ascii="Verdana" w:hAnsi="Verdana" w:cs="Arial"/>
          <w:bCs/>
        </w:rPr>
      </w:pPr>
      <w:r w:rsidRPr="006B1196">
        <w:rPr>
          <w:rFonts w:ascii="Verdana" w:hAnsi="Verdana" w:cs="Arial"/>
          <w:bCs/>
        </w:rPr>
        <w:t xml:space="preserve">Une croissance à taux de change constants comprise </w:t>
      </w:r>
      <w:r w:rsidR="00FF6604" w:rsidRPr="006B1196">
        <w:rPr>
          <w:rFonts w:ascii="Verdana" w:hAnsi="Verdana" w:cs="Arial"/>
          <w:bCs/>
        </w:rPr>
        <w:t xml:space="preserve">entre </w:t>
      </w:r>
      <w:r w:rsidR="001C5028" w:rsidRPr="006B1196">
        <w:rPr>
          <w:rFonts w:ascii="Verdana" w:hAnsi="Verdana" w:cs="Arial"/>
          <w:bCs/>
        </w:rPr>
        <w:t>+1</w:t>
      </w:r>
      <w:r w:rsidR="004A0E0B" w:rsidRPr="006B1196">
        <w:rPr>
          <w:rFonts w:ascii="Verdana" w:hAnsi="Verdana" w:cs="Arial"/>
          <w:bCs/>
        </w:rPr>
        <w:t>2,5</w:t>
      </w:r>
      <w:r w:rsidR="001C5028" w:rsidRPr="006B1196">
        <w:rPr>
          <w:rFonts w:ascii="Verdana" w:hAnsi="Verdana" w:cs="Arial"/>
          <w:bCs/>
        </w:rPr>
        <w:t>% et +14</w:t>
      </w:r>
      <w:r w:rsidR="00333CE4">
        <w:rPr>
          <w:rFonts w:ascii="Verdana" w:hAnsi="Verdana" w:cs="Arial"/>
          <w:bCs/>
        </w:rPr>
        <w:t>,0</w:t>
      </w:r>
      <w:r w:rsidR="001C5028" w:rsidRPr="006B1196">
        <w:rPr>
          <w:rFonts w:ascii="Verdana" w:hAnsi="Verdana" w:cs="Arial"/>
          <w:bCs/>
        </w:rPr>
        <w:t>%</w:t>
      </w:r>
      <w:r w:rsidR="004A0E0B" w:rsidRPr="006B1196">
        <w:rPr>
          <w:rFonts w:ascii="Verdana" w:hAnsi="Verdana" w:cs="Arial"/>
          <w:bCs/>
        </w:rPr>
        <w:t xml:space="preserve">, avec une contribution </w:t>
      </w:r>
      <w:r w:rsidR="00AB1AF8">
        <w:rPr>
          <w:rFonts w:ascii="Verdana" w:hAnsi="Verdana" w:cs="Arial"/>
          <w:bCs/>
        </w:rPr>
        <w:t>des acquisitions</w:t>
      </w:r>
      <w:r w:rsidR="00AB1AF8" w:rsidRPr="006B1196">
        <w:rPr>
          <w:rFonts w:ascii="Verdana" w:hAnsi="Verdana" w:cs="Arial"/>
          <w:bCs/>
        </w:rPr>
        <w:t xml:space="preserve"> </w:t>
      </w:r>
      <w:r w:rsidR="00333CE4">
        <w:rPr>
          <w:rFonts w:ascii="Verdana" w:hAnsi="Verdana" w:cs="Arial"/>
          <w:bCs/>
        </w:rPr>
        <w:t xml:space="preserve">estimée à </w:t>
      </w:r>
      <w:r w:rsidR="00BA57BA" w:rsidRPr="006B1196">
        <w:rPr>
          <w:rFonts w:ascii="Verdana" w:hAnsi="Verdana" w:cs="Arial"/>
          <w:bCs/>
        </w:rPr>
        <w:t>17</w:t>
      </w:r>
      <w:r w:rsidR="008C75EC">
        <w:rPr>
          <w:rFonts w:ascii="Verdana" w:hAnsi="Verdana" w:cs="Arial"/>
          <w:bCs/>
        </w:rPr>
        <w:t>,0</w:t>
      </w:r>
      <w:r w:rsidR="00BA57BA" w:rsidRPr="006B1196">
        <w:rPr>
          <w:rFonts w:ascii="Verdana" w:hAnsi="Verdana" w:cs="Arial"/>
          <w:bCs/>
        </w:rPr>
        <w:t>%</w:t>
      </w:r>
      <w:r w:rsidR="00C32A52" w:rsidRPr="006B1196">
        <w:rPr>
          <w:rFonts w:ascii="Verdana" w:hAnsi="Verdana" w:cs="Arial"/>
          <w:bCs/>
        </w:rPr>
        <w:t> ;</w:t>
      </w:r>
    </w:p>
    <w:p w14:paraId="0B23703F" w14:textId="2CC986B9" w:rsidR="00BA57BA" w:rsidRPr="006B1196" w:rsidRDefault="00B479F2" w:rsidP="001A2D0D">
      <w:pPr>
        <w:pStyle w:val="ListParagraph"/>
        <w:numPr>
          <w:ilvl w:val="0"/>
          <w:numId w:val="11"/>
        </w:numPr>
        <w:spacing w:before="120" w:after="120" w:line="276" w:lineRule="auto"/>
        <w:rPr>
          <w:rFonts w:eastAsiaTheme="minorEastAsia" w:cstheme="minorBidi"/>
          <w:szCs w:val="18"/>
        </w:rPr>
      </w:pPr>
      <w:r>
        <w:rPr>
          <w:rFonts w:ascii="Verdana" w:hAnsi="Verdana" w:cs="Arial"/>
          <w:bCs/>
        </w:rPr>
        <w:t>U</w:t>
      </w:r>
      <w:r w:rsidR="00BA57BA" w:rsidRPr="006B1196">
        <w:rPr>
          <w:rFonts w:ascii="Verdana" w:hAnsi="Verdana" w:cs="Arial"/>
          <w:bCs/>
        </w:rPr>
        <w:t xml:space="preserve">ne contraction </w:t>
      </w:r>
      <w:r w:rsidR="0039174F">
        <w:rPr>
          <w:rFonts w:ascii="Verdana" w:hAnsi="Verdana" w:cs="Arial"/>
          <w:bCs/>
        </w:rPr>
        <w:t xml:space="preserve">de la marge opérationnelle </w:t>
      </w:r>
      <w:r w:rsidR="00B76F5C">
        <w:rPr>
          <w:rFonts w:ascii="Verdana" w:hAnsi="Verdana" w:cs="Arial"/>
          <w:bCs/>
        </w:rPr>
        <w:t xml:space="preserve">comprise </w:t>
      </w:r>
      <w:r w:rsidR="0091287C">
        <w:rPr>
          <w:rFonts w:ascii="Verdana" w:hAnsi="Verdana" w:cs="Arial"/>
          <w:bCs/>
        </w:rPr>
        <w:t>entre 0,6 et 0,9 point</w:t>
      </w:r>
      <w:r w:rsidR="0B1D6838" w:rsidRPr="2774ED78">
        <w:rPr>
          <w:rFonts w:ascii="Verdana" w:hAnsi="Verdana" w:cs="Arial"/>
        </w:rPr>
        <w:t> </w:t>
      </w:r>
      <w:r w:rsidR="00BA57BA" w:rsidRPr="006B1196">
        <w:rPr>
          <w:rFonts w:ascii="Verdana" w:hAnsi="Verdana" w:cs="Arial"/>
          <w:bCs/>
        </w:rPr>
        <w:t xml:space="preserve">par rapport </w:t>
      </w:r>
      <w:r w:rsidR="00305238">
        <w:rPr>
          <w:rFonts w:ascii="Verdana" w:hAnsi="Verdana" w:cs="Arial"/>
          <w:bCs/>
        </w:rPr>
        <w:t>aux 12,3% atteints en</w:t>
      </w:r>
      <w:r w:rsidR="00BA57BA" w:rsidRPr="006B1196">
        <w:rPr>
          <w:rFonts w:ascii="Verdana" w:hAnsi="Verdana" w:cs="Arial"/>
          <w:bCs/>
        </w:rPr>
        <w:t xml:space="preserve"> 2019</w:t>
      </w:r>
      <w:r>
        <w:rPr>
          <w:rFonts w:ascii="Verdana" w:hAnsi="Verdana" w:cs="Arial"/>
          <w:bCs/>
        </w:rPr>
        <w:t>, qui</w:t>
      </w:r>
      <w:r w:rsidR="00305238">
        <w:rPr>
          <w:rFonts w:ascii="Verdana" w:hAnsi="Verdana" w:cs="Arial"/>
          <w:bCs/>
        </w:rPr>
        <w:t xml:space="preserve"> </w:t>
      </w:r>
      <w:r w:rsidR="0039174F">
        <w:rPr>
          <w:rFonts w:ascii="Verdana" w:hAnsi="Verdana" w:cs="Arial"/>
          <w:bCs/>
        </w:rPr>
        <w:t>témoign</w:t>
      </w:r>
      <w:r>
        <w:rPr>
          <w:rFonts w:ascii="Verdana" w:hAnsi="Verdana" w:cs="Arial"/>
          <w:bCs/>
        </w:rPr>
        <w:t>e</w:t>
      </w:r>
      <w:r w:rsidR="0039174F">
        <w:rPr>
          <w:rFonts w:ascii="Verdana" w:hAnsi="Verdana" w:cs="Arial"/>
          <w:bCs/>
        </w:rPr>
        <w:t xml:space="preserve"> de </w:t>
      </w:r>
      <w:r>
        <w:rPr>
          <w:rFonts w:ascii="Verdana" w:hAnsi="Verdana" w:cs="Arial"/>
          <w:bCs/>
        </w:rPr>
        <w:t>la nette amélioration de la résilience</w:t>
      </w:r>
      <w:r w:rsidR="008E374B">
        <w:rPr>
          <w:rFonts w:ascii="Verdana" w:hAnsi="Verdana" w:cs="Arial"/>
          <w:bCs/>
        </w:rPr>
        <w:t xml:space="preserve"> </w:t>
      </w:r>
      <w:r w:rsidR="00C32A52" w:rsidRPr="006B1196">
        <w:rPr>
          <w:rFonts w:ascii="Verdana" w:hAnsi="Verdana" w:cs="Arial"/>
          <w:bCs/>
        </w:rPr>
        <w:t>;</w:t>
      </w:r>
    </w:p>
    <w:p w14:paraId="63EFBF22" w14:textId="7660A39A" w:rsidR="00907054" w:rsidRPr="000F5D5A" w:rsidRDefault="00907054" w:rsidP="006B1196">
      <w:pPr>
        <w:pStyle w:val="ListParagraph"/>
        <w:numPr>
          <w:ilvl w:val="0"/>
          <w:numId w:val="11"/>
        </w:numPr>
        <w:spacing w:before="120" w:after="120" w:line="276" w:lineRule="auto"/>
        <w:rPr>
          <w:rFonts w:ascii="Verdana" w:hAnsi="Verdana" w:cs="Arial"/>
          <w:bCs/>
        </w:rPr>
      </w:pPr>
      <w:r w:rsidRPr="000F5D5A">
        <w:rPr>
          <w:rFonts w:ascii="Verdana" w:hAnsi="Verdana" w:cs="Arial"/>
          <w:bCs/>
        </w:rPr>
        <w:t xml:space="preserve">Une génération de </w:t>
      </w:r>
      <w:r w:rsidR="0006407C" w:rsidRPr="000F5D5A">
        <w:rPr>
          <w:rFonts w:ascii="Verdana" w:hAnsi="Verdana" w:cs="Arial"/>
          <w:bCs/>
          <w:i/>
          <w:iCs/>
        </w:rPr>
        <w:t>free cash-flow</w:t>
      </w:r>
      <w:r w:rsidR="0006407C" w:rsidRPr="000F5D5A">
        <w:rPr>
          <w:rFonts w:ascii="Verdana" w:hAnsi="Verdana" w:cs="Arial"/>
          <w:bCs/>
        </w:rPr>
        <w:t xml:space="preserve"> organique </w:t>
      </w:r>
      <w:r w:rsidR="00FC10C6" w:rsidRPr="000F5D5A">
        <w:rPr>
          <w:rFonts w:ascii="Verdana" w:hAnsi="Verdana" w:cs="Arial"/>
          <w:bCs/>
        </w:rPr>
        <w:t>supérieure à 900 millions d’euros</w:t>
      </w:r>
      <w:r w:rsidR="007B29A7">
        <w:rPr>
          <w:rFonts w:ascii="Verdana" w:hAnsi="Verdana" w:cs="Arial"/>
          <w:bCs/>
        </w:rPr>
        <w:t>.</w:t>
      </w:r>
    </w:p>
    <w:p w14:paraId="5BB639C3" w14:textId="553DACD7" w:rsidR="008C1019" w:rsidRDefault="00905C56" w:rsidP="00907331">
      <w:pPr>
        <w:spacing w:before="120" w:after="120" w:line="276" w:lineRule="auto"/>
        <w:rPr>
          <w:rFonts w:ascii="Verdana" w:hAnsi="Verdana" w:cs="Arial"/>
          <w:b/>
        </w:rPr>
      </w:pPr>
      <w:r>
        <w:rPr>
          <w:rFonts w:ascii="Verdana" w:hAnsi="Verdana" w:cs="Arial"/>
          <w:bCs/>
        </w:rPr>
        <w:t>Une</w:t>
      </w:r>
      <w:r w:rsidR="0030635C" w:rsidRPr="2774ED78">
        <w:rPr>
          <w:rFonts w:ascii="Verdana" w:hAnsi="Verdana" w:cs="Arial"/>
        </w:rPr>
        <w:t xml:space="preserve"> </w:t>
      </w:r>
      <w:r w:rsidR="7BE8F204" w:rsidRPr="2774ED78">
        <w:rPr>
          <w:rFonts w:ascii="Verdana" w:hAnsi="Verdana" w:cs="Arial"/>
        </w:rPr>
        <w:t>forte</w:t>
      </w:r>
      <w:r w:rsidR="0030635C" w:rsidRPr="006B1196">
        <w:rPr>
          <w:rFonts w:ascii="Verdana" w:hAnsi="Verdana" w:cs="Arial"/>
          <w:bCs/>
        </w:rPr>
        <w:t xml:space="preserve"> dégradation </w:t>
      </w:r>
      <w:r>
        <w:rPr>
          <w:rFonts w:ascii="Verdana" w:hAnsi="Verdana" w:cs="Arial"/>
          <w:bCs/>
        </w:rPr>
        <w:t>des conditions</w:t>
      </w:r>
      <w:r w:rsidR="0030635C" w:rsidRPr="006B1196">
        <w:rPr>
          <w:rFonts w:ascii="Verdana" w:hAnsi="Verdana" w:cs="Arial"/>
          <w:bCs/>
        </w:rPr>
        <w:t xml:space="preserve"> sanitaires</w:t>
      </w:r>
      <w:r>
        <w:rPr>
          <w:rFonts w:ascii="Verdana" w:hAnsi="Verdana" w:cs="Arial"/>
          <w:bCs/>
        </w:rPr>
        <w:t xml:space="preserve"> et/ou de l’</w:t>
      </w:r>
      <w:r w:rsidR="00587803">
        <w:rPr>
          <w:rFonts w:ascii="Verdana" w:hAnsi="Verdana" w:cs="Arial"/>
          <w:bCs/>
        </w:rPr>
        <w:t>environnement économique</w:t>
      </w:r>
      <w:r w:rsidR="00933A9E">
        <w:rPr>
          <w:rFonts w:ascii="Verdana" w:hAnsi="Verdana" w:cs="Arial"/>
          <w:bCs/>
        </w:rPr>
        <w:t xml:space="preserve"> dans les prochains mois pourrait toutefois contrarier l’atteinte de ces objectifs</w:t>
      </w:r>
      <w:r w:rsidR="00587803">
        <w:rPr>
          <w:rFonts w:ascii="Verdana" w:hAnsi="Verdana" w:cs="Arial"/>
          <w:bCs/>
        </w:rPr>
        <w:t>.</w:t>
      </w:r>
    </w:p>
    <w:p w14:paraId="10EE8DE2" w14:textId="77777777" w:rsidR="0030635C" w:rsidRPr="002F446E" w:rsidRDefault="0030635C" w:rsidP="00907331">
      <w:pPr>
        <w:spacing w:before="120" w:after="120" w:line="276" w:lineRule="auto"/>
        <w:rPr>
          <w:rFonts w:ascii="Verdana" w:hAnsi="Verdana" w:cs="Arial"/>
          <w:b/>
        </w:rPr>
      </w:pPr>
    </w:p>
    <w:p w14:paraId="3168FE77" w14:textId="7471405B" w:rsidR="0030711A" w:rsidRDefault="79C65592" w:rsidP="00907331">
      <w:pPr>
        <w:pStyle w:val="Heading1"/>
        <w:spacing w:line="276" w:lineRule="auto"/>
      </w:pPr>
      <w:r>
        <w:t>D</w:t>
      </w:r>
      <w:r w:rsidR="31896A37">
        <w:t>E</w:t>
      </w:r>
      <w:r>
        <w:t xml:space="preserve"> NOUVELLES AMBITIONS EN </w:t>
      </w:r>
      <w:r w:rsidR="6D50DF6D">
        <w:t xml:space="preserve">MATIERE </w:t>
      </w:r>
      <w:r w:rsidR="00225FA1">
        <w:t>d’environnement</w:t>
      </w:r>
    </w:p>
    <w:p w14:paraId="4483B97A" w14:textId="77CD8807" w:rsidR="00DD187E" w:rsidRDefault="00DD187E" w:rsidP="00DD187E">
      <w:pPr>
        <w:pStyle w:val="BodyText"/>
        <w:spacing w:line="276" w:lineRule="auto"/>
      </w:pPr>
      <w:r>
        <w:t>Capgemini a décidé d’accroître ses ambitions</w:t>
      </w:r>
      <w:r w:rsidR="00056B2B">
        <w:t xml:space="preserve"> en </w:t>
      </w:r>
      <w:r w:rsidR="009958AB">
        <w:t xml:space="preserve">ce qui concerne son </w:t>
      </w:r>
      <w:r w:rsidR="00056B2B">
        <w:t>empreinte environnementale</w:t>
      </w:r>
      <w:r w:rsidR="00463CB3">
        <w:t xml:space="preserve">, </w:t>
      </w:r>
      <w:r>
        <w:t>conscient de la nécessité d’agir pour faire face au changement climatique. Le Groupe a ainsi annoncé le 23 juillet 2020 son engagement d’atteindre la neutralité carbone de ses opérations au plus tard en 2025</w:t>
      </w:r>
      <w:r w:rsidR="00F5322F">
        <w:t>,</w:t>
      </w:r>
      <w:r>
        <w:t xml:space="preserve"> et l’objectif « zéro émission nette » d’ici 2030. </w:t>
      </w:r>
    </w:p>
    <w:p w14:paraId="0C6F4CE6" w14:textId="0EAC573C" w:rsidR="00DD187E" w:rsidRDefault="00DD187E" w:rsidP="00DD187E">
      <w:pPr>
        <w:pStyle w:val="BodyText"/>
        <w:spacing w:line="276" w:lineRule="auto"/>
      </w:pPr>
      <w:r>
        <w:t xml:space="preserve">Pour cela Capgemini va accélérer son programme de décarbonation de ses opérations ayant le plus fort impact </w:t>
      </w:r>
      <w:r w:rsidR="007B7763">
        <w:t>- </w:t>
      </w:r>
      <w:r>
        <w:t xml:space="preserve">à savoir les voyages d'affaires, les déplacements et la consommation d'énergie dans les bureaux - en s’alignant sur la trajectoire 1,5 °C de l’initiative « </w:t>
      </w:r>
      <w:r w:rsidRPr="006B1196">
        <w:rPr>
          <w:i/>
          <w:iCs/>
        </w:rPr>
        <w:t xml:space="preserve">Science </w:t>
      </w:r>
      <w:proofErr w:type="spellStart"/>
      <w:r w:rsidRPr="006B1196">
        <w:rPr>
          <w:i/>
          <w:iCs/>
        </w:rPr>
        <w:t>Based</w:t>
      </w:r>
      <w:proofErr w:type="spellEnd"/>
      <w:r w:rsidRPr="006B1196">
        <w:rPr>
          <w:i/>
          <w:iCs/>
        </w:rPr>
        <w:t xml:space="preserve"> </w:t>
      </w:r>
      <w:proofErr w:type="spellStart"/>
      <w:r w:rsidRPr="006B1196">
        <w:rPr>
          <w:i/>
          <w:iCs/>
        </w:rPr>
        <w:t>Targets</w:t>
      </w:r>
      <w:proofErr w:type="spellEnd"/>
      <w:r>
        <w:t xml:space="preserve"> ».   </w:t>
      </w:r>
    </w:p>
    <w:p w14:paraId="24E5C349" w14:textId="4A359340" w:rsidR="00DD187E" w:rsidRDefault="00DD187E" w:rsidP="00DD187E">
      <w:pPr>
        <w:pStyle w:val="BodyText"/>
        <w:spacing w:line="276" w:lineRule="auto"/>
      </w:pPr>
      <w:r>
        <w:t>L'objectif précédent de Capgemini</w:t>
      </w:r>
      <w:r w:rsidR="00D27AC9">
        <w:t>, fixé en 2015</w:t>
      </w:r>
      <w:r w:rsidR="00570587">
        <w:t>,</w:t>
      </w:r>
      <w:r w:rsidR="0066456C">
        <w:t xml:space="preserve"> </w:t>
      </w:r>
      <w:r>
        <w:t>visait à réduire les émissions de carbone de 30% par collaborateur</w:t>
      </w:r>
      <w:r w:rsidR="00D27AC9">
        <w:t xml:space="preserve"> à l’horizon 2030</w:t>
      </w:r>
      <w:r>
        <w:t>. Il a été atteint en janvier 2020</w:t>
      </w:r>
      <w:r w:rsidR="00D27AC9">
        <w:t>.</w:t>
      </w:r>
      <w:r>
        <w:t xml:space="preserve"> </w:t>
      </w:r>
    </w:p>
    <w:p w14:paraId="37275FFC" w14:textId="4043AE49" w:rsidR="005C1F9C" w:rsidRPr="00A27469" w:rsidRDefault="00DD187E" w:rsidP="00907331">
      <w:pPr>
        <w:pStyle w:val="BodyText"/>
        <w:spacing w:line="276" w:lineRule="auto"/>
      </w:pPr>
      <w:r>
        <w:t>Enfin Capgemini accompagne ses clients dans leurs démarches de décarbonation, et s’est fixé comme objectif une réduction de leurs émissions de carbone de 10 millions de tonnes à horizon 2030.</w:t>
      </w:r>
    </w:p>
    <w:p w14:paraId="2C94AAA8" w14:textId="77777777" w:rsidR="007672FB" w:rsidRPr="00A27469" w:rsidRDefault="007672FB" w:rsidP="00907331">
      <w:pPr>
        <w:pStyle w:val="BodyText"/>
        <w:spacing w:line="276" w:lineRule="auto"/>
      </w:pPr>
    </w:p>
    <w:p w14:paraId="0666B8CB" w14:textId="23F6EEB4" w:rsidR="00B00202" w:rsidRPr="002F446E" w:rsidRDefault="00C96D53" w:rsidP="00907331">
      <w:pPr>
        <w:pStyle w:val="Heading1"/>
        <w:spacing w:line="276" w:lineRule="auto"/>
      </w:pPr>
      <w:r w:rsidRPr="002F446E">
        <w:t>CONF</w:t>
      </w:r>
      <w:r w:rsidR="000E6BB7" w:rsidRPr="002F446E">
        <w:t>É</w:t>
      </w:r>
      <w:r w:rsidRPr="002F446E">
        <w:t>RENCE T</w:t>
      </w:r>
      <w:r w:rsidR="000E6BB7" w:rsidRPr="002F446E">
        <w:t>É</w:t>
      </w:r>
      <w:r w:rsidRPr="002F446E">
        <w:t>L</w:t>
      </w:r>
      <w:r w:rsidR="000E6BB7" w:rsidRPr="002F446E">
        <w:t>É</w:t>
      </w:r>
      <w:r w:rsidRPr="002F446E">
        <w:t>PHONIQUE</w:t>
      </w:r>
    </w:p>
    <w:p w14:paraId="2DCBFE7E" w14:textId="35E122B5" w:rsidR="00B00202" w:rsidRPr="002F446E" w:rsidRDefault="20B723EA" w:rsidP="00907331">
      <w:pPr>
        <w:spacing w:before="120" w:after="120" w:line="276" w:lineRule="auto"/>
        <w:rPr>
          <w:rFonts w:ascii="Verdana" w:hAnsi="Verdana" w:cs="Arial"/>
        </w:rPr>
      </w:pPr>
      <w:r w:rsidRPr="1F1E85FB">
        <w:rPr>
          <w:rFonts w:ascii="Verdana" w:hAnsi="Verdana" w:cs="Arial"/>
        </w:rPr>
        <w:t>Aiman E</w:t>
      </w:r>
      <w:r w:rsidR="54622E76" w:rsidRPr="1F1E85FB">
        <w:rPr>
          <w:rFonts w:ascii="Verdana" w:hAnsi="Verdana" w:cs="Arial"/>
        </w:rPr>
        <w:t>zz</w:t>
      </w:r>
      <w:r w:rsidRPr="1F1E85FB">
        <w:rPr>
          <w:rFonts w:ascii="Verdana" w:hAnsi="Verdana" w:cs="Arial"/>
        </w:rPr>
        <w:t>at</w:t>
      </w:r>
      <w:r w:rsidR="0D8DBFEF" w:rsidRPr="1F1E85FB">
        <w:rPr>
          <w:rFonts w:ascii="Verdana" w:hAnsi="Verdana" w:cs="Arial"/>
        </w:rPr>
        <w:t xml:space="preserve">, </w:t>
      </w:r>
      <w:r w:rsidRPr="1F1E85FB">
        <w:rPr>
          <w:rFonts w:ascii="Verdana" w:hAnsi="Verdana" w:cs="Arial"/>
        </w:rPr>
        <w:t>D</w:t>
      </w:r>
      <w:r w:rsidR="0D8DBFEF" w:rsidRPr="1F1E85FB">
        <w:rPr>
          <w:rFonts w:ascii="Verdana" w:hAnsi="Verdana" w:cs="Arial"/>
        </w:rPr>
        <w:t xml:space="preserve">irecteur général, Carole Ferrand, Directeur financier, et Rosemary Stark, Directeur des ventes, commenteront cette publication au cours d’une conférence téléphonique qui se déroulera en anglais </w:t>
      </w:r>
      <w:r w:rsidR="0D8DBFEF" w:rsidRPr="1F1E85FB">
        <w:rPr>
          <w:rFonts w:ascii="Verdana" w:hAnsi="Verdana" w:cs="Arial"/>
          <w:b/>
          <w:bCs/>
        </w:rPr>
        <w:t>ce jour à 8h</w:t>
      </w:r>
      <w:r w:rsidR="4985AACA" w:rsidRPr="1F1E85FB">
        <w:rPr>
          <w:rFonts w:ascii="Verdana" w:hAnsi="Verdana" w:cs="Arial"/>
          <w:b/>
          <w:bCs/>
        </w:rPr>
        <w:t>0</w:t>
      </w:r>
      <w:r w:rsidR="0D8DBFEF" w:rsidRPr="1F1E85FB">
        <w:rPr>
          <w:rFonts w:ascii="Verdana" w:hAnsi="Verdana" w:cs="Arial"/>
          <w:b/>
          <w:bCs/>
        </w:rPr>
        <w:t>0 heure de Paris (CET)</w:t>
      </w:r>
      <w:r w:rsidR="0D8DBFEF" w:rsidRPr="1F1E85FB">
        <w:rPr>
          <w:rFonts w:ascii="Verdana" w:hAnsi="Verdana" w:cs="Arial"/>
        </w:rPr>
        <w:t xml:space="preserve">. Cette conférence téléphonique sera accessible par webcast, en direct et en rediffusion pendant un an, depuis ce </w:t>
      </w:r>
      <w:hyperlink r:id="rId11">
        <w:r w:rsidR="0D8DBFEF" w:rsidRPr="1F1E85FB">
          <w:rPr>
            <w:rStyle w:val="Hyperlink"/>
            <w:rFonts w:ascii="Verdana" w:hAnsi="Verdana" w:cs="Arial"/>
          </w:rPr>
          <w:t>lien</w:t>
        </w:r>
      </w:hyperlink>
      <w:r w:rsidR="0D8DBFEF" w:rsidRPr="1F1E85FB">
        <w:rPr>
          <w:rFonts w:ascii="Verdana" w:hAnsi="Verdana" w:cs="Arial"/>
        </w:rPr>
        <w:t>.</w:t>
      </w:r>
    </w:p>
    <w:p w14:paraId="72B15A6A" w14:textId="66ABDCD5" w:rsidR="007D6284" w:rsidRPr="002F446E" w:rsidRDefault="0D8DBFEF" w:rsidP="00907331">
      <w:pPr>
        <w:spacing w:before="120" w:after="120" w:line="276" w:lineRule="auto"/>
        <w:rPr>
          <w:rFonts w:ascii="Verdana" w:hAnsi="Verdana" w:cs="Arial"/>
        </w:rPr>
      </w:pPr>
      <w:r w:rsidRPr="1F1E85FB">
        <w:rPr>
          <w:rFonts w:ascii="Verdana" w:hAnsi="Verdana" w:cs="Arial"/>
        </w:rPr>
        <w:t xml:space="preserve">L’ensemble des documents relatifs à cette publication sera mis en ligne sur le site </w:t>
      </w:r>
      <w:r w:rsidR="5FAA8DBD" w:rsidRPr="1F1E85FB">
        <w:rPr>
          <w:rFonts w:ascii="Verdana" w:hAnsi="Verdana" w:cs="Arial"/>
        </w:rPr>
        <w:t>internet dédié aux i</w:t>
      </w:r>
      <w:r w:rsidRPr="1F1E85FB">
        <w:rPr>
          <w:rFonts w:ascii="Verdana" w:hAnsi="Verdana" w:cs="Arial"/>
        </w:rPr>
        <w:t xml:space="preserve">nvestisseurs de Capgemini à l’adresse </w:t>
      </w:r>
      <w:hyperlink r:id="rId12">
        <w:r w:rsidR="4985AACA" w:rsidRPr="1F1E85FB">
          <w:rPr>
            <w:rStyle w:val="Hyperlink"/>
          </w:rPr>
          <w:t>https://investors.capgemini.com/fr/</w:t>
        </w:r>
      </w:hyperlink>
      <w:r w:rsidR="3763F113" w:rsidRPr="1F1E85FB">
        <w:rPr>
          <w:rFonts w:ascii="Verdana" w:hAnsi="Verdana" w:cs="Arial"/>
        </w:rPr>
        <w:t>.</w:t>
      </w:r>
    </w:p>
    <w:p w14:paraId="19E88236" w14:textId="77777777" w:rsidR="00D73FD4" w:rsidRPr="002F446E" w:rsidRDefault="00D73FD4" w:rsidP="00B00202">
      <w:pPr>
        <w:spacing w:before="120" w:after="120"/>
        <w:rPr>
          <w:rFonts w:ascii="Verdana" w:hAnsi="Verdana" w:cs="Arial"/>
        </w:rPr>
      </w:pPr>
    </w:p>
    <w:p w14:paraId="39B3DD06" w14:textId="110359AE" w:rsidR="00B00202" w:rsidRPr="002F446E" w:rsidRDefault="00B00202" w:rsidP="007D6284">
      <w:pPr>
        <w:pStyle w:val="Heading1"/>
      </w:pPr>
      <w:r w:rsidRPr="002F446E">
        <w:t>CALENDRIER</w:t>
      </w:r>
      <w:r w:rsidR="002A68FB" w:rsidRPr="002F446E">
        <w:t xml:space="preserve"> </w:t>
      </w:r>
      <w:r w:rsidR="00C96D53" w:rsidRPr="002F446E">
        <w:t>PR</w:t>
      </w:r>
      <w:r w:rsidR="000E6BB7" w:rsidRPr="002F446E">
        <w:t>É</w:t>
      </w:r>
      <w:r w:rsidR="00C96D53" w:rsidRPr="002F446E">
        <w:t>VISIONNEL</w:t>
      </w:r>
    </w:p>
    <w:p w14:paraId="4432FB62" w14:textId="62334E1B" w:rsidR="00B00202" w:rsidRPr="002F446E" w:rsidRDefault="001C3259" w:rsidP="008E324C">
      <w:pPr>
        <w:keepNext/>
        <w:tabs>
          <w:tab w:val="left" w:pos="1701"/>
        </w:tabs>
        <w:spacing w:line="276" w:lineRule="auto"/>
        <w:rPr>
          <w:rFonts w:ascii="Verdana" w:hAnsi="Verdana" w:cs="Arial"/>
        </w:rPr>
      </w:pPr>
      <w:r>
        <w:rPr>
          <w:rFonts w:ascii="Verdana" w:hAnsi="Verdana" w:cs="Arial"/>
        </w:rPr>
        <w:t>27</w:t>
      </w:r>
      <w:r w:rsidR="00B00202" w:rsidRPr="002F446E">
        <w:rPr>
          <w:rFonts w:ascii="Verdana" w:hAnsi="Verdana" w:cs="Arial"/>
        </w:rPr>
        <w:t xml:space="preserve"> octobre </w:t>
      </w:r>
      <w:r w:rsidR="00580CAF">
        <w:rPr>
          <w:rFonts w:ascii="Verdana" w:hAnsi="Verdana" w:cs="Arial"/>
        </w:rPr>
        <w:t>2020</w:t>
      </w:r>
      <w:r w:rsidR="00B00202" w:rsidRPr="002F446E">
        <w:rPr>
          <w:rFonts w:ascii="Verdana" w:hAnsi="Verdana" w:cs="Arial"/>
        </w:rPr>
        <w:tab/>
        <w:t>Chiffre d’affaires du 3</w:t>
      </w:r>
      <w:r w:rsidR="00B00202" w:rsidRPr="002F446E">
        <w:rPr>
          <w:rFonts w:ascii="Verdana" w:hAnsi="Verdana" w:cs="Arial"/>
          <w:vertAlign w:val="superscript"/>
        </w:rPr>
        <w:t>ème</w:t>
      </w:r>
      <w:r w:rsidR="00B00202" w:rsidRPr="002F446E">
        <w:rPr>
          <w:rFonts w:ascii="Verdana" w:hAnsi="Verdana" w:cs="Arial"/>
        </w:rPr>
        <w:t xml:space="preserve"> trimestre </w:t>
      </w:r>
      <w:r w:rsidR="00580CAF">
        <w:rPr>
          <w:rFonts w:ascii="Verdana" w:hAnsi="Verdana" w:cs="Arial"/>
        </w:rPr>
        <w:t>2020</w:t>
      </w:r>
    </w:p>
    <w:p w14:paraId="72E2AE06" w14:textId="5477BA34" w:rsidR="00B00202" w:rsidRPr="002F446E" w:rsidRDefault="001C3259" w:rsidP="008E324C">
      <w:pPr>
        <w:keepNext/>
        <w:tabs>
          <w:tab w:val="left" w:pos="1701"/>
        </w:tabs>
        <w:spacing w:line="276" w:lineRule="auto"/>
        <w:rPr>
          <w:rFonts w:ascii="Verdana" w:hAnsi="Verdana" w:cs="Arial"/>
        </w:rPr>
      </w:pPr>
      <w:r>
        <w:rPr>
          <w:rFonts w:ascii="Verdana" w:hAnsi="Verdana" w:cs="Arial"/>
        </w:rPr>
        <w:t>17</w:t>
      </w:r>
      <w:r w:rsidR="00B00202" w:rsidRPr="002F446E">
        <w:rPr>
          <w:rFonts w:ascii="Verdana" w:hAnsi="Verdana" w:cs="Arial"/>
        </w:rPr>
        <w:t xml:space="preserve"> février 20</w:t>
      </w:r>
      <w:r w:rsidR="003A5C07" w:rsidRPr="002F446E">
        <w:rPr>
          <w:rFonts w:ascii="Verdana" w:hAnsi="Verdana" w:cs="Arial"/>
        </w:rPr>
        <w:t>2</w:t>
      </w:r>
      <w:r>
        <w:rPr>
          <w:rFonts w:ascii="Verdana" w:hAnsi="Verdana" w:cs="Arial"/>
        </w:rPr>
        <w:t>1</w:t>
      </w:r>
      <w:r w:rsidR="00B00202" w:rsidRPr="002F446E">
        <w:rPr>
          <w:rFonts w:ascii="Verdana" w:hAnsi="Verdana" w:cs="Arial"/>
        </w:rPr>
        <w:tab/>
        <w:t xml:space="preserve">Résultats de l’année </w:t>
      </w:r>
      <w:r w:rsidR="00580CAF">
        <w:rPr>
          <w:rFonts w:ascii="Verdana" w:hAnsi="Verdana" w:cs="Arial"/>
        </w:rPr>
        <w:t>2020</w:t>
      </w:r>
    </w:p>
    <w:p w14:paraId="787B15BB" w14:textId="56AECA62" w:rsidR="002C1412" w:rsidRPr="002F446E" w:rsidRDefault="006A2981" w:rsidP="003A5C07">
      <w:pPr>
        <w:tabs>
          <w:tab w:val="left" w:pos="1701"/>
        </w:tabs>
        <w:spacing w:line="276" w:lineRule="auto"/>
        <w:rPr>
          <w:rFonts w:ascii="Verdana" w:hAnsi="Verdana" w:cs="Arial"/>
        </w:rPr>
      </w:pPr>
      <w:r>
        <w:rPr>
          <w:rFonts w:ascii="Verdana" w:hAnsi="Verdana" w:cs="Arial"/>
        </w:rPr>
        <w:t>29</w:t>
      </w:r>
      <w:r w:rsidR="003A5C07" w:rsidRPr="003B64B9">
        <w:rPr>
          <w:rFonts w:ascii="Verdana" w:hAnsi="Verdana" w:cs="Arial"/>
        </w:rPr>
        <w:t xml:space="preserve"> </w:t>
      </w:r>
      <w:r w:rsidR="002C1412" w:rsidRPr="003B64B9">
        <w:rPr>
          <w:rFonts w:ascii="Verdana" w:hAnsi="Verdana" w:cs="Arial"/>
        </w:rPr>
        <w:t>avril</w:t>
      </w:r>
      <w:r w:rsidR="002C1412" w:rsidRPr="001C3259">
        <w:rPr>
          <w:rFonts w:ascii="Verdana" w:hAnsi="Verdana" w:cs="Arial"/>
        </w:rPr>
        <w:t xml:space="preserve"> 20</w:t>
      </w:r>
      <w:r w:rsidR="003A5C07" w:rsidRPr="001C3259">
        <w:rPr>
          <w:rFonts w:ascii="Verdana" w:hAnsi="Verdana" w:cs="Arial"/>
        </w:rPr>
        <w:t>2</w:t>
      </w:r>
      <w:r w:rsidR="001C3259" w:rsidRPr="001C3259">
        <w:rPr>
          <w:rFonts w:ascii="Verdana" w:hAnsi="Verdana" w:cs="Arial"/>
        </w:rPr>
        <w:t>1</w:t>
      </w:r>
      <w:r w:rsidR="002C1412" w:rsidRPr="002F446E">
        <w:rPr>
          <w:rFonts w:ascii="Verdana" w:hAnsi="Verdana" w:cs="Arial"/>
        </w:rPr>
        <w:tab/>
        <w:t>Chiffre d’affaires du 1</w:t>
      </w:r>
      <w:r w:rsidR="002C1412" w:rsidRPr="002F446E">
        <w:rPr>
          <w:rFonts w:ascii="Verdana" w:hAnsi="Verdana" w:cs="Arial"/>
          <w:vertAlign w:val="superscript"/>
        </w:rPr>
        <w:t>er</w:t>
      </w:r>
      <w:r w:rsidR="002C1412" w:rsidRPr="002F446E">
        <w:rPr>
          <w:rFonts w:ascii="Verdana" w:hAnsi="Verdana" w:cs="Arial"/>
        </w:rPr>
        <w:t xml:space="preserve"> trimestre 20</w:t>
      </w:r>
      <w:r w:rsidR="003A5C07" w:rsidRPr="002F446E">
        <w:rPr>
          <w:rFonts w:ascii="Verdana" w:hAnsi="Verdana" w:cs="Arial"/>
        </w:rPr>
        <w:t>2</w:t>
      </w:r>
      <w:r w:rsidR="00580CAF">
        <w:rPr>
          <w:rFonts w:ascii="Verdana" w:hAnsi="Verdana" w:cs="Arial"/>
        </w:rPr>
        <w:t>1</w:t>
      </w:r>
    </w:p>
    <w:p w14:paraId="7D3B0AB2" w14:textId="77777777" w:rsidR="00B00202" w:rsidRPr="002F446E" w:rsidRDefault="00B00202" w:rsidP="00B00202">
      <w:pPr>
        <w:tabs>
          <w:tab w:val="left" w:pos="1701"/>
        </w:tabs>
        <w:spacing w:line="288" w:lineRule="auto"/>
        <w:rPr>
          <w:rFonts w:ascii="Verdana" w:hAnsi="Verdana" w:cs="Arial"/>
        </w:rPr>
      </w:pPr>
    </w:p>
    <w:p w14:paraId="5D164BDE" w14:textId="5D91D138" w:rsidR="00B00202" w:rsidRPr="002F446E" w:rsidRDefault="00C96D53" w:rsidP="007D6284">
      <w:pPr>
        <w:pStyle w:val="Heading1"/>
      </w:pPr>
      <w:r w:rsidRPr="002F446E">
        <w:t>AVERTISSEMENT</w:t>
      </w:r>
    </w:p>
    <w:p w14:paraId="3B697192" w14:textId="3D4EBF06" w:rsidR="00B00202" w:rsidRPr="002F446E" w:rsidRDefault="00B00202" w:rsidP="003A5C07">
      <w:pPr>
        <w:spacing w:before="120" w:after="120" w:line="276" w:lineRule="auto"/>
        <w:rPr>
          <w:rFonts w:ascii="Verdana" w:hAnsi="Verdana" w:cs="Arial"/>
        </w:rPr>
      </w:pPr>
      <w:r w:rsidRPr="002F446E">
        <w:rPr>
          <w:rFonts w:ascii="Verdana" w:hAnsi="Verdana" w:cs="Arial"/>
        </w:rPr>
        <w:t>Le présent communiqué de presse est susceptible de contenir des informations prospectives. Ces informations peuvent comprendre des projections, des estimations, des hypothèses, des informations concernant des projets, des objectifs, des intentions et/ou des attentes portant sur des résultats financiers futurs, des évènements, des opérations, le développement de services et de produits futurs, ainsi que des informations relatives à des performances ou à des évènements futurs. Ces informations prospectives sont généralement reconnaissables à l’emploi des termes « s’attendre à », « anticiper », « penser que », « avoir l’intention de », « estimer », « prévoir », « projeter », « pourrait », « devrait » ou à l’emploi de la forme négative de ces termes et à d’autres expressions de même nature. La direction de Capgemini considère actuellement que ces informations prospectives traduisent des attentes raisonnables ; la société alerte cependant les investisseurs sur le fait que ces informations prospectives sont soumises à des risques et  incertitudes (y compris, notamment, les risques identifiés dans le Document de Référence de Capgemini, disponible sur le site internet de Capgemini), étant donné qu’elles ont trait à des évènements futurs et dépendent des circonstances futures dont la réalisation est incertaine et qui peuvent différer de ceux anticipés, souvent difficilement prévisibles et généralement en dehors du contrôle de Capgemini. Les résultats et les évènements réels sont susceptibles de différer significativement, de ceux qui sont exprimés, impliqués ou projetés dans les informations prospectives. Les informations prospectives ne donnent aucune garantie de réalisation d’évènements ou de résultats futurs et n’ont pas cette vocation. Capgemini ne prend aucun engagement de mettre à jour ou de réviser les informations prospectives sous réserve de ses obligations légales.</w:t>
      </w:r>
    </w:p>
    <w:p w14:paraId="537D300D" w14:textId="55853AD9" w:rsidR="00555589" w:rsidRDefault="00B00202" w:rsidP="00580CAF">
      <w:pPr>
        <w:spacing w:before="120" w:after="120" w:line="276" w:lineRule="auto"/>
        <w:rPr>
          <w:rFonts w:ascii="Verdana" w:hAnsi="Verdana" w:cs="Arial"/>
        </w:rPr>
      </w:pPr>
      <w:r w:rsidRPr="002F446E">
        <w:rPr>
          <w:rFonts w:ascii="Verdana" w:hAnsi="Verdana" w:cs="Arial"/>
        </w:rPr>
        <w:t>Le présent communiqué de presse ne constitue pas une offre d’instruments financiers au public et ne contient pas d’invitation ou d’incitation à investir dans des instruments financiers en France, aux États-Unis ou n’importe quel autre pays.</w:t>
      </w:r>
    </w:p>
    <w:p w14:paraId="732F7743" w14:textId="77777777" w:rsidR="00580CAF" w:rsidRPr="00580CAF" w:rsidRDefault="00580CAF" w:rsidP="00580CAF">
      <w:pPr>
        <w:spacing w:before="120" w:after="120" w:line="276" w:lineRule="auto"/>
        <w:rPr>
          <w:rFonts w:ascii="Verdana" w:hAnsi="Verdana" w:cs="Arial"/>
        </w:rPr>
      </w:pPr>
    </w:p>
    <w:p w14:paraId="688E17B7" w14:textId="77777777" w:rsidR="00B00202" w:rsidRPr="002F446E" w:rsidRDefault="00B00202" w:rsidP="007D6284">
      <w:pPr>
        <w:pStyle w:val="Heading1"/>
      </w:pPr>
      <w:r w:rsidRPr="002F446E">
        <w:t>À PROPOS DE CAPGEMINI</w:t>
      </w:r>
    </w:p>
    <w:p w14:paraId="266075EB" w14:textId="045ED206" w:rsidR="003A5C07" w:rsidRPr="002F446E" w:rsidRDefault="003A5C07" w:rsidP="002C22BA">
      <w:pPr>
        <w:spacing w:after="120" w:line="276" w:lineRule="auto"/>
        <w:rPr>
          <w:rFonts w:cs="Arial"/>
        </w:rPr>
      </w:pPr>
      <w:r w:rsidRPr="002F446E">
        <w:rPr>
          <w:rFonts w:cs="Arial"/>
        </w:rPr>
        <w:t>Capgemini est un leader mondial du conseil, de la transformation numérique</w:t>
      </w:r>
      <w:r w:rsidR="00193D55">
        <w:rPr>
          <w:rFonts w:cs="Arial"/>
        </w:rPr>
        <w:t xml:space="preserve"> </w:t>
      </w:r>
      <w:r w:rsidR="00193D55" w:rsidRPr="00193D55">
        <w:rPr>
          <w:rFonts w:cs="Arial"/>
        </w:rPr>
        <w:t>et des services technologiques et d’ingénierie</w:t>
      </w:r>
      <w:r w:rsidRPr="002F446E">
        <w:rPr>
          <w:rFonts w:cs="Arial"/>
        </w:rPr>
        <w:t xml:space="preserve">. A la pointe de l’innovation, le Groupe aide ses clients à saisir l’ensemble des opportunités que présentent le cloud, le digital et les plateformes. Fort de 50 ans d’expérience et d’une grande expertise des différents secteurs d’activité, il accompagne les entreprises et organisations dans la réalisation de leurs ambitions, de la définition de leur stratégie à la mise en œuvre de leurs opérations. Pour Capgemini, ce sont les hommes et les femmes qui donnent toute sa valeur à la technologie. Résolument multiculturel, le Groupe compte </w:t>
      </w:r>
      <w:r w:rsidR="001C6956">
        <w:rPr>
          <w:rFonts w:cs="Arial"/>
        </w:rPr>
        <w:t>270</w:t>
      </w:r>
      <w:r w:rsidRPr="002F446E">
        <w:rPr>
          <w:rFonts w:cs="Arial"/>
        </w:rPr>
        <w:t xml:space="preserve"> 000 collaborateurs présents dans </w:t>
      </w:r>
      <w:r w:rsidR="00CE639E">
        <w:rPr>
          <w:rFonts w:cs="Arial"/>
        </w:rPr>
        <w:t>près</w:t>
      </w:r>
      <w:r w:rsidR="00CE639E" w:rsidRPr="002F446E">
        <w:rPr>
          <w:rFonts w:cs="Arial"/>
        </w:rPr>
        <w:t xml:space="preserve"> </w:t>
      </w:r>
      <w:r w:rsidRPr="002F446E">
        <w:rPr>
          <w:rFonts w:cs="Arial"/>
        </w:rPr>
        <w:t xml:space="preserve">de </w:t>
      </w:r>
      <w:r w:rsidR="00CE639E">
        <w:rPr>
          <w:rFonts w:cs="Arial"/>
        </w:rPr>
        <w:t>50</w:t>
      </w:r>
      <w:r w:rsidR="00CE639E" w:rsidRPr="002F446E">
        <w:rPr>
          <w:rFonts w:cs="Arial"/>
        </w:rPr>
        <w:t xml:space="preserve"> </w:t>
      </w:r>
      <w:r w:rsidRPr="002F446E">
        <w:rPr>
          <w:rFonts w:cs="Arial"/>
        </w:rPr>
        <w:t xml:space="preserve">pays. </w:t>
      </w:r>
      <w:r w:rsidR="00CE639E">
        <w:rPr>
          <w:rFonts w:cs="Arial"/>
        </w:rPr>
        <w:t>Avec Altran, i</w:t>
      </w:r>
      <w:r w:rsidRPr="002F446E">
        <w:rPr>
          <w:rFonts w:cs="Arial"/>
        </w:rPr>
        <w:t>l a réalisé un chiffre d'affaires</w:t>
      </w:r>
      <w:r w:rsidR="00941195">
        <w:rPr>
          <w:rFonts w:cs="Arial"/>
        </w:rPr>
        <w:t xml:space="preserve"> combiné</w:t>
      </w:r>
      <w:r w:rsidRPr="002F446E">
        <w:rPr>
          <w:rFonts w:cs="Arial"/>
        </w:rPr>
        <w:t xml:space="preserve"> de </w:t>
      </w:r>
      <w:r w:rsidR="001C6956">
        <w:rPr>
          <w:rFonts w:cs="Arial"/>
        </w:rPr>
        <w:t>17</w:t>
      </w:r>
      <w:r w:rsidRPr="002F446E">
        <w:rPr>
          <w:rFonts w:cs="Arial"/>
        </w:rPr>
        <w:t xml:space="preserve"> milliards d'euros en </w:t>
      </w:r>
      <w:r w:rsidR="00580CAF">
        <w:rPr>
          <w:rFonts w:cs="Arial"/>
        </w:rPr>
        <w:t>2019</w:t>
      </w:r>
      <w:r w:rsidRPr="002F446E">
        <w:rPr>
          <w:rFonts w:cs="Arial"/>
        </w:rPr>
        <w:t>.</w:t>
      </w:r>
    </w:p>
    <w:p w14:paraId="5D98901C" w14:textId="77777777" w:rsidR="003A5C07" w:rsidRPr="002F446E" w:rsidRDefault="003A5C07" w:rsidP="002C22BA">
      <w:pPr>
        <w:spacing w:line="276" w:lineRule="auto"/>
        <w:rPr>
          <w:rFonts w:cs="Arial"/>
        </w:rPr>
      </w:pPr>
      <w:r w:rsidRPr="002F446E">
        <w:rPr>
          <w:rFonts w:cs="Arial"/>
        </w:rPr>
        <w:t xml:space="preserve">Plus d’informations sur </w:t>
      </w:r>
      <w:hyperlink r:id="rId13" w:history="1">
        <w:r w:rsidRPr="002F446E">
          <w:rPr>
            <w:rStyle w:val="Hyperlink"/>
            <w:rFonts w:cs="Arial"/>
          </w:rPr>
          <w:t>www.capgemini.com</w:t>
        </w:r>
      </w:hyperlink>
      <w:r w:rsidRPr="002F446E">
        <w:rPr>
          <w:rFonts w:cs="Arial"/>
        </w:rPr>
        <w:t xml:space="preserve">. </w:t>
      </w:r>
      <w:r w:rsidRPr="002F446E">
        <w:rPr>
          <w:rFonts w:cs="Arial"/>
          <w:i/>
        </w:rPr>
        <w:t xml:space="preserve">People </w:t>
      </w:r>
      <w:proofErr w:type="spellStart"/>
      <w:r w:rsidRPr="002F446E">
        <w:rPr>
          <w:rFonts w:cs="Arial"/>
          <w:i/>
        </w:rPr>
        <w:t>matter</w:t>
      </w:r>
      <w:proofErr w:type="spellEnd"/>
      <w:r w:rsidRPr="002F446E">
        <w:rPr>
          <w:rFonts w:cs="Arial"/>
          <w:i/>
        </w:rPr>
        <w:t xml:space="preserve">, </w:t>
      </w:r>
      <w:proofErr w:type="spellStart"/>
      <w:r w:rsidRPr="002F446E">
        <w:rPr>
          <w:rFonts w:cs="Arial"/>
          <w:i/>
        </w:rPr>
        <w:t>results</w:t>
      </w:r>
      <w:proofErr w:type="spellEnd"/>
      <w:r w:rsidRPr="002F446E">
        <w:rPr>
          <w:rFonts w:cs="Arial"/>
          <w:i/>
        </w:rPr>
        <w:t xml:space="preserve"> count</w:t>
      </w:r>
      <w:r w:rsidRPr="002F446E">
        <w:rPr>
          <w:rFonts w:cs="Arial"/>
        </w:rPr>
        <w:t>.</w:t>
      </w:r>
    </w:p>
    <w:p w14:paraId="1CBCE2D9" w14:textId="77777777" w:rsidR="00B00202" w:rsidRPr="002F446E" w:rsidRDefault="00B00202" w:rsidP="00B00202">
      <w:pPr>
        <w:rPr>
          <w:rFonts w:ascii="Verdana" w:hAnsi="Verdana" w:cs="Arial"/>
          <w:i/>
          <w:iCs/>
          <w:color w:val="000000"/>
        </w:rPr>
      </w:pPr>
    </w:p>
    <w:p w14:paraId="1557730E" w14:textId="77777777" w:rsidR="00B00202" w:rsidRPr="002F446E" w:rsidRDefault="00B00202" w:rsidP="00B00202">
      <w:pPr>
        <w:rPr>
          <w:rFonts w:ascii="Verdana" w:hAnsi="Verdana" w:cs="Arial"/>
          <w:i/>
          <w:iCs/>
          <w:color w:val="000000"/>
        </w:rPr>
      </w:pPr>
    </w:p>
    <w:p w14:paraId="56E599DB" w14:textId="77777777" w:rsidR="00B00202" w:rsidRPr="002F446E" w:rsidRDefault="00B00202" w:rsidP="00B00202">
      <w:pPr>
        <w:jc w:val="center"/>
        <w:rPr>
          <w:rFonts w:ascii="Verdana" w:hAnsi="Verdana" w:cs="Arial"/>
          <w:iCs/>
          <w:color w:val="000000"/>
        </w:rPr>
      </w:pPr>
      <w:r w:rsidRPr="002F446E">
        <w:rPr>
          <w:rFonts w:ascii="Verdana" w:hAnsi="Verdana" w:cs="Arial"/>
          <w:iCs/>
          <w:color w:val="000000"/>
        </w:rPr>
        <w:t>*          *</w:t>
      </w:r>
    </w:p>
    <w:p w14:paraId="414C421F" w14:textId="77777777" w:rsidR="00B00202" w:rsidRPr="002F446E" w:rsidRDefault="00B00202" w:rsidP="00B00202">
      <w:pPr>
        <w:jc w:val="center"/>
        <w:rPr>
          <w:rFonts w:ascii="Verdana" w:hAnsi="Verdana" w:cs="Arial"/>
          <w:iCs/>
          <w:color w:val="000000"/>
        </w:rPr>
      </w:pPr>
    </w:p>
    <w:p w14:paraId="259177C1" w14:textId="77777777" w:rsidR="00B00202" w:rsidRPr="002F446E" w:rsidRDefault="00B00202" w:rsidP="00B00202">
      <w:pPr>
        <w:jc w:val="center"/>
        <w:rPr>
          <w:rFonts w:ascii="Verdana" w:hAnsi="Verdana" w:cs="Arial"/>
          <w:iCs/>
          <w:color w:val="000000"/>
        </w:rPr>
      </w:pPr>
      <w:r w:rsidRPr="002F446E">
        <w:rPr>
          <w:rFonts w:ascii="Verdana" w:hAnsi="Verdana" w:cs="Arial"/>
          <w:iCs/>
          <w:color w:val="000000"/>
        </w:rPr>
        <w:t>*</w:t>
      </w:r>
    </w:p>
    <w:p w14:paraId="58ABEE72" w14:textId="77777777" w:rsidR="00B00202" w:rsidRPr="002F446E" w:rsidRDefault="00B00202" w:rsidP="00B00202">
      <w:pPr>
        <w:rPr>
          <w:rFonts w:ascii="Verdana" w:hAnsi="Verdana" w:cs="Arial"/>
        </w:rPr>
      </w:pPr>
    </w:p>
    <w:p w14:paraId="56E76241" w14:textId="13195FF4" w:rsidR="00B00202" w:rsidRPr="002F446E" w:rsidRDefault="00B00202" w:rsidP="006B1196">
      <w:pPr>
        <w:keepNext/>
        <w:spacing w:before="120" w:after="120"/>
        <w:jc w:val="center"/>
        <w:rPr>
          <w:rFonts w:ascii="Verdana" w:hAnsi="Verdana" w:cs="Arial"/>
          <w:b/>
        </w:rPr>
      </w:pPr>
      <w:r w:rsidRPr="002F446E">
        <w:rPr>
          <w:rFonts w:ascii="Verdana" w:hAnsi="Verdana" w:cs="Arial"/>
          <w:b/>
        </w:rPr>
        <w:t>ANNEXES</w:t>
      </w:r>
      <w:r w:rsidR="00E4251B" w:rsidRPr="002F446E">
        <w:rPr>
          <w:rStyle w:val="FootnoteReference"/>
          <w:rFonts w:ascii="Verdana" w:hAnsi="Verdana" w:cs="Arial"/>
          <w:b/>
        </w:rPr>
        <w:footnoteReference w:id="8"/>
      </w:r>
    </w:p>
    <w:p w14:paraId="4F82BECC" w14:textId="77777777" w:rsidR="00C96D53" w:rsidRPr="002F446E" w:rsidRDefault="00C96D53" w:rsidP="006B1196">
      <w:pPr>
        <w:keepNext/>
        <w:spacing w:before="120" w:after="120"/>
        <w:jc w:val="center"/>
        <w:rPr>
          <w:rFonts w:ascii="Verdana" w:hAnsi="Verdana" w:cs="Arial"/>
          <w:b/>
        </w:rPr>
      </w:pPr>
    </w:p>
    <w:p w14:paraId="7A2CE3AD" w14:textId="2DC24C80" w:rsidR="003A5C07" w:rsidRPr="002F446E" w:rsidRDefault="003A5C07">
      <w:pPr>
        <w:pStyle w:val="Heading1"/>
        <w:spacing w:line="276" w:lineRule="auto"/>
      </w:pPr>
      <w:r w:rsidRPr="002F446E">
        <w:t>TAXONOMIE METIERS</w:t>
      </w:r>
    </w:p>
    <w:p w14:paraId="2B788C71" w14:textId="44ABE681" w:rsidR="003A5C07" w:rsidRPr="002F446E" w:rsidRDefault="003A5C07" w:rsidP="003A5C07">
      <w:pPr>
        <w:pStyle w:val="ListParagraph"/>
        <w:numPr>
          <w:ilvl w:val="0"/>
          <w:numId w:val="6"/>
        </w:numPr>
        <w:spacing w:line="276" w:lineRule="auto"/>
        <w:rPr>
          <w:rFonts w:cs="Arial"/>
        </w:rPr>
      </w:pPr>
      <w:r w:rsidRPr="002F446E">
        <w:rPr>
          <w:rFonts w:cs="Arial"/>
          <w:b/>
        </w:rPr>
        <w:t>Stratégie &amp; Transformation</w:t>
      </w:r>
      <w:r w:rsidRPr="002F446E">
        <w:rPr>
          <w:rFonts w:cs="Arial"/>
        </w:rPr>
        <w:t xml:space="preserve"> comprend l’ensemble des activités de conseil en stratégie</w:t>
      </w:r>
      <w:r w:rsidR="00C83A05">
        <w:rPr>
          <w:rFonts w:cs="Arial"/>
        </w:rPr>
        <w:t>, innovation</w:t>
      </w:r>
      <w:r w:rsidRPr="002F446E">
        <w:rPr>
          <w:rFonts w:cs="Arial"/>
        </w:rPr>
        <w:t xml:space="preserve"> et accompagnement de la transformation. </w:t>
      </w:r>
    </w:p>
    <w:p w14:paraId="4AB09707" w14:textId="2B69107F" w:rsidR="003A5C07" w:rsidRPr="002F446E" w:rsidRDefault="003A5C07" w:rsidP="003A5C07">
      <w:pPr>
        <w:pStyle w:val="ListParagraph"/>
        <w:numPr>
          <w:ilvl w:val="0"/>
          <w:numId w:val="6"/>
        </w:numPr>
        <w:spacing w:line="276" w:lineRule="auto"/>
        <w:rPr>
          <w:rFonts w:cs="Arial"/>
        </w:rPr>
      </w:pPr>
      <w:r w:rsidRPr="002F446E">
        <w:rPr>
          <w:rFonts w:cs="Arial"/>
          <w:b/>
        </w:rPr>
        <w:t>Applications &amp; Technologie</w:t>
      </w:r>
      <w:r w:rsidRPr="002F446E">
        <w:rPr>
          <w:rFonts w:cs="Arial"/>
        </w:rPr>
        <w:t xml:space="preserve"> regroupe les activités des « Services applicatifs » ainsi que les activités connexes, notamment les services de proximité en technologie</w:t>
      </w:r>
      <w:r w:rsidR="004C459A">
        <w:rPr>
          <w:rFonts w:cs="Arial"/>
        </w:rPr>
        <w:t>.</w:t>
      </w:r>
      <w:r w:rsidRPr="002F446E">
        <w:rPr>
          <w:rFonts w:cs="Arial"/>
        </w:rPr>
        <w:t xml:space="preserve"> </w:t>
      </w:r>
    </w:p>
    <w:p w14:paraId="739EC86C" w14:textId="74F42964" w:rsidR="003A5C07" w:rsidRPr="002F446E" w:rsidRDefault="003A5C07" w:rsidP="003A5C07">
      <w:pPr>
        <w:pStyle w:val="ListParagraph"/>
        <w:numPr>
          <w:ilvl w:val="0"/>
          <w:numId w:val="6"/>
        </w:numPr>
        <w:spacing w:line="276" w:lineRule="auto"/>
        <w:rPr>
          <w:rFonts w:cs="Arial"/>
        </w:rPr>
      </w:pPr>
      <w:r w:rsidRPr="002F446E">
        <w:rPr>
          <w:rFonts w:cs="Arial"/>
          <w:b/>
        </w:rPr>
        <w:t>Opérations &amp; Ingénierie</w:t>
      </w:r>
      <w:r w:rsidRPr="002F446E">
        <w:rPr>
          <w:rFonts w:cs="Arial"/>
        </w:rPr>
        <w:t xml:space="preserve"> recouvre les autres activités du Groupe, à savoir</w:t>
      </w:r>
      <w:r w:rsidR="00597709">
        <w:rPr>
          <w:rFonts w:cs="Arial"/>
        </w:rPr>
        <w:t xml:space="preserve"> </w:t>
      </w:r>
      <w:r w:rsidRPr="002F446E">
        <w:rPr>
          <w:rFonts w:cs="Arial"/>
        </w:rPr>
        <w:t xml:space="preserve">: les </w:t>
      </w:r>
      <w:r w:rsidRPr="00597709">
        <w:rPr>
          <w:rFonts w:cs="Arial"/>
          <w:i/>
          <w:iCs/>
        </w:rPr>
        <w:t>Business Services</w:t>
      </w:r>
      <w:r w:rsidRPr="002F446E">
        <w:rPr>
          <w:rFonts w:cs="Arial"/>
        </w:rPr>
        <w:t xml:space="preserve"> (comprenant le </w:t>
      </w:r>
      <w:r w:rsidRPr="002F446E">
        <w:rPr>
          <w:rFonts w:cs="Arial"/>
          <w:i/>
          <w:iCs/>
        </w:rPr>
        <w:t>Business Process Outsourcing</w:t>
      </w:r>
      <w:r w:rsidR="004B3FF7">
        <w:rPr>
          <w:rFonts w:cs="Arial"/>
          <w:i/>
          <w:iCs/>
        </w:rPr>
        <w:t xml:space="preserve"> </w:t>
      </w:r>
      <w:r w:rsidR="004B3FF7" w:rsidRPr="00632C26">
        <w:rPr>
          <w:rFonts w:cs="Arial"/>
        </w:rPr>
        <w:t>et les services transactionnels</w:t>
      </w:r>
      <w:r w:rsidRPr="002F446E">
        <w:rPr>
          <w:rFonts w:cs="Arial"/>
        </w:rPr>
        <w:t xml:space="preserve">), l’ensemble des Services d’infrastructure </w:t>
      </w:r>
      <w:r w:rsidR="004C459A">
        <w:rPr>
          <w:rFonts w:cs="Arial"/>
        </w:rPr>
        <w:t xml:space="preserve">et de </w:t>
      </w:r>
      <w:r w:rsidR="00E41A78">
        <w:rPr>
          <w:rFonts w:cs="Arial"/>
        </w:rPr>
        <w:t>c</w:t>
      </w:r>
      <w:r w:rsidR="004C459A">
        <w:rPr>
          <w:rFonts w:cs="Arial"/>
        </w:rPr>
        <w:t xml:space="preserve">loud </w:t>
      </w:r>
      <w:r w:rsidRPr="002F446E">
        <w:rPr>
          <w:rFonts w:cs="Arial"/>
        </w:rPr>
        <w:t xml:space="preserve">et les </w:t>
      </w:r>
      <w:r w:rsidR="001953EC">
        <w:rPr>
          <w:rFonts w:cs="Arial"/>
        </w:rPr>
        <w:t>S</w:t>
      </w:r>
      <w:r w:rsidR="001953EC" w:rsidRPr="002F446E">
        <w:rPr>
          <w:rFonts w:cs="Arial"/>
        </w:rPr>
        <w:t xml:space="preserve">ervices </w:t>
      </w:r>
      <w:r w:rsidR="005955DE">
        <w:rPr>
          <w:rFonts w:cs="Arial"/>
        </w:rPr>
        <w:t xml:space="preserve">de R&amp;D et </w:t>
      </w:r>
      <w:r w:rsidR="00346B76">
        <w:rPr>
          <w:rFonts w:cs="Arial"/>
        </w:rPr>
        <w:t>d’</w:t>
      </w:r>
      <w:r w:rsidR="005955DE">
        <w:rPr>
          <w:rFonts w:cs="Arial"/>
        </w:rPr>
        <w:t>ingénierie</w:t>
      </w:r>
      <w:r w:rsidRPr="002F446E">
        <w:rPr>
          <w:rFonts w:cs="Arial"/>
        </w:rPr>
        <w:t>.</w:t>
      </w:r>
    </w:p>
    <w:p w14:paraId="3B95BAD2" w14:textId="77777777" w:rsidR="003A5C07" w:rsidRPr="002F446E" w:rsidRDefault="003A5C07" w:rsidP="00B00202">
      <w:pPr>
        <w:spacing w:before="120" w:after="120"/>
        <w:jc w:val="center"/>
        <w:rPr>
          <w:rFonts w:ascii="Verdana" w:hAnsi="Verdana" w:cs="Arial"/>
          <w:b/>
        </w:rPr>
      </w:pPr>
    </w:p>
    <w:p w14:paraId="3BF2D466" w14:textId="77777777" w:rsidR="003A5C07" w:rsidRPr="002F446E" w:rsidRDefault="003A5C07" w:rsidP="003A5C07">
      <w:pPr>
        <w:pStyle w:val="Heading1"/>
      </w:pPr>
      <w:r w:rsidRPr="002F446E">
        <w:t xml:space="preserve">DÉFINITIONS </w:t>
      </w:r>
    </w:p>
    <w:p w14:paraId="4000C22D" w14:textId="213F283B" w:rsidR="00D159DD" w:rsidRPr="002F446E" w:rsidRDefault="00D159DD" w:rsidP="003A5C07">
      <w:pPr>
        <w:spacing w:before="120" w:after="120" w:line="276" w:lineRule="auto"/>
        <w:rPr>
          <w:rFonts w:cs="Arial"/>
        </w:rPr>
      </w:pPr>
      <w:r w:rsidRPr="002F446E">
        <w:rPr>
          <w:rFonts w:cs="Arial"/>
        </w:rPr>
        <w:t xml:space="preserve">La </w:t>
      </w:r>
      <w:r w:rsidRPr="002F446E">
        <w:rPr>
          <w:rFonts w:cs="Arial"/>
          <w:b/>
        </w:rPr>
        <w:t>croissance organique</w:t>
      </w:r>
      <w:r w:rsidRPr="002F446E">
        <w:rPr>
          <w:rFonts w:cs="Arial"/>
        </w:rPr>
        <w:t xml:space="preserve"> du chiffre d’affaires est la croissance calculée </w:t>
      </w:r>
      <w:r w:rsidRPr="002F446E">
        <w:rPr>
          <w:rFonts w:cs="Arial"/>
          <w:b/>
        </w:rPr>
        <w:t>à taux de change et périmètre constants</w:t>
      </w:r>
      <w:r w:rsidRPr="002F446E">
        <w:rPr>
          <w:rFonts w:cs="Arial"/>
        </w:rPr>
        <w:t xml:space="preserve">. Le périmètre et les taux de changes utilisés sont ceux de l’exercice publié. Ce sont également les taux de change de l’exercice publié qui sont utilisés dans le calcul de la </w:t>
      </w:r>
      <w:r w:rsidRPr="002F446E">
        <w:rPr>
          <w:rFonts w:cs="Arial"/>
          <w:b/>
        </w:rPr>
        <w:t>croissance à taux de change constants</w:t>
      </w:r>
      <w:r w:rsidRPr="002F446E">
        <w:rPr>
          <w:rFonts w:cs="Arial"/>
        </w:rPr>
        <w:t xml:space="preserve">. </w:t>
      </w:r>
    </w:p>
    <w:tbl>
      <w:tblPr>
        <w:tblW w:w="7881" w:type="dxa"/>
        <w:jc w:val="center"/>
        <w:tblBorders>
          <w:top w:val="single" w:sz="8" w:space="0" w:color="30849B"/>
          <w:bottom w:val="single" w:sz="8" w:space="0" w:color="30849B"/>
          <w:insideH w:val="single" w:sz="8" w:space="0" w:color="30849B"/>
        </w:tblBorders>
        <w:tblLayout w:type="fixed"/>
        <w:tblCellMar>
          <w:left w:w="0" w:type="dxa"/>
          <w:right w:w="0" w:type="dxa"/>
        </w:tblCellMar>
        <w:tblLook w:val="01E0" w:firstRow="1" w:lastRow="1" w:firstColumn="1" w:lastColumn="1" w:noHBand="0" w:noVBand="0"/>
      </w:tblPr>
      <w:tblGrid>
        <w:gridCol w:w="3798"/>
        <w:gridCol w:w="1361"/>
        <w:gridCol w:w="1361"/>
        <w:gridCol w:w="1361"/>
      </w:tblGrid>
      <w:tr w:rsidR="00C17CFA" w:rsidRPr="002F446E" w14:paraId="2A6C6A66" w14:textId="77777777" w:rsidTr="00C17CFA">
        <w:trPr>
          <w:trHeight w:val="338"/>
          <w:jc w:val="center"/>
        </w:trPr>
        <w:tc>
          <w:tcPr>
            <w:tcW w:w="3798" w:type="dxa"/>
            <w:tcBorders>
              <w:top w:val="single" w:sz="8" w:space="0" w:color="0070AD" w:themeColor="accent1"/>
              <w:bottom w:val="single" w:sz="8" w:space="0" w:color="0070AD" w:themeColor="accent1"/>
            </w:tcBorders>
            <w:shd w:val="clear" w:color="auto" w:fill="auto"/>
            <w:vAlign w:val="center"/>
          </w:tcPr>
          <w:p w14:paraId="04797902" w14:textId="77777777" w:rsidR="00C17CFA" w:rsidRPr="002F446E" w:rsidRDefault="00C17CFA" w:rsidP="00D159DD">
            <w:pPr>
              <w:pStyle w:val="TableParagraph"/>
              <w:keepNext/>
              <w:spacing w:before="29"/>
              <w:ind w:left="63"/>
              <w:jc w:val="center"/>
              <w:rPr>
                <w:rFonts w:ascii="Verdana" w:hAnsi="Verdana" w:cs="Arial"/>
                <w:b/>
                <w:color w:val="30849B"/>
                <w:sz w:val="14"/>
                <w:lang w:val="fr-FR"/>
              </w:rPr>
            </w:pPr>
            <w:r w:rsidRPr="002F446E">
              <w:rPr>
                <w:rFonts w:ascii="Verdana" w:hAnsi="Verdana" w:cs="Arial"/>
                <w:b/>
                <w:sz w:val="14"/>
                <w:lang w:val="fr-FR"/>
              </w:rPr>
              <w:t>Réconciliation des taux de croissance</w:t>
            </w:r>
          </w:p>
        </w:tc>
        <w:tc>
          <w:tcPr>
            <w:tcW w:w="1361" w:type="dxa"/>
            <w:tcBorders>
              <w:top w:val="single" w:sz="8" w:space="0" w:color="0070AD" w:themeColor="accent1"/>
              <w:bottom w:val="single" w:sz="8" w:space="0" w:color="0070AD" w:themeColor="accent1"/>
            </w:tcBorders>
            <w:shd w:val="clear" w:color="auto" w:fill="auto"/>
          </w:tcPr>
          <w:p w14:paraId="62EDBD50" w14:textId="4811D38A" w:rsidR="00C17CFA" w:rsidRPr="002F446E" w:rsidRDefault="00C17CFA" w:rsidP="00D159DD">
            <w:pPr>
              <w:pStyle w:val="TableParagraph"/>
              <w:keepNext/>
              <w:spacing w:before="29"/>
              <w:ind w:left="63"/>
              <w:jc w:val="center"/>
              <w:rPr>
                <w:rFonts w:ascii="Verdana" w:hAnsi="Verdana" w:cs="Arial"/>
                <w:b/>
                <w:sz w:val="14"/>
                <w:lang w:val="fr-FR"/>
              </w:rPr>
            </w:pPr>
            <w:r>
              <w:rPr>
                <w:rFonts w:ascii="Verdana" w:hAnsi="Verdana" w:cs="Arial"/>
                <w:b/>
                <w:sz w:val="14"/>
                <w:lang w:val="fr-FR"/>
              </w:rPr>
              <w:t>1</w:t>
            </w:r>
            <w:r w:rsidRPr="002A6EDD">
              <w:rPr>
                <w:rFonts w:ascii="Verdana" w:hAnsi="Verdana" w:cs="Arial"/>
                <w:b/>
                <w:sz w:val="14"/>
                <w:vertAlign w:val="superscript"/>
                <w:lang w:val="fr-FR"/>
              </w:rPr>
              <w:t>er</w:t>
            </w:r>
            <w:r>
              <w:rPr>
                <w:rFonts w:ascii="Verdana" w:hAnsi="Verdana" w:cs="Arial"/>
                <w:b/>
                <w:sz w:val="14"/>
                <w:lang w:val="fr-FR"/>
              </w:rPr>
              <w:t xml:space="preserve"> trimestre 2020</w:t>
            </w:r>
          </w:p>
        </w:tc>
        <w:tc>
          <w:tcPr>
            <w:tcW w:w="1361" w:type="dxa"/>
            <w:tcBorders>
              <w:top w:val="single" w:sz="8" w:space="0" w:color="0070AD" w:themeColor="accent1"/>
              <w:bottom w:val="single" w:sz="8" w:space="0" w:color="0070AD" w:themeColor="accent1"/>
              <w:right w:val="nil"/>
            </w:tcBorders>
            <w:shd w:val="clear" w:color="auto" w:fill="auto"/>
            <w:vAlign w:val="center"/>
          </w:tcPr>
          <w:p w14:paraId="4323F9EC" w14:textId="0F87AC68" w:rsidR="00C17CFA" w:rsidRPr="002F446E" w:rsidRDefault="00C17CFA" w:rsidP="00D159DD">
            <w:pPr>
              <w:pStyle w:val="TableParagraph"/>
              <w:keepNext/>
              <w:spacing w:before="29"/>
              <w:ind w:left="63"/>
              <w:jc w:val="center"/>
              <w:rPr>
                <w:rFonts w:ascii="Verdana" w:hAnsi="Verdana" w:cs="Arial"/>
                <w:b/>
                <w:sz w:val="14"/>
                <w:lang w:val="fr-FR"/>
              </w:rPr>
            </w:pPr>
            <w:r w:rsidRPr="002F446E">
              <w:rPr>
                <w:rFonts w:ascii="Verdana" w:hAnsi="Verdana" w:cs="Arial"/>
                <w:b/>
                <w:sz w:val="14"/>
                <w:lang w:val="fr-FR"/>
              </w:rPr>
              <w:t>2</w:t>
            </w:r>
            <w:r w:rsidRPr="002F446E">
              <w:rPr>
                <w:rFonts w:ascii="Verdana" w:hAnsi="Verdana" w:cs="Arial"/>
                <w:b/>
                <w:sz w:val="14"/>
                <w:vertAlign w:val="superscript"/>
                <w:lang w:val="fr-FR"/>
              </w:rPr>
              <w:t>ème</w:t>
            </w:r>
            <w:r w:rsidRPr="002F446E">
              <w:rPr>
                <w:rFonts w:ascii="Verdana" w:hAnsi="Verdana" w:cs="Arial"/>
                <w:b/>
                <w:sz w:val="14"/>
                <w:lang w:val="fr-FR"/>
              </w:rPr>
              <w:t xml:space="preserve"> trimestre</w:t>
            </w:r>
          </w:p>
          <w:p w14:paraId="5637B56A" w14:textId="16C592F8" w:rsidR="00C17CFA" w:rsidRPr="002F446E" w:rsidRDefault="00C17CFA" w:rsidP="00D159DD">
            <w:pPr>
              <w:pStyle w:val="TableParagraph"/>
              <w:keepNext/>
              <w:spacing w:before="29"/>
              <w:ind w:left="63"/>
              <w:jc w:val="center"/>
              <w:rPr>
                <w:rFonts w:ascii="Verdana" w:hAnsi="Verdana" w:cs="Arial"/>
                <w:b/>
                <w:sz w:val="14"/>
                <w:lang w:val="fr-FR"/>
              </w:rPr>
            </w:pPr>
            <w:r>
              <w:rPr>
                <w:rFonts w:ascii="Verdana" w:hAnsi="Verdana" w:cs="Arial"/>
                <w:b/>
                <w:sz w:val="14"/>
                <w:lang w:val="fr-FR"/>
              </w:rPr>
              <w:t>2020</w:t>
            </w:r>
          </w:p>
        </w:tc>
        <w:tc>
          <w:tcPr>
            <w:tcW w:w="1361" w:type="dxa"/>
            <w:tcBorders>
              <w:top w:val="single" w:sz="8" w:space="0" w:color="0070AD" w:themeColor="accent1"/>
              <w:left w:val="nil"/>
              <w:bottom w:val="single" w:sz="8" w:space="0" w:color="0070AD" w:themeColor="accent1"/>
            </w:tcBorders>
            <w:shd w:val="clear" w:color="auto" w:fill="BBE7FF" w:themeFill="accent1" w:themeFillTint="33"/>
            <w:vAlign w:val="center"/>
          </w:tcPr>
          <w:p w14:paraId="323785D1" w14:textId="3D4A515F" w:rsidR="00C17CFA" w:rsidRPr="002F446E" w:rsidRDefault="00C17CFA" w:rsidP="00D159DD">
            <w:pPr>
              <w:pStyle w:val="TableParagraph"/>
              <w:keepNext/>
              <w:spacing w:before="29"/>
              <w:ind w:left="63"/>
              <w:jc w:val="center"/>
              <w:rPr>
                <w:rFonts w:ascii="Verdana" w:hAnsi="Verdana" w:cs="Arial"/>
                <w:b/>
                <w:sz w:val="14"/>
                <w:lang w:val="fr-FR"/>
              </w:rPr>
            </w:pPr>
            <w:r w:rsidRPr="002F446E">
              <w:rPr>
                <w:rFonts w:ascii="Verdana" w:hAnsi="Verdana" w:cs="Arial"/>
                <w:b/>
                <w:sz w:val="14"/>
                <w:lang w:val="fr-FR"/>
              </w:rPr>
              <w:t>1</w:t>
            </w:r>
            <w:r w:rsidRPr="002F446E">
              <w:rPr>
                <w:rFonts w:ascii="Verdana" w:hAnsi="Verdana" w:cs="Arial"/>
                <w:b/>
                <w:sz w:val="14"/>
                <w:vertAlign w:val="superscript"/>
                <w:lang w:val="fr-FR"/>
              </w:rPr>
              <w:t>er</w:t>
            </w:r>
            <w:r w:rsidRPr="002F446E">
              <w:rPr>
                <w:rFonts w:ascii="Verdana" w:hAnsi="Verdana" w:cs="Arial"/>
                <w:b/>
                <w:sz w:val="14"/>
                <w:lang w:val="fr-FR"/>
              </w:rPr>
              <w:t xml:space="preserve"> semestre</w:t>
            </w:r>
          </w:p>
          <w:p w14:paraId="17156265" w14:textId="0F39BABD" w:rsidR="00C17CFA" w:rsidRPr="002F446E" w:rsidRDefault="00C17CFA" w:rsidP="00D159DD">
            <w:pPr>
              <w:pStyle w:val="TableParagraph"/>
              <w:keepNext/>
              <w:spacing w:before="29"/>
              <w:ind w:left="63"/>
              <w:jc w:val="center"/>
              <w:rPr>
                <w:rFonts w:ascii="Verdana" w:hAnsi="Verdana" w:cs="Arial"/>
                <w:b/>
                <w:sz w:val="14"/>
                <w:lang w:val="fr-FR"/>
              </w:rPr>
            </w:pPr>
            <w:r>
              <w:rPr>
                <w:rFonts w:ascii="Verdana" w:hAnsi="Verdana" w:cs="Arial"/>
                <w:b/>
                <w:sz w:val="14"/>
                <w:lang w:val="fr-FR"/>
              </w:rPr>
              <w:t>2020</w:t>
            </w:r>
          </w:p>
        </w:tc>
      </w:tr>
      <w:tr w:rsidR="00C17CFA" w:rsidRPr="002F446E" w14:paraId="087C6765" w14:textId="77777777" w:rsidTr="00C17CFA">
        <w:trPr>
          <w:trHeight w:val="227"/>
          <w:jc w:val="center"/>
        </w:trPr>
        <w:tc>
          <w:tcPr>
            <w:tcW w:w="3798" w:type="dxa"/>
            <w:tcBorders>
              <w:top w:val="single" w:sz="8" w:space="0" w:color="0070AD" w:themeColor="accent1"/>
              <w:bottom w:val="single" w:sz="8" w:space="0" w:color="0070AD" w:themeColor="accent1"/>
            </w:tcBorders>
            <w:shd w:val="clear" w:color="auto" w:fill="auto"/>
            <w:vAlign w:val="center"/>
          </w:tcPr>
          <w:p w14:paraId="1C3A9D41" w14:textId="77777777" w:rsidR="00C17CFA" w:rsidRPr="002F446E" w:rsidRDefault="00C17CFA" w:rsidP="00E6023E">
            <w:pPr>
              <w:pStyle w:val="TableParagraph"/>
              <w:keepNext/>
              <w:spacing w:before="100" w:beforeAutospacing="1"/>
              <w:ind w:left="63"/>
              <w:rPr>
                <w:rFonts w:ascii="Verdana" w:hAnsi="Verdana" w:cs="Arial"/>
                <w:b/>
                <w:color w:val="0070AD" w:themeColor="accent1"/>
                <w:sz w:val="14"/>
                <w:lang w:val="fr-FR"/>
              </w:rPr>
            </w:pPr>
            <w:r w:rsidRPr="002F446E">
              <w:rPr>
                <w:rFonts w:ascii="Verdana" w:hAnsi="Verdana" w:cs="Arial"/>
                <w:b/>
                <w:color w:val="0070AD" w:themeColor="accent1"/>
                <w:sz w:val="14"/>
                <w:lang w:val="fr-FR"/>
              </w:rPr>
              <w:t xml:space="preserve">Croissance organique </w:t>
            </w:r>
          </w:p>
        </w:tc>
        <w:tc>
          <w:tcPr>
            <w:tcW w:w="1361" w:type="dxa"/>
            <w:tcBorders>
              <w:top w:val="single" w:sz="8" w:space="0" w:color="0070AD" w:themeColor="accent1"/>
              <w:bottom w:val="single" w:sz="8" w:space="0" w:color="0070AD" w:themeColor="accent1"/>
            </w:tcBorders>
            <w:shd w:val="clear" w:color="auto" w:fill="auto"/>
            <w:vAlign w:val="center"/>
          </w:tcPr>
          <w:p w14:paraId="4976BA78" w14:textId="67B0BD49" w:rsidR="00C17CFA" w:rsidRDefault="00C17CFA" w:rsidP="00E6023E">
            <w:pPr>
              <w:pStyle w:val="TableParagraph"/>
              <w:keepNext/>
              <w:spacing w:before="100" w:beforeAutospacing="1"/>
              <w:ind w:left="63" w:right="340"/>
              <w:jc w:val="right"/>
              <w:rPr>
                <w:rFonts w:ascii="Verdana" w:hAnsi="Verdana" w:cs="Arial"/>
                <w:b/>
                <w:color w:val="0070AD" w:themeColor="accent1"/>
                <w:sz w:val="14"/>
                <w:lang w:val="fr-FR"/>
              </w:rPr>
            </w:pPr>
            <w:r>
              <w:rPr>
                <w:rFonts w:ascii="Verdana" w:hAnsi="Verdana" w:cs="Arial"/>
                <w:b/>
                <w:color w:val="0070AD" w:themeColor="accent1"/>
                <w:sz w:val="14"/>
                <w:lang w:val="fr-FR"/>
              </w:rPr>
              <w:t>+2,0</w:t>
            </w:r>
            <w:r w:rsidRPr="002F446E">
              <w:rPr>
                <w:rFonts w:ascii="Verdana" w:hAnsi="Verdana" w:cs="Arial"/>
                <w:b/>
                <w:color w:val="0070AD" w:themeColor="accent1"/>
                <w:sz w:val="14"/>
                <w:lang w:val="fr-FR"/>
              </w:rPr>
              <w:t>%</w:t>
            </w:r>
          </w:p>
        </w:tc>
        <w:tc>
          <w:tcPr>
            <w:tcW w:w="1361" w:type="dxa"/>
            <w:tcBorders>
              <w:top w:val="single" w:sz="8" w:space="0" w:color="0070AD" w:themeColor="accent1"/>
              <w:bottom w:val="single" w:sz="8" w:space="0" w:color="0070AD" w:themeColor="accent1"/>
              <w:right w:val="nil"/>
            </w:tcBorders>
            <w:shd w:val="clear" w:color="auto" w:fill="auto"/>
            <w:vAlign w:val="center"/>
          </w:tcPr>
          <w:p w14:paraId="0FAF840F" w14:textId="56BA7065" w:rsidR="00C17CFA" w:rsidRPr="002F446E" w:rsidRDefault="00C17CFA" w:rsidP="00E6023E">
            <w:pPr>
              <w:pStyle w:val="TableParagraph"/>
              <w:keepNext/>
              <w:spacing w:before="100" w:beforeAutospacing="1"/>
              <w:ind w:left="63" w:right="287"/>
              <w:jc w:val="right"/>
              <w:rPr>
                <w:rFonts w:ascii="Verdana" w:hAnsi="Verdana" w:cs="Arial"/>
                <w:b/>
                <w:color w:val="0070AD" w:themeColor="accent1"/>
                <w:sz w:val="14"/>
                <w:lang w:val="fr-FR"/>
              </w:rPr>
            </w:pPr>
            <w:r>
              <w:rPr>
                <w:rFonts w:ascii="Verdana" w:hAnsi="Verdana" w:cs="Arial"/>
                <w:b/>
                <w:color w:val="0070AD" w:themeColor="accent1"/>
                <w:sz w:val="14"/>
                <w:lang w:val="fr-FR"/>
              </w:rPr>
              <w:t>-7,7</w:t>
            </w:r>
            <w:r w:rsidRPr="002F446E">
              <w:rPr>
                <w:rFonts w:ascii="Verdana" w:hAnsi="Verdana" w:cs="Arial"/>
                <w:b/>
                <w:color w:val="0070AD" w:themeColor="accent1"/>
                <w:sz w:val="14"/>
                <w:lang w:val="fr-FR"/>
              </w:rPr>
              <w:t>%</w:t>
            </w:r>
          </w:p>
        </w:tc>
        <w:tc>
          <w:tcPr>
            <w:tcW w:w="1361" w:type="dxa"/>
            <w:tcBorders>
              <w:top w:val="single" w:sz="8" w:space="0" w:color="0070AD" w:themeColor="accent1"/>
              <w:left w:val="nil"/>
              <w:bottom w:val="single" w:sz="8" w:space="0" w:color="0070AD" w:themeColor="accent1"/>
            </w:tcBorders>
            <w:shd w:val="clear" w:color="auto" w:fill="BBE7FF" w:themeFill="accent1" w:themeFillTint="33"/>
            <w:vAlign w:val="center"/>
          </w:tcPr>
          <w:p w14:paraId="5B69E4D3" w14:textId="6083C67F" w:rsidR="00C17CFA" w:rsidRPr="002F446E" w:rsidRDefault="00C17CFA" w:rsidP="00E6023E">
            <w:pPr>
              <w:pStyle w:val="TableParagraph"/>
              <w:keepNext/>
              <w:spacing w:before="100" w:beforeAutospacing="1"/>
              <w:ind w:left="63" w:right="363"/>
              <w:jc w:val="right"/>
              <w:rPr>
                <w:rFonts w:ascii="Verdana" w:hAnsi="Verdana" w:cs="Arial"/>
                <w:b/>
                <w:color w:val="0070AD" w:themeColor="accent1"/>
                <w:sz w:val="14"/>
                <w:lang w:val="fr-FR"/>
              </w:rPr>
            </w:pPr>
            <w:r>
              <w:rPr>
                <w:rFonts w:ascii="Verdana" w:hAnsi="Verdana" w:cs="Arial"/>
                <w:b/>
                <w:color w:val="0070AD" w:themeColor="accent1"/>
                <w:sz w:val="14"/>
                <w:lang w:val="fr-FR"/>
              </w:rPr>
              <w:t>-3,4</w:t>
            </w:r>
            <w:r w:rsidRPr="002F446E">
              <w:rPr>
                <w:rFonts w:ascii="Verdana" w:hAnsi="Verdana" w:cs="Arial"/>
                <w:b/>
                <w:color w:val="0070AD" w:themeColor="accent1"/>
                <w:sz w:val="14"/>
                <w:lang w:val="fr-FR"/>
              </w:rPr>
              <w:t>%</w:t>
            </w:r>
          </w:p>
        </w:tc>
      </w:tr>
      <w:tr w:rsidR="00C17CFA" w:rsidRPr="002F446E" w14:paraId="7AE3791B" w14:textId="77777777" w:rsidTr="00C17CFA">
        <w:trPr>
          <w:trHeight w:val="227"/>
          <w:jc w:val="center"/>
        </w:trPr>
        <w:tc>
          <w:tcPr>
            <w:tcW w:w="3798" w:type="dxa"/>
            <w:tcBorders>
              <w:top w:val="single" w:sz="8" w:space="0" w:color="0070AD" w:themeColor="accent1"/>
              <w:bottom w:val="single" w:sz="8" w:space="0" w:color="0070AD" w:themeColor="accent1"/>
            </w:tcBorders>
            <w:shd w:val="clear" w:color="auto" w:fill="auto"/>
            <w:vAlign w:val="center"/>
          </w:tcPr>
          <w:p w14:paraId="27974105" w14:textId="77777777" w:rsidR="00C17CFA" w:rsidRPr="002F446E" w:rsidRDefault="00C17CFA" w:rsidP="00E6023E">
            <w:pPr>
              <w:pStyle w:val="TableParagraph"/>
              <w:keepNext/>
              <w:spacing w:before="100" w:beforeAutospacing="1"/>
              <w:ind w:left="142"/>
              <w:rPr>
                <w:rFonts w:ascii="Verdana" w:hAnsi="Verdana" w:cs="Arial"/>
                <w:sz w:val="14"/>
                <w:lang w:val="fr-FR"/>
              </w:rPr>
            </w:pPr>
            <w:r w:rsidRPr="002F446E">
              <w:rPr>
                <w:rFonts w:ascii="Verdana" w:hAnsi="Verdana" w:cs="Arial"/>
                <w:sz w:val="14"/>
                <w:szCs w:val="16"/>
                <w:lang w:val="fr-FR"/>
              </w:rPr>
              <w:t>Impact des variations de périmètre du Groupe</w:t>
            </w:r>
          </w:p>
        </w:tc>
        <w:tc>
          <w:tcPr>
            <w:tcW w:w="1361" w:type="dxa"/>
            <w:tcBorders>
              <w:top w:val="single" w:sz="8" w:space="0" w:color="0070AD" w:themeColor="accent1"/>
              <w:bottom w:val="single" w:sz="8" w:space="0" w:color="0070AD" w:themeColor="accent1"/>
            </w:tcBorders>
            <w:shd w:val="clear" w:color="auto" w:fill="auto"/>
            <w:vAlign w:val="center"/>
          </w:tcPr>
          <w:p w14:paraId="3F813C3C" w14:textId="2B0CA2E7" w:rsidR="00C17CFA" w:rsidRDefault="00C17CFA" w:rsidP="00E6023E">
            <w:pPr>
              <w:pStyle w:val="TableParagraph"/>
              <w:keepNext/>
              <w:spacing w:before="100" w:beforeAutospacing="1"/>
              <w:ind w:left="1" w:right="340"/>
              <w:jc w:val="right"/>
              <w:rPr>
                <w:rFonts w:ascii="Verdana" w:hAnsi="Verdana" w:cs="Arial"/>
                <w:sz w:val="14"/>
                <w:szCs w:val="16"/>
                <w:lang w:val="fr-FR"/>
              </w:rPr>
            </w:pPr>
            <w:r>
              <w:rPr>
                <w:rFonts w:ascii="Verdana" w:hAnsi="Verdana" w:cs="Arial"/>
                <w:sz w:val="14"/>
                <w:szCs w:val="16"/>
                <w:lang w:val="fr-FR"/>
              </w:rPr>
              <w:t xml:space="preserve">+0,3 </w:t>
            </w:r>
            <w:r w:rsidRPr="002F446E">
              <w:rPr>
                <w:rFonts w:ascii="Verdana" w:hAnsi="Verdana" w:cs="Arial"/>
                <w:sz w:val="14"/>
                <w:szCs w:val="16"/>
                <w:lang w:val="fr-FR"/>
              </w:rPr>
              <w:t>pt</w:t>
            </w:r>
          </w:p>
        </w:tc>
        <w:tc>
          <w:tcPr>
            <w:tcW w:w="1361" w:type="dxa"/>
            <w:tcBorders>
              <w:top w:val="single" w:sz="8" w:space="0" w:color="0070AD" w:themeColor="accent1"/>
              <w:bottom w:val="single" w:sz="8" w:space="0" w:color="0070AD" w:themeColor="accent1"/>
              <w:right w:val="nil"/>
            </w:tcBorders>
            <w:shd w:val="clear" w:color="auto" w:fill="auto"/>
            <w:vAlign w:val="center"/>
          </w:tcPr>
          <w:p w14:paraId="70A6208D" w14:textId="75D3200B" w:rsidR="00C17CFA" w:rsidRPr="002F446E" w:rsidRDefault="00C17CFA" w:rsidP="00E6023E">
            <w:pPr>
              <w:pStyle w:val="TableParagraph"/>
              <w:keepNext/>
              <w:spacing w:before="100" w:beforeAutospacing="1"/>
              <w:ind w:left="1" w:right="287"/>
              <w:jc w:val="right"/>
              <w:rPr>
                <w:rFonts w:ascii="Verdana" w:hAnsi="Verdana" w:cs="Arial"/>
                <w:sz w:val="14"/>
                <w:szCs w:val="16"/>
                <w:lang w:val="fr-FR"/>
              </w:rPr>
            </w:pPr>
            <w:r>
              <w:rPr>
                <w:rFonts w:ascii="Verdana" w:hAnsi="Verdana" w:cs="Arial"/>
                <w:sz w:val="14"/>
                <w:szCs w:val="16"/>
                <w:lang w:val="fr-FR"/>
              </w:rPr>
              <w:t xml:space="preserve">+21,1 </w:t>
            </w:r>
            <w:r w:rsidRPr="002F446E">
              <w:rPr>
                <w:rFonts w:ascii="Verdana" w:hAnsi="Verdana" w:cs="Arial"/>
                <w:sz w:val="14"/>
                <w:szCs w:val="16"/>
                <w:lang w:val="fr-FR"/>
              </w:rPr>
              <w:t>pt</w:t>
            </w:r>
            <w:r>
              <w:rPr>
                <w:rFonts w:ascii="Verdana" w:hAnsi="Verdana" w:cs="Arial"/>
                <w:sz w:val="14"/>
                <w:szCs w:val="16"/>
                <w:lang w:val="fr-FR"/>
              </w:rPr>
              <w:t>s</w:t>
            </w:r>
          </w:p>
        </w:tc>
        <w:tc>
          <w:tcPr>
            <w:tcW w:w="1361" w:type="dxa"/>
            <w:tcBorders>
              <w:top w:val="single" w:sz="8" w:space="0" w:color="0070AD" w:themeColor="accent1"/>
              <w:left w:val="nil"/>
              <w:bottom w:val="single" w:sz="8" w:space="0" w:color="0070AD" w:themeColor="accent1"/>
            </w:tcBorders>
            <w:shd w:val="clear" w:color="auto" w:fill="BBE7FF" w:themeFill="accent1" w:themeFillTint="33"/>
            <w:vAlign w:val="center"/>
          </w:tcPr>
          <w:p w14:paraId="303BA2DB" w14:textId="18338006" w:rsidR="00C17CFA" w:rsidRPr="002F446E" w:rsidRDefault="00C17CFA" w:rsidP="00E6023E">
            <w:pPr>
              <w:pStyle w:val="TableParagraph"/>
              <w:keepNext/>
              <w:spacing w:before="100" w:beforeAutospacing="1"/>
              <w:ind w:left="1" w:right="363"/>
              <w:jc w:val="right"/>
              <w:rPr>
                <w:rFonts w:ascii="Verdana" w:hAnsi="Verdana" w:cs="Arial"/>
                <w:sz w:val="14"/>
                <w:szCs w:val="16"/>
                <w:lang w:val="fr-FR"/>
              </w:rPr>
            </w:pPr>
            <w:r w:rsidRPr="002F446E">
              <w:rPr>
                <w:rFonts w:ascii="Verdana" w:hAnsi="Verdana" w:cs="Arial"/>
                <w:sz w:val="14"/>
                <w:szCs w:val="16"/>
                <w:lang w:val="fr-FR"/>
              </w:rPr>
              <w:t>+</w:t>
            </w:r>
            <w:r>
              <w:rPr>
                <w:rFonts w:ascii="Verdana" w:hAnsi="Verdana" w:cs="Arial"/>
                <w:sz w:val="14"/>
                <w:szCs w:val="16"/>
                <w:lang w:val="fr-FR"/>
              </w:rPr>
              <w:t xml:space="preserve">11,3 </w:t>
            </w:r>
            <w:r w:rsidRPr="002F446E">
              <w:rPr>
                <w:rFonts w:ascii="Verdana" w:hAnsi="Verdana" w:cs="Arial"/>
                <w:sz w:val="14"/>
                <w:szCs w:val="16"/>
                <w:lang w:val="fr-FR"/>
              </w:rPr>
              <w:t>pt</w:t>
            </w:r>
            <w:r>
              <w:rPr>
                <w:rFonts w:ascii="Verdana" w:hAnsi="Verdana" w:cs="Arial"/>
                <w:sz w:val="14"/>
                <w:szCs w:val="16"/>
                <w:lang w:val="fr-FR"/>
              </w:rPr>
              <w:t>s</w:t>
            </w:r>
          </w:p>
        </w:tc>
      </w:tr>
      <w:tr w:rsidR="00C17CFA" w:rsidRPr="002F446E" w14:paraId="0C031C3E" w14:textId="77777777" w:rsidTr="00C17CFA">
        <w:trPr>
          <w:trHeight w:val="227"/>
          <w:jc w:val="center"/>
        </w:trPr>
        <w:tc>
          <w:tcPr>
            <w:tcW w:w="3798" w:type="dxa"/>
            <w:tcBorders>
              <w:top w:val="single" w:sz="8" w:space="0" w:color="0070AD" w:themeColor="accent1"/>
              <w:bottom w:val="single" w:sz="8" w:space="0" w:color="0070AD" w:themeColor="accent1"/>
            </w:tcBorders>
            <w:shd w:val="clear" w:color="auto" w:fill="auto"/>
            <w:vAlign w:val="center"/>
          </w:tcPr>
          <w:p w14:paraId="03AA00F1" w14:textId="77777777" w:rsidR="00C17CFA" w:rsidRPr="002F446E" w:rsidRDefault="00C17CFA" w:rsidP="00E6023E">
            <w:pPr>
              <w:pStyle w:val="TableParagraph"/>
              <w:keepNext/>
              <w:spacing w:before="100" w:beforeAutospacing="1"/>
              <w:ind w:left="63"/>
              <w:rPr>
                <w:rFonts w:ascii="Verdana" w:hAnsi="Verdana" w:cs="Arial"/>
                <w:b/>
                <w:color w:val="0070AD" w:themeColor="accent1"/>
                <w:sz w:val="14"/>
                <w:lang w:val="fr-FR"/>
              </w:rPr>
            </w:pPr>
            <w:r w:rsidRPr="002F446E">
              <w:rPr>
                <w:rFonts w:ascii="Verdana" w:hAnsi="Verdana" w:cs="Arial"/>
                <w:b/>
                <w:color w:val="0070AD" w:themeColor="accent1"/>
                <w:sz w:val="14"/>
                <w:lang w:val="fr-FR"/>
              </w:rPr>
              <w:t>Croissance à taux de change constants</w:t>
            </w:r>
          </w:p>
        </w:tc>
        <w:tc>
          <w:tcPr>
            <w:tcW w:w="1361" w:type="dxa"/>
            <w:tcBorders>
              <w:top w:val="single" w:sz="8" w:space="0" w:color="0070AD" w:themeColor="accent1"/>
              <w:bottom w:val="single" w:sz="8" w:space="0" w:color="0070AD" w:themeColor="accent1"/>
            </w:tcBorders>
            <w:shd w:val="clear" w:color="auto" w:fill="auto"/>
            <w:vAlign w:val="center"/>
          </w:tcPr>
          <w:p w14:paraId="3905DFAA" w14:textId="2C341BDA" w:rsidR="00C17CFA" w:rsidRPr="002F446E" w:rsidRDefault="00C17CFA" w:rsidP="00E6023E">
            <w:pPr>
              <w:pStyle w:val="TableParagraph"/>
              <w:keepNext/>
              <w:spacing w:before="100" w:beforeAutospacing="1"/>
              <w:ind w:left="63" w:right="340"/>
              <w:jc w:val="right"/>
              <w:rPr>
                <w:rFonts w:ascii="Verdana" w:hAnsi="Verdana" w:cs="Arial"/>
                <w:b/>
                <w:color w:val="0070AD" w:themeColor="accent1"/>
                <w:sz w:val="14"/>
                <w:lang w:val="fr-FR"/>
              </w:rPr>
            </w:pPr>
            <w:r w:rsidRPr="002F446E">
              <w:rPr>
                <w:rFonts w:ascii="Verdana" w:hAnsi="Verdana" w:cs="Arial"/>
                <w:b/>
                <w:color w:val="0070AD" w:themeColor="accent1"/>
                <w:sz w:val="14"/>
                <w:lang w:val="fr-FR"/>
              </w:rPr>
              <w:t>+</w:t>
            </w:r>
            <w:r>
              <w:rPr>
                <w:rFonts w:ascii="Verdana" w:hAnsi="Verdana" w:cs="Arial"/>
                <w:b/>
                <w:color w:val="0070AD" w:themeColor="accent1"/>
                <w:sz w:val="14"/>
                <w:lang w:val="fr-FR"/>
              </w:rPr>
              <w:t>2,3</w:t>
            </w:r>
            <w:r w:rsidRPr="002F446E">
              <w:rPr>
                <w:rFonts w:ascii="Verdana" w:hAnsi="Verdana" w:cs="Arial"/>
                <w:b/>
                <w:color w:val="0070AD" w:themeColor="accent1"/>
                <w:sz w:val="14"/>
                <w:lang w:val="fr-FR"/>
              </w:rPr>
              <w:t>%</w:t>
            </w:r>
          </w:p>
        </w:tc>
        <w:tc>
          <w:tcPr>
            <w:tcW w:w="1361" w:type="dxa"/>
            <w:tcBorders>
              <w:top w:val="single" w:sz="8" w:space="0" w:color="0070AD" w:themeColor="accent1"/>
              <w:bottom w:val="single" w:sz="8" w:space="0" w:color="0070AD" w:themeColor="accent1"/>
              <w:right w:val="nil"/>
            </w:tcBorders>
            <w:shd w:val="clear" w:color="auto" w:fill="auto"/>
            <w:vAlign w:val="center"/>
          </w:tcPr>
          <w:p w14:paraId="2BF2C20B" w14:textId="787B9B68" w:rsidR="00C17CFA" w:rsidRPr="002F446E" w:rsidRDefault="00C17CFA" w:rsidP="00E6023E">
            <w:pPr>
              <w:pStyle w:val="TableParagraph"/>
              <w:keepNext/>
              <w:spacing w:before="100" w:beforeAutospacing="1"/>
              <w:ind w:left="63" w:right="287"/>
              <w:jc w:val="right"/>
              <w:rPr>
                <w:rFonts w:ascii="Verdana" w:hAnsi="Verdana" w:cs="Arial"/>
                <w:b/>
                <w:color w:val="0070AD" w:themeColor="accent1"/>
                <w:sz w:val="14"/>
                <w:lang w:val="fr-FR"/>
              </w:rPr>
            </w:pPr>
            <w:r w:rsidRPr="002F446E">
              <w:rPr>
                <w:rFonts w:ascii="Verdana" w:hAnsi="Verdana" w:cs="Arial"/>
                <w:b/>
                <w:color w:val="0070AD" w:themeColor="accent1"/>
                <w:sz w:val="14"/>
                <w:lang w:val="fr-FR"/>
              </w:rPr>
              <w:t>+</w:t>
            </w:r>
            <w:r>
              <w:rPr>
                <w:rFonts w:ascii="Verdana" w:hAnsi="Verdana" w:cs="Arial"/>
                <w:b/>
                <w:color w:val="0070AD" w:themeColor="accent1"/>
                <w:sz w:val="14"/>
                <w:lang w:val="fr-FR"/>
              </w:rPr>
              <w:t>13,4</w:t>
            </w:r>
            <w:r w:rsidRPr="002F446E">
              <w:rPr>
                <w:rFonts w:ascii="Verdana" w:hAnsi="Verdana" w:cs="Arial"/>
                <w:b/>
                <w:color w:val="0070AD" w:themeColor="accent1"/>
                <w:sz w:val="14"/>
                <w:lang w:val="fr-FR"/>
              </w:rPr>
              <w:t>%</w:t>
            </w:r>
          </w:p>
        </w:tc>
        <w:tc>
          <w:tcPr>
            <w:tcW w:w="1361" w:type="dxa"/>
            <w:tcBorders>
              <w:top w:val="single" w:sz="8" w:space="0" w:color="0070AD" w:themeColor="accent1"/>
              <w:left w:val="nil"/>
              <w:bottom w:val="single" w:sz="8" w:space="0" w:color="0070AD" w:themeColor="accent1"/>
            </w:tcBorders>
            <w:shd w:val="clear" w:color="auto" w:fill="BBE7FF" w:themeFill="accent1" w:themeFillTint="33"/>
            <w:vAlign w:val="center"/>
          </w:tcPr>
          <w:p w14:paraId="1B0AE515" w14:textId="23331698" w:rsidR="00C17CFA" w:rsidRPr="002F446E" w:rsidRDefault="00C17CFA" w:rsidP="00E6023E">
            <w:pPr>
              <w:pStyle w:val="TableParagraph"/>
              <w:keepNext/>
              <w:spacing w:before="100" w:beforeAutospacing="1"/>
              <w:ind w:left="63" w:right="363"/>
              <w:jc w:val="right"/>
              <w:rPr>
                <w:rFonts w:ascii="Verdana" w:hAnsi="Verdana" w:cs="Arial"/>
                <w:b/>
                <w:color w:val="0070AD" w:themeColor="accent1"/>
                <w:sz w:val="14"/>
                <w:lang w:val="fr-FR"/>
              </w:rPr>
            </w:pPr>
            <w:r w:rsidRPr="002F446E">
              <w:rPr>
                <w:rFonts w:ascii="Verdana" w:hAnsi="Verdana" w:cs="Arial"/>
                <w:b/>
                <w:color w:val="0070AD" w:themeColor="accent1"/>
                <w:sz w:val="14"/>
                <w:lang w:val="fr-FR"/>
              </w:rPr>
              <w:t>+</w:t>
            </w:r>
            <w:r>
              <w:rPr>
                <w:rFonts w:ascii="Verdana" w:hAnsi="Verdana" w:cs="Arial"/>
                <w:b/>
                <w:color w:val="0070AD" w:themeColor="accent1"/>
                <w:sz w:val="14"/>
                <w:lang w:val="fr-FR"/>
              </w:rPr>
              <w:t>7,9</w:t>
            </w:r>
            <w:r w:rsidRPr="002F446E">
              <w:rPr>
                <w:rFonts w:ascii="Verdana" w:hAnsi="Verdana" w:cs="Arial"/>
                <w:b/>
                <w:color w:val="0070AD" w:themeColor="accent1"/>
                <w:sz w:val="14"/>
                <w:lang w:val="fr-FR"/>
              </w:rPr>
              <w:t>%</w:t>
            </w:r>
          </w:p>
        </w:tc>
      </w:tr>
      <w:tr w:rsidR="00C17CFA" w:rsidRPr="002F446E" w14:paraId="44CEE2E9" w14:textId="77777777" w:rsidTr="00C17CFA">
        <w:trPr>
          <w:trHeight w:val="227"/>
          <w:jc w:val="center"/>
        </w:trPr>
        <w:tc>
          <w:tcPr>
            <w:tcW w:w="3798" w:type="dxa"/>
            <w:tcBorders>
              <w:top w:val="single" w:sz="8" w:space="0" w:color="0070AD" w:themeColor="accent1"/>
              <w:bottom w:val="single" w:sz="8" w:space="0" w:color="0070AD" w:themeColor="accent1"/>
            </w:tcBorders>
            <w:shd w:val="clear" w:color="auto" w:fill="auto"/>
            <w:vAlign w:val="center"/>
          </w:tcPr>
          <w:p w14:paraId="6E5F202E" w14:textId="77777777" w:rsidR="00C17CFA" w:rsidRPr="002F446E" w:rsidRDefault="00C17CFA" w:rsidP="00E6023E">
            <w:pPr>
              <w:pStyle w:val="TableParagraph"/>
              <w:keepNext/>
              <w:spacing w:before="100" w:beforeAutospacing="1"/>
              <w:ind w:left="142"/>
              <w:rPr>
                <w:rFonts w:ascii="Verdana" w:hAnsi="Verdana" w:cs="Arial"/>
                <w:sz w:val="14"/>
                <w:lang w:val="fr-FR"/>
              </w:rPr>
            </w:pPr>
            <w:r w:rsidRPr="002F446E">
              <w:rPr>
                <w:rFonts w:ascii="Verdana" w:hAnsi="Verdana" w:cs="Arial"/>
                <w:sz w:val="14"/>
                <w:lang w:val="fr-FR"/>
              </w:rPr>
              <w:t>Impact des taux de change</w:t>
            </w:r>
          </w:p>
        </w:tc>
        <w:tc>
          <w:tcPr>
            <w:tcW w:w="1361" w:type="dxa"/>
            <w:tcBorders>
              <w:top w:val="single" w:sz="8" w:space="0" w:color="0070AD" w:themeColor="accent1"/>
              <w:bottom w:val="single" w:sz="8" w:space="0" w:color="0070AD" w:themeColor="accent1"/>
            </w:tcBorders>
            <w:shd w:val="clear" w:color="auto" w:fill="auto"/>
            <w:vAlign w:val="center"/>
          </w:tcPr>
          <w:p w14:paraId="7429E93B" w14:textId="415D7339" w:rsidR="00C17CFA" w:rsidRDefault="00C17CFA" w:rsidP="00E6023E">
            <w:pPr>
              <w:pStyle w:val="TableParagraph"/>
              <w:keepNext/>
              <w:spacing w:before="100" w:beforeAutospacing="1"/>
              <w:ind w:left="1" w:right="340"/>
              <w:jc w:val="right"/>
              <w:rPr>
                <w:rFonts w:ascii="Verdana" w:hAnsi="Verdana" w:cs="Arial"/>
                <w:sz w:val="14"/>
                <w:szCs w:val="16"/>
                <w:lang w:val="fr-FR"/>
              </w:rPr>
            </w:pPr>
            <w:r>
              <w:rPr>
                <w:rFonts w:ascii="Verdana" w:hAnsi="Verdana" w:cs="Arial"/>
                <w:sz w:val="14"/>
                <w:szCs w:val="16"/>
                <w:lang w:val="fr-FR"/>
              </w:rPr>
              <w:t xml:space="preserve">+0,8 </w:t>
            </w:r>
            <w:r w:rsidRPr="002F446E">
              <w:rPr>
                <w:rFonts w:ascii="Verdana" w:hAnsi="Verdana" w:cs="Arial"/>
                <w:sz w:val="14"/>
                <w:szCs w:val="16"/>
                <w:lang w:val="fr-FR"/>
              </w:rPr>
              <w:t>pt</w:t>
            </w:r>
          </w:p>
        </w:tc>
        <w:tc>
          <w:tcPr>
            <w:tcW w:w="1361" w:type="dxa"/>
            <w:tcBorders>
              <w:top w:val="single" w:sz="8" w:space="0" w:color="0070AD" w:themeColor="accent1"/>
              <w:bottom w:val="single" w:sz="8" w:space="0" w:color="0070AD" w:themeColor="accent1"/>
              <w:right w:val="nil"/>
            </w:tcBorders>
            <w:shd w:val="clear" w:color="auto" w:fill="auto"/>
            <w:vAlign w:val="center"/>
          </w:tcPr>
          <w:p w14:paraId="5262849D" w14:textId="2FB95620" w:rsidR="00C17CFA" w:rsidRPr="002F446E" w:rsidRDefault="00C17CFA" w:rsidP="00E6023E">
            <w:pPr>
              <w:pStyle w:val="TableParagraph"/>
              <w:keepNext/>
              <w:spacing w:before="100" w:beforeAutospacing="1"/>
              <w:ind w:left="1" w:right="287"/>
              <w:jc w:val="right"/>
              <w:rPr>
                <w:rFonts w:ascii="Verdana" w:hAnsi="Verdana" w:cs="Arial"/>
                <w:sz w:val="14"/>
                <w:szCs w:val="16"/>
                <w:lang w:val="fr-FR"/>
              </w:rPr>
            </w:pPr>
            <w:r>
              <w:rPr>
                <w:rFonts w:ascii="Verdana" w:hAnsi="Verdana" w:cs="Arial"/>
                <w:sz w:val="14"/>
                <w:szCs w:val="16"/>
                <w:lang w:val="fr-FR"/>
              </w:rPr>
              <w:t xml:space="preserve">-0,3 </w:t>
            </w:r>
            <w:r w:rsidRPr="002F446E">
              <w:rPr>
                <w:rFonts w:ascii="Verdana" w:hAnsi="Verdana" w:cs="Arial"/>
                <w:sz w:val="14"/>
                <w:szCs w:val="16"/>
                <w:lang w:val="fr-FR"/>
              </w:rPr>
              <w:t>pt</w:t>
            </w:r>
          </w:p>
        </w:tc>
        <w:tc>
          <w:tcPr>
            <w:tcW w:w="1361" w:type="dxa"/>
            <w:tcBorders>
              <w:top w:val="single" w:sz="8" w:space="0" w:color="0070AD" w:themeColor="accent1"/>
              <w:left w:val="nil"/>
              <w:bottom w:val="single" w:sz="8" w:space="0" w:color="0070AD" w:themeColor="accent1"/>
            </w:tcBorders>
            <w:shd w:val="clear" w:color="auto" w:fill="BBE7FF" w:themeFill="accent1" w:themeFillTint="33"/>
            <w:vAlign w:val="center"/>
          </w:tcPr>
          <w:p w14:paraId="28865746" w14:textId="63711322" w:rsidR="00C17CFA" w:rsidRPr="002F446E" w:rsidRDefault="00C17CFA" w:rsidP="00E6023E">
            <w:pPr>
              <w:pStyle w:val="TableParagraph"/>
              <w:keepNext/>
              <w:spacing w:before="100" w:beforeAutospacing="1"/>
              <w:ind w:left="1" w:right="363"/>
              <w:jc w:val="right"/>
              <w:rPr>
                <w:rFonts w:ascii="Verdana" w:hAnsi="Verdana" w:cs="Arial"/>
                <w:sz w:val="14"/>
                <w:szCs w:val="16"/>
                <w:lang w:val="fr-FR"/>
              </w:rPr>
            </w:pPr>
            <w:r w:rsidRPr="002F446E">
              <w:rPr>
                <w:rFonts w:ascii="Verdana" w:hAnsi="Verdana" w:cs="Arial"/>
                <w:sz w:val="14"/>
                <w:szCs w:val="16"/>
                <w:lang w:val="fr-FR"/>
              </w:rPr>
              <w:t>+</w:t>
            </w:r>
            <w:r>
              <w:rPr>
                <w:rFonts w:ascii="Verdana" w:hAnsi="Verdana" w:cs="Arial"/>
                <w:sz w:val="14"/>
                <w:szCs w:val="16"/>
                <w:lang w:val="fr-FR"/>
              </w:rPr>
              <w:t xml:space="preserve">0,3 </w:t>
            </w:r>
            <w:r w:rsidRPr="002F446E">
              <w:rPr>
                <w:rFonts w:ascii="Verdana" w:hAnsi="Verdana" w:cs="Arial"/>
                <w:sz w:val="14"/>
                <w:szCs w:val="16"/>
                <w:lang w:val="fr-FR"/>
              </w:rPr>
              <w:t>pt</w:t>
            </w:r>
          </w:p>
        </w:tc>
      </w:tr>
      <w:tr w:rsidR="00C17CFA" w:rsidRPr="002F446E" w14:paraId="7DD6164C" w14:textId="77777777" w:rsidTr="00C17CFA">
        <w:trPr>
          <w:trHeight w:val="227"/>
          <w:jc w:val="center"/>
        </w:trPr>
        <w:tc>
          <w:tcPr>
            <w:tcW w:w="3798" w:type="dxa"/>
            <w:tcBorders>
              <w:top w:val="single" w:sz="8" w:space="0" w:color="0070AD" w:themeColor="accent1"/>
              <w:bottom w:val="single" w:sz="8" w:space="0" w:color="0070AD" w:themeColor="accent1"/>
            </w:tcBorders>
            <w:shd w:val="clear" w:color="auto" w:fill="auto"/>
            <w:vAlign w:val="center"/>
          </w:tcPr>
          <w:p w14:paraId="321E1DE4" w14:textId="77777777" w:rsidR="00C17CFA" w:rsidRPr="002F446E" w:rsidRDefault="00C17CFA" w:rsidP="00E6023E">
            <w:pPr>
              <w:pStyle w:val="TableParagraph"/>
              <w:keepNext/>
              <w:spacing w:before="100" w:beforeAutospacing="1"/>
              <w:ind w:left="63"/>
              <w:rPr>
                <w:rFonts w:ascii="Verdana" w:hAnsi="Verdana" w:cs="Arial"/>
                <w:b/>
                <w:color w:val="0070AD" w:themeColor="accent1"/>
                <w:sz w:val="14"/>
                <w:lang w:val="fr-FR"/>
              </w:rPr>
            </w:pPr>
            <w:r w:rsidRPr="002F446E">
              <w:rPr>
                <w:rFonts w:ascii="Verdana" w:hAnsi="Verdana" w:cs="Arial"/>
                <w:b/>
                <w:color w:val="0070AD" w:themeColor="accent1"/>
                <w:sz w:val="14"/>
                <w:lang w:val="fr-FR"/>
              </w:rPr>
              <w:t>Croissance en données publiées</w:t>
            </w:r>
          </w:p>
        </w:tc>
        <w:tc>
          <w:tcPr>
            <w:tcW w:w="1361" w:type="dxa"/>
            <w:tcBorders>
              <w:top w:val="single" w:sz="8" w:space="0" w:color="0070AD" w:themeColor="accent1"/>
              <w:bottom w:val="single" w:sz="8" w:space="0" w:color="0070AD" w:themeColor="accent1"/>
            </w:tcBorders>
            <w:shd w:val="clear" w:color="auto" w:fill="auto"/>
            <w:vAlign w:val="center"/>
          </w:tcPr>
          <w:p w14:paraId="10131528" w14:textId="50A7A016" w:rsidR="00C17CFA" w:rsidRPr="002F446E" w:rsidRDefault="00C17CFA" w:rsidP="00E6023E">
            <w:pPr>
              <w:pStyle w:val="TableParagraph"/>
              <w:keepNext/>
              <w:spacing w:before="100" w:beforeAutospacing="1"/>
              <w:ind w:left="1" w:right="340"/>
              <w:jc w:val="right"/>
              <w:rPr>
                <w:rFonts w:ascii="Verdana" w:hAnsi="Verdana" w:cs="Arial"/>
                <w:b/>
                <w:color w:val="0070AD" w:themeColor="accent1"/>
                <w:sz w:val="14"/>
                <w:szCs w:val="16"/>
              </w:rPr>
            </w:pPr>
            <w:r w:rsidRPr="002F446E">
              <w:rPr>
                <w:rFonts w:ascii="Verdana" w:hAnsi="Verdana" w:cs="Arial"/>
                <w:b/>
                <w:color w:val="0070AD" w:themeColor="accent1"/>
                <w:sz w:val="14"/>
                <w:szCs w:val="16"/>
              </w:rPr>
              <w:t>+</w:t>
            </w:r>
            <w:r>
              <w:rPr>
                <w:rFonts w:ascii="Verdana" w:hAnsi="Verdana" w:cs="Arial"/>
                <w:b/>
                <w:color w:val="0070AD" w:themeColor="accent1"/>
                <w:sz w:val="14"/>
                <w:szCs w:val="16"/>
              </w:rPr>
              <w:t>3,1</w:t>
            </w:r>
            <w:r w:rsidRPr="002F446E">
              <w:rPr>
                <w:rFonts w:ascii="Verdana" w:hAnsi="Verdana" w:cs="Arial"/>
                <w:b/>
                <w:color w:val="0070AD" w:themeColor="accent1"/>
                <w:sz w:val="14"/>
                <w:szCs w:val="16"/>
              </w:rPr>
              <w:t>%</w:t>
            </w:r>
          </w:p>
        </w:tc>
        <w:tc>
          <w:tcPr>
            <w:tcW w:w="1361" w:type="dxa"/>
            <w:tcBorders>
              <w:top w:val="single" w:sz="8" w:space="0" w:color="0070AD" w:themeColor="accent1"/>
              <w:bottom w:val="single" w:sz="8" w:space="0" w:color="0070AD" w:themeColor="accent1"/>
              <w:right w:val="nil"/>
            </w:tcBorders>
            <w:shd w:val="clear" w:color="auto" w:fill="auto"/>
            <w:vAlign w:val="center"/>
          </w:tcPr>
          <w:p w14:paraId="486D81E7" w14:textId="61BFA468" w:rsidR="00C17CFA" w:rsidRPr="002F446E" w:rsidRDefault="00C17CFA" w:rsidP="00E6023E">
            <w:pPr>
              <w:pStyle w:val="TableParagraph"/>
              <w:keepNext/>
              <w:spacing w:before="100" w:beforeAutospacing="1"/>
              <w:ind w:left="1" w:right="287"/>
              <w:jc w:val="right"/>
              <w:rPr>
                <w:rFonts w:ascii="Verdana" w:hAnsi="Verdana" w:cs="Arial"/>
                <w:b/>
                <w:color w:val="0070AD" w:themeColor="accent1"/>
                <w:sz w:val="14"/>
                <w:szCs w:val="16"/>
              </w:rPr>
            </w:pPr>
            <w:r w:rsidRPr="002F446E">
              <w:rPr>
                <w:rFonts w:ascii="Verdana" w:hAnsi="Verdana" w:cs="Arial"/>
                <w:b/>
                <w:color w:val="0070AD" w:themeColor="accent1"/>
                <w:sz w:val="14"/>
                <w:szCs w:val="16"/>
              </w:rPr>
              <w:t>+</w:t>
            </w:r>
            <w:r>
              <w:rPr>
                <w:rFonts w:ascii="Verdana" w:hAnsi="Verdana" w:cs="Arial"/>
                <w:b/>
                <w:color w:val="0070AD" w:themeColor="accent1"/>
                <w:sz w:val="14"/>
                <w:szCs w:val="16"/>
              </w:rPr>
              <w:t>13,1</w:t>
            </w:r>
            <w:r w:rsidRPr="002F446E">
              <w:rPr>
                <w:rFonts w:ascii="Verdana" w:hAnsi="Verdana" w:cs="Arial"/>
                <w:b/>
                <w:color w:val="0070AD" w:themeColor="accent1"/>
                <w:sz w:val="14"/>
                <w:szCs w:val="16"/>
              </w:rPr>
              <w:t>%</w:t>
            </w:r>
          </w:p>
        </w:tc>
        <w:tc>
          <w:tcPr>
            <w:tcW w:w="1361" w:type="dxa"/>
            <w:tcBorders>
              <w:top w:val="single" w:sz="8" w:space="0" w:color="0070AD" w:themeColor="accent1"/>
              <w:left w:val="nil"/>
              <w:bottom w:val="single" w:sz="8" w:space="0" w:color="0070AD" w:themeColor="accent1"/>
            </w:tcBorders>
            <w:shd w:val="clear" w:color="auto" w:fill="BBE7FF" w:themeFill="accent1" w:themeFillTint="33"/>
            <w:vAlign w:val="center"/>
          </w:tcPr>
          <w:p w14:paraId="2C1D5F19" w14:textId="4B386873" w:rsidR="00C17CFA" w:rsidRPr="002F446E" w:rsidRDefault="00C17CFA" w:rsidP="00E6023E">
            <w:pPr>
              <w:pStyle w:val="TableParagraph"/>
              <w:keepNext/>
              <w:spacing w:before="100" w:beforeAutospacing="1"/>
              <w:ind w:left="1" w:right="363"/>
              <w:jc w:val="right"/>
              <w:rPr>
                <w:rFonts w:ascii="Verdana" w:hAnsi="Verdana" w:cs="Arial"/>
                <w:b/>
                <w:color w:val="0070AD" w:themeColor="accent1"/>
                <w:sz w:val="14"/>
                <w:szCs w:val="16"/>
              </w:rPr>
            </w:pPr>
            <w:r w:rsidRPr="002F446E">
              <w:rPr>
                <w:rFonts w:ascii="Verdana" w:hAnsi="Verdana" w:cs="Arial"/>
                <w:b/>
                <w:color w:val="0070AD" w:themeColor="accent1"/>
                <w:sz w:val="14"/>
                <w:szCs w:val="16"/>
              </w:rPr>
              <w:t>+</w:t>
            </w:r>
            <w:r>
              <w:rPr>
                <w:rFonts w:ascii="Verdana" w:hAnsi="Verdana" w:cs="Arial"/>
                <w:b/>
                <w:color w:val="0070AD" w:themeColor="accent1"/>
                <w:sz w:val="14"/>
                <w:szCs w:val="16"/>
              </w:rPr>
              <w:t>8,2</w:t>
            </w:r>
            <w:r w:rsidRPr="002F446E">
              <w:rPr>
                <w:rFonts w:ascii="Verdana" w:hAnsi="Verdana" w:cs="Arial"/>
                <w:b/>
                <w:color w:val="0070AD" w:themeColor="accent1"/>
                <w:sz w:val="14"/>
                <w:szCs w:val="16"/>
              </w:rPr>
              <w:t>%</w:t>
            </w:r>
          </w:p>
        </w:tc>
      </w:tr>
    </w:tbl>
    <w:p w14:paraId="4D0F38FC" w14:textId="48CBCD95" w:rsidR="003A5C07" w:rsidRPr="002F446E" w:rsidRDefault="003A5C07" w:rsidP="003A5C07">
      <w:pPr>
        <w:spacing w:before="120" w:after="120" w:line="276" w:lineRule="auto"/>
        <w:rPr>
          <w:rFonts w:cs="Arial"/>
        </w:rPr>
      </w:pPr>
      <w:bookmarkStart w:id="19" w:name="_Hlk14637833"/>
      <w:r w:rsidRPr="002F446E">
        <w:rPr>
          <w:rFonts w:cs="Arial"/>
        </w:rPr>
        <w:t xml:space="preserve">Pour l’évolution de l’activité par métier, conformément aux indicateurs internes de performance opérationnelle, la croissance à taux de change constants est calculée sur la base du </w:t>
      </w:r>
      <w:r w:rsidRPr="002F446E">
        <w:rPr>
          <w:rFonts w:cs="Arial"/>
          <w:b/>
        </w:rPr>
        <w:t>chiffre d’affaires total</w:t>
      </w:r>
      <w:r w:rsidRPr="002F446E">
        <w:rPr>
          <w:rFonts w:cs="Arial"/>
        </w:rPr>
        <w:t xml:space="preserve">, c’est-à-dire avant élimination des facturations inter-métiers. </w:t>
      </w:r>
      <w:bookmarkStart w:id="20" w:name="_Hlk14637889"/>
      <w:bookmarkEnd w:id="19"/>
      <w:r w:rsidRPr="002F446E">
        <w:rPr>
          <w:rFonts w:cs="Arial"/>
        </w:rPr>
        <w:t>Le Groupe considère en effet que cela est plus représentatif du niveau d’activité par métier car, avec l’évolution de son activité, le Groupe constate un nombre croissant de contrats dont la mise en œuvre requiert la combinaison de différentes expertises métiers entraînant une augmentation des flux de facturation inter-métiers.</w:t>
      </w:r>
      <w:bookmarkEnd w:id="20"/>
      <w:r w:rsidRPr="002F446E">
        <w:rPr>
          <w:rFonts w:cs="Arial"/>
        </w:rPr>
        <w:t xml:space="preserve"> </w:t>
      </w:r>
    </w:p>
    <w:p w14:paraId="62F08284" w14:textId="4311F8E2" w:rsidR="00D159DD" w:rsidRPr="002F446E" w:rsidRDefault="00D159DD" w:rsidP="003A5C07">
      <w:pPr>
        <w:pStyle w:val="BodyText"/>
        <w:spacing w:line="276" w:lineRule="auto"/>
      </w:pPr>
      <w:r w:rsidRPr="002F446E">
        <w:t xml:space="preserve">La </w:t>
      </w:r>
      <w:r w:rsidRPr="002F446E">
        <w:rPr>
          <w:b/>
        </w:rPr>
        <w:t>marge opérationnelle</w:t>
      </w:r>
      <w:r w:rsidRPr="002F446E">
        <w:t>, un des principaux indicateurs de la performance du Groupe, est la différence entre le chiffre d’affaires et les charges opérationnelles. Elle est calculée avant les « autres produits et charges opérationnels » qui comprennent les amortissements des actifs incorporels reconnus dans le cadre des regroupements d’entreprises, la charge résultant de l’étalement de la juste valeur des actions attribuées au personnel (y compris les charges sociales et contributions patronales), ainsi que les charges ou produits non récurrents, notamment les dépréciations des écarts d’acquisition, les écarts d’acquisition négatifs, les plus ou moins-values de cession de sociétés consolidées ou d’activités, les charges de restructuration afférentes à des plans approuvés par les organes de Direction du Groupe, les coûts d’acquisition et d’intégration des sociétés acquises par le Groupe y compris les compléments de prix incluant des conditions de présence, ainsi que les effets des réductions, des liquidations et des transferts des régimes de retraites à prestations définies.</w:t>
      </w:r>
    </w:p>
    <w:p w14:paraId="3FCBF977" w14:textId="30C54F3A" w:rsidR="00D159DD" w:rsidRPr="002F446E" w:rsidRDefault="00D159DD" w:rsidP="003A5C07">
      <w:pPr>
        <w:pStyle w:val="BodyText"/>
        <w:spacing w:line="276" w:lineRule="auto"/>
      </w:pPr>
      <w:r w:rsidRPr="002F446E">
        <w:t xml:space="preserve">Le résultat net normalisé correspond au résultat net (part du Groupe) corrigé des impacts des éléments reconnus en « </w:t>
      </w:r>
      <w:r w:rsidR="00EF185B" w:rsidRPr="002F446E">
        <w:t>a</w:t>
      </w:r>
      <w:r w:rsidRPr="002F446E">
        <w:t xml:space="preserve">utres produits et charges opérationnels », net d’impôt calculé sur la base du taux effectif d’impôt. Le </w:t>
      </w:r>
      <w:r w:rsidRPr="002F446E">
        <w:rPr>
          <w:b/>
        </w:rPr>
        <w:t>résultat normalisé par action</w:t>
      </w:r>
      <w:r w:rsidRPr="002F446E">
        <w:t xml:space="preserve"> est calculé comme un résultat de base par action, c'est-à-dire hors dilution.</w:t>
      </w:r>
    </w:p>
    <w:p w14:paraId="0F2E1935" w14:textId="74E0161C" w:rsidR="00D159DD" w:rsidRDefault="00D159DD" w:rsidP="003A5C07">
      <w:pPr>
        <w:pStyle w:val="BodyText"/>
        <w:spacing w:line="276" w:lineRule="auto"/>
      </w:pPr>
      <w:r w:rsidRPr="002F446E">
        <w:t xml:space="preserve">Le </w:t>
      </w:r>
      <w:r w:rsidRPr="002F446E">
        <w:rPr>
          <w:b/>
          <w:i/>
        </w:rPr>
        <w:t>free cash-flow</w:t>
      </w:r>
      <w:r w:rsidRPr="002F446E">
        <w:rPr>
          <w:b/>
        </w:rPr>
        <w:t xml:space="preserve"> organique</w:t>
      </w:r>
      <w:r w:rsidRPr="002F446E">
        <w:t xml:space="preserve"> se définit comme le flux de trésorerie lié à l’activité diminué des investissements en immobilisations incorporelles et corporelles (nets de cession)</w:t>
      </w:r>
      <w:r w:rsidR="00037F18" w:rsidRPr="002F446E">
        <w:t xml:space="preserve">, des remboursements de dette </w:t>
      </w:r>
      <w:r w:rsidR="00500495" w:rsidRPr="002F446E">
        <w:t>de loyer</w:t>
      </w:r>
      <w:r w:rsidRPr="002F446E">
        <w:t xml:space="preserve"> et ajusté des intérêts financiers payés et reçus.</w:t>
      </w:r>
    </w:p>
    <w:p w14:paraId="1C53F4ED" w14:textId="19CC9500" w:rsidR="00E87A1E" w:rsidRPr="00E87A1E" w:rsidRDefault="00E87A1E" w:rsidP="00E87A1E">
      <w:pPr>
        <w:pStyle w:val="BodyText"/>
        <w:rPr>
          <w:bCs/>
        </w:rPr>
      </w:pPr>
      <w:r w:rsidRPr="00E87A1E">
        <w:rPr>
          <w:b/>
        </w:rPr>
        <w:t>Covid-19</w:t>
      </w:r>
      <w:r w:rsidRPr="00E87A1E">
        <w:rPr>
          <w:bCs/>
        </w:rPr>
        <w:t xml:space="preserve"> : L’impact de la crise sanitaire sur les comptes consolidés au 30 juin 2020 n’est pas isolé. La définition des indicateurs alternatifs de performance ci-dessus est donc inchangée et conformément aux pratiques passées ces comptes comprennent dans les autres produits et charges opérationnels un montant non significatif de coûts incrémentaux et non-récurrents liés à cette crise.</w:t>
      </w:r>
    </w:p>
    <w:p w14:paraId="79899672" w14:textId="1394AFAC" w:rsidR="00D159DD" w:rsidRPr="002F446E" w:rsidRDefault="00D159DD">
      <w:pPr>
        <w:jc w:val="left"/>
        <w:rPr>
          <w:rFonts w:ascii="Verdana" w:hAnsi="Verdana" w:cs="Arial"/>
          <w:b/>
          <w:caps/>
        </w:rPr>
      </w:pPr>
      <w:bookmarkStart w:id="21" w:name="_Hlk518391150"/>
    </w:p>
    <w:bookmarkEnd w:id="21"/>
    <w:p w14:paraId="1DC4E162" w14:textId="64F260EF" w:rsidR="00D159DD" w:rsidRPr="002F446E" w:rsidRDefault="00D159DD" w:rsidP="00D159DD">
      <w:pPr>
        <w:pStyle w:val="Heading1"/>
      </w:pPr>
      <w:r w:rsidRPr="002F446E">
        <w:t>ÉVOLUTION DE L’ACTIVITÉ PAR RÉGION</w:t>
      </w:r>
    </w:p>
    <w:tbl>
      <w:tblPr>
        <w:tblW w:w="10091" w:type="dxa"/>
        <w:jc w:val="center"/>
        <w:tblLayout w:type="fixed"/>
        <w:tblCellMar>
          <w:left w:w="0" w:type="dxa"/>
          <w:right w:w="0" w:type="dxa"/>
        </w:tblCellMar>
        <w:tblLook w:val="01E0" w:firstRow="1" w:lastRow="1" w:firstColumn="1" w:lastColumn="1" w:noHBand="0" w:noVBand="0"/>
      </w:tblPr>
      <w:tblGrid>
        <w:gridCol w:w="2948"/>
        <w:gridCol w:w="1361"/>
        <w:gridCol w:w="57"/>
        <w:gridCol w:w="1417"/>
        <w:gridCol w:w="1417"/>
        <w:gridCol w:w="57"/>
        <w:gridCol w:w="1417"/>
        <w:gridCol w:w="1417"/>
      </w:tblGrid>
      <w:tr w:rsidR="00D159DD" w:rsidRPr="002F446E" w14:paraId="32EA69C9" w14:textId="77777777" w:rsidTr="00F0763C">
        <w:trPr>
          <w:trHeight w:hRule="exact" w:val="454"/>
          <w:jc w:val="center"/>
        </w:trPr>
        <w:tc>
          <w:tcPr>
            <w:tcW w:w="2948" w:type="dxa"/>
          </w:tcPr>
          <w:p w14:paraId="25072001" w14:textId="77777777" w:rsidR="00D159DD" w:rsidRPr="002F446E" w:rsidRDefault="00D159DD" w:rsidP="00D159DD">
            <w:pPr>
              <w:keepNext/>
              <w:rPr>
                <w:sz w:val="14"/>
                <w:szCs w:val="14"/>
              </w:rPr>
            </w:pPr>
            <w:bookmarkStart w:id="22" w:name="_Hlk518564894"/>
          </w:p>
        </w:tc>
        <w:tc>
          <w:tcPr>
            <w:tcW w:w="1361" w:type="dxa"/>
            <w:tcBorders>
              <w:bottom w:val="single" w:sz="8" w:space="0" w:color="0070AD" w:themeColor="accent1"/>
            </w:tcBorders>
            <w:shd w:val="clear" w:color="auto" w:fill="auto"/>
            <w:vAlign w:val="center"/>
          </w:tcPr>
          <w:p w14:paraId="1D639112" w14:textId="77777777" w:rsidR="00D159DD" w:rsidRPr="002F446E" w:rsidRDefault="00D159DD" w:rsidP="00D159DD">
            <w:pPr>
              <w:pStyle w:val="TableParagraph"/>
              <w:keepNext/>
              <w:ind w:left="1"/>
              <w:jc w:val="center"/>
              <w:rPr>
                <w:rFonts w:eastAsia="Arial" w:cs="Arial"/>
                <w:b/>
                <w:sz w:val="14"/>
                <w:szCs w:val="14"/>
                <w:lang w:val="fr-FR"/>
              </w:rPr>
            </w:pPr>
            <w:r w:rsidRPr="002F446E">
              <w:rPr>
                <w:b/>
                <w:sz w:val="14"/>
                <w:szCs w:val="14"/>
                <w:lang w:val="fr-FR"/>
              </w:rPr>
              <w:t>Chiffre d’affaires</w:t>
            </w:r>
          </w:p>
        </w:tc>
        <w:tc>
          <w:tcPr>
            <w:tcW w:w="57" w:type="dxa"/>
          </w:tcPr>
          <w:p w14:paraId="0FC116B1" w14:textId="77777777" w:rsidR="00D159DD" w:rsidRPr="002F446E" w:rsidRDefault="00D159DD" w:rsidP="00D159DD">
            <w:pPr>
              <w:pStyle w:val="TableParagraph"/>
              <w:keepNext/>
              <w:ind w:right="105"/>
              <w:jc w:val="center"/>
              <w:rPr>
                <w:b/>
                <w:sz w:val="14"/>
                <w:szCs w:val="14"/>
                <w:lang w:val="fr-FR"/>
              </w:rPr>
            </w:pPr>
          </w:p>
        </w:tc>
        <w:tc>
          <w:tcPr>
            <w:tcW w:w="2834" w:type="dxa"/>
            <w:gridSpan w:val="2"/>
            <w:tcBorders>
              <w:bottom w:val="single" w:sz="8" w:space="0" w:color="0070AD" w:themeColor="accent1"/>
            </w:tcBorders>
            <w:vAlign w:val="center"/>
          </w:tcPr>
          <w:p w14:paraId="7D902BC9" w14:textId="6413809C" w:rsidR="00F0763C" w:rsidRPr="002F446E" w:rsidRDefault="00D159DD" w:rsidP="003A5C07">
            <w:pPr>
              <w:pStyle w:val="TableParagraph"/>
              <w:keepNext/>
              <w:ind w:right="-1"/>
              <w:jc w:val="center"/>
              <w:rPr>
                <w:rFonts w:eastAsia="Arial" w:cs="Arial"/>
                <w:b/>
                <w:sz w:val="14"/>
                <w:szCs w:val="14"/>
                <w:lang w:val="fr-FR"/>
              </w:rPr>
            </w:pPr>
            <w:r w:rsidRPr="002F446E">
              <w:rPr>
                <w:b/>
                <w:sz w:val="14"/>
                <w:szCs w:val="14"/>
                <w:lang w:val="fr-FR"/>
              </w:rPr>
              <w:t>Variation par rapport à </w:t>
            </w:r>
            <w:r w:rsidR="00580CAF">
              <w:rPr>
                <w:b/>
                <w:sz w:val="14"/>
                <w:szCs w:val="14"/>
                <w:lang w:val="fr-FR"/>
              </w:rPr>
              <w:t>2019</w:t>
            </w:r>
          </w:p>
        </w:tc>
        <w:tc>
          <w:tcPr>
            <w:tcW w:w="57" w:type="dxa"/>
          </w:tcPr>
          <w:p w14:paraId="1EECB3A9" w14:textId="77777777" w:rsidR="00D159DD" w:rsidRPr="002F446E" w:rsidRDefault="00D159DD" w:rsidP="00D159DD">
            <w:pPr>
              <w:pStyle w:val="TableParagraph"/>
              <w:keepNext/>
              <w:ind w:left="-11" w:right="380" w:firstLine="11"/>
              <w:jc w:val="center"/>
              <w:rPr>
                <w:b/>
                <w:sz w:val="14"/>
                <w:szCs w:val="14"/>
                <w:lang w:val="fr-FR"/>
              </w:rPr>
            </w:pPr>
          </w:p>
        </w:tc>
        <w:tc>
          <w:tcPr>
            <w:tcW w:w="2834" w:type="dxa"/>
            <w:gridSpan w:val="2"/>
            <w:tcBorders>
              <w:bottom w:val="single" w:sz="8" w:space="0" w:color="0070AD" w:themeColor="accent1"/>
            </w:tcBorders>
            <w:shd w:val="clear" w:color="auto" w:fill="auto"/>
            <w:vAlign w:val="center"/>
          </w:tcPr>
          <w:p w14:paraId="79B514C3" w14:textId="77777777" w:rsidR="00D159DD" w:rsidRPr="002F446E" w:rsidRDefault="00D159DD" w:rsidP="00D159DD">
            <w:pPr>
              <w:pStyle w:val="TableParagraph"/>
              <w:keepNext/>
              <w:ind w:left="-11" w:firstLine="11"/>
              <w:jc w:val="center"/>
              <w:rPr>
                <w:rFonts w:eastAsia="Arial" w:cs="Arial"/>
                <w:b/>
                <w:sz w:val="14"/>
                <w:szCs w:val="14"/>
                <w:lang w:val="fr-FR"/>
              </w:rPr>
            </w:pPr>
            <w:r w:rsidRPr="002F446E">
              <w:rPr>
                <w:b/>
                <w:sz w:val="14"/>
                <w:szCs w:val="14"/>
                <w:lang w:val="fr-FR"/>
              </w:rPr>
              <w:t>Taux de marge opérationnelle</w:t>
            </w:r>
          </w:p>
        </w:tc>
      </w:tr>
      <w:tr w:rsidR="007D6284" w:rsidRPr="002F446E" w14:paraId="0273D66B" w14:textId="77777777" w:rsidTr="007D6284">
        <w:trPr>
          <w:trHeight w:hRule="exact" w:val="737"/>
          <w:jc w:val="center"/>
        </w:trPr>
        <w:tc>
          <w:tcPr>
            <w:tcW w:w="2948" w:type="dxa"/>
            <w:tcBorders>
              <w:bottom w:val="single" w:sz="8" w:space="0" w:color="0070AD" w:themeColor="accent1"/>
            </w:tcBorders>
          </w:tcPr>
          <w:p w14:paraId="65E9220D" w14:textId="77777777" w:rsidR="007D6284" w:rsidRPr="002F446E" w:rsidRDefault="007D6284" w:rsidP="007D6284">
            <w:pPr>
              <w:keepNext/>
              <w:rPr>
                <w:sz w:val="14"/>
                <w:szCs w:val="14"/>
              </w:rPr>
            </w:pPr>
          </w:p>
        </w:tc>
        <w:tc>
          <w:tcPr>
            <w:tcW w:w="1361" w:type="dxa"/>
            <w:tcBorders>
              <w:top w:val="single" w:sz="8" w:space="0" w:color="0070AD" w:themeColor="accent1"/>
              <w:bottom w:val="single" w:sz="8" w:space="0" w:color="0070AD" w:themeColor="accent1"/>
            </w:tcBorders>
            <w:shd w:val="clear" w:color="auto" w:fill="BBE7FF" w:themeFill="accent1" w:themeFillTint="33"/>
            <w:vAlign w:val="center"/>
          </w:tcPr>
          <w:p w14:paraId="3BCC4B5A" w14:textId="05CD978D" w:rsidR="007D6284" w:rsidRPr="002F446E" w:rsidRDefault="007D6284" w:rsidP="007D6284">
            <w:pPr>
              <w:pStyle w:val="TableParagraph"/>
              <w:keepNext/>
              <w:ind w:left="1"/>
              <w:jc w:val="center"/>
              <w:rPr>
                <w:b/>
                <w:sz w:val="14"/>
                <w:szCs w:val="14"/>
                <w:lang w:val="fr-FR"/>
              </w:rPr>
            </w:pPr>
            <w:r w:rsidRPr="002F446E">
              <w:rPr>
                <w:b/>
                <w:sz w:val="14"/>
                <w:szCs w:val="14"/>
                <w:lang w:val="fr-FR"/>
              </w:rPr>
              <w:t>1</w:t>
            </w:r>
            <w:r w:rsidRPr="002F446E">
              <w:rPr>
                <w:b/>
                <w:sz w:val="14"/>
                <w:szCs w:val="14"/>
                <w:vertAlign w:val="superscript"/>
                <w:lang w:val="fr-FR"/>
              </w:rPr>
              <w:t>er</w:t>
            </w:r>
            <w:r w:rsidRPr="002F446E">
              <w:rPr>
                <w:b/>
                <w:sz w:val="14"/>
                <w:szCs w:val="14"/>
                <w:lang w:val="fr-FR"/>
              </w:rPr>
              <w:t xml:space="preserve"> semestre </w:t>
            </w:r>
            <w:r w:rsidR="00580CAF">
              <w:rPr>
                <w:b/>
                <w:sz w:val="14"/>
                <w:szCs w:val="14"/>
                <w:lang w:val="fr-FR"/>
              </w:rPr>
              <w:t>2020</w:t>
            </w:r>
          </w:p>
          <w:p w14:paraId="2773947D" w14:textId="77777777" w:rsidR="007D6284" w:rsidRPr="002F446E" w:rsidRDefault="007D6284" w:rsidP="007D6284">
            <w:pPr>
              <w:keepNext/>
              <w:ind w:left="1"/>
              <w:jc w:val="center"/>
              <w:rPr>
                <w:b/>
                <w:sz w:val="14"/>
                <w:szCs w:val="14"/>
              </w:rPr>
            </w:pPr>
            <w:r w:rsidRPr="002F446E">
              <w:rPr>
                <w:rFonts w:cs="Arial"/>
                <w:i/>
                <w:sz w:val="14"/>
                <w:szCs w:val="14"/>
              </w:rPr>
              <w:t>(</w:t>
            </w:r>
            <w:proofErr w:type="gramStart"/>
            <w:r w:rsidRPr="002F446E">
              <w:rPr>
                <w:rFonts w:cs="Arial"/>
                <w:i/>
                <w:sz w:val="14"/>
                <w:szCs w:val="14"/>
              </w:rPr>
              <w:t>en</w:t>
            </w:r>
            <w:proofErr w:type="gramEnd"/>
            <w:r w:rsidRPr="002F446E">
              <w:rPr>
                <w:rFonts w:cs="Arial"/>
                <w:i/>
                <w:sz w:val="14"/>
                <w:szCs w:val="14"/>
              </w:rPr>
              <w:t xml:space="preserve"> millions d’euros)</w:t>
            </w:r>
          </w:p>
        </w:tc>
        <w:tc>
          <w:tcPr>
            <w:tcW w:w="57" w:type="dxa"/>
            <w:tcBorders>
              <w:bottom w:val="single" w:sz="8" w:space="0" w:color="0070AD" w:themeColor="accent1"/>
            </w:tcBorders>
          </w:tcPr>
          <w:p w14:paraId="18143C41" w14:textId="77777777" w:rsidR="007D6284" w:rsidRPr="002F446E" w:rsidRDefault="007D6284" w:rsidP="007D6284">
            <w:pPr>
              <w:pStyle w:val="TableParagraph"/>
              <w:keepNext/>
              <w:spacing w:before="27"/>
              <w:ind w:right="162" w:firstLine="26"/>
              <w:jc w:val="center"/>
              <w:rPr>
                <w:b/>
                <w:sz w:val="14"/>
                <w:szCs w:val="14"/>
                <w:lang w:val="fr-FR"/>
              </w:rPr>
            </w:pPr>
          </w:p>
        </w:tc>
        <w:tc>
          <w:tcPr>
            <w:tcW w:w="1417" w:type="dxa"/>
            <w:tcBorders>
              <w:top w:val="single" w:sz="8" w:space="0" w:color="0070AD" w:themeColor="accent1"/>
              <w:bottom w:val="single" w:sz="8" w:space="0" w:color="0070AD" w:themeColor="accent1"/>
            </w:tcBorders>
            <w:vAlign w:val="center"/>
          </w:tcPr>
          <w:p w14:paraId="5B584FF8" w14:textId="054D7EBC" w:rsidR="007D6284" w:rsidRPr="002F446E" w:rsidRDefault="007D6284" w:rsidP="007D6284">
            <w:pPr>
              <w:pStyle w:val="TableParagraph"/>
              <w:keepNext/>
              <w:spacing w:before="27"/>
              <w:jc w:val="center"/>
              <w:rPr>
                <w:b/>
                <w:sz w:val="14"/>
                <w:szCs w:val="14"/>
                <w:lang w:val="fr-FR"/>
              </w:rPr>
            </w:pPr>
            <w:proofErr w:type="gramStart"/>
            <w:r w:rsidRPr="002F446E">
              <w:rPr>
                <w:b/>
                <w:sz w:val="14"/>
                <w:szCs w:val="14"/>
                <w:lang w:val="fr-FR"/>
              </w:rPr>
              <w:t>en</w:t>
            </w:r>
            <w:proofErr w:type="gramEnd"/>
            <w:r w:rsidRPr="002F446E">
              <w:rPr>
                <w:b/>
                <w:sz w:val="14"/>
                <w:szCs w:val="14"/>
                <w:lang w:val="fr-FR"/>
              </w:rPr>
              <w:t xml:space="preserve"> données</w:t>
            </w:r>
          </w:p>
          <w:p w14:paraId="6600CC6F" w14:textId="77777777" w:rsidR="007D6284" w:rsidRPr="002F446E" w:rsidRDefault="007D6284" w:rsidP="007D6284">
            <w:pPr>
              <w:pStyle w:val="TableParagraph"/>
              <w:keepNext/>
              <w:spacing w:before="27"/>
              <w:jc w:val="center"/>
              <w:rPr>
                <w:rFonts w:eastAsia="Arial" w:cs="Arial"/>
                <w:b/>
                <w:sz w:val="14"/>
                <w:szCs w:val="14"/>
                <w:lang w:val="fr-FR"/>
              </w:rPr>
            </w:pPr>
            <w:proofErr w:type="gramStart"/>
            <w:r w:rsidRPr="002F446E">
              <w:rPr>
                <w:b/>
                <w:sz w:val="14"/>
                <w:szCs w:val="14"/>
                <w:lang w:val="fr-FR"/>
              </w:rPr>
              <w:t>publiées</w:t>
            </w:r>
            <w:proofErr w:type="gramEnd"/>
          </w:p>
        </w:tc>
        <w:tc>
          <w:tcPr>
            <w:tcW w:w="1417" w:type="dxa"/>
            <w:tcBorders>
              <w:top w:val="single" w:sz="8" w:space="0" w:color="0070AD" w:themeColor="accent1"/>
              <w:bottom w:val="single" w:sz="8" w:space="0" w:color="0070AD" w:themeColor="accent1"/>
            </w:tcBorders>
            <w:vAlign w:val="center"/>
          </w:tcPr>
          <w:p w14:paraId="47AFBB61" w14:textId="6C8B2822" w:rsidR="007D6284" w:rsidRPr="002F446E" w:rsidRDefault="007D6284" w:rsidP="007D6284">
            <w:pPr>
              <w:pStyle w:val="TableParagraph"/>
              <w:keepNext/>
              <w:spacing w:before="27"/>
              <w:ind w:right="-1"/>
              <w:jc w:val="center"/>
              <w:rPr>
                <w:b/>
                <w:sz w:val="14"/>
                <w:szCs w:val="14"/>
                <w:lang w:val="fr-FR"/>
              </w:rPr>
            </w:pPr>
            <w:proofErr w:type="gramStart"/>
            <w:r w:rsidRPr="002F446E">
              <w:rPr>
                <w:b/>
                <w:sz w:val="14"/>
                <w:szCs w:val="14"/>
                <w:lang w:val="fr-FR"/>
              </w:rPr>
              <w:t>à</w:t>
            </w:r>
            <w:proofErr w:type="gramEnd"/>
            <w:r w:rsidRPr="002F446E">
              <w:rPr>
                <w:b/>
                <w:sz w:val="14"/>
                <w:szCs w:val="14"/>
                <w:lang w:val="fr-FR"/>
              </w:rPr>
              <w:t xml:space="preserve"> taux de change constants</w:t>
            </w:r>
          </w:p>
        </w:tc>
        <w:tc>
          <w:tcPr>
            <w:tcW w:w="57" w:type="dxa"/>
            <w:tcBorders>
              <w:bottom w:val="single" w:sz="8" w:space="0" w:color="0070AD" w:themeColor="accent1"/>
            </w:tcBorders>
            <w:vAlign w:val="center"/>
          </w:tcPr>
          <w:p w14:paraId="3BB45826" w14:textId="77777777" w:rsidR="007D6284" w:rsidRPr="002F446E" w:rsidRDefault="007D6284" w:rsidP="007D6284">
            <w:pPr>
              <w:pStyle w:val="TableParagraph"/>
              <w:keepNext/>
              <w:jc w:val="center"/>
              <w:rPr>
                <w:b/>
                <w:sz w:val="14"/>
                <w:szCs w:val="14"/>
                <w:lang w:val="fr-FR"/>
              </w:rPr>
            </w:pPr>
          </w:p>
        </w:tc>
        <w:tc>
          <w:tcPr>
            <w:tcW w:w="1417" w:type="dxa"/>
            <w:tcBorders>
              <w:top w:val="single" w:sz="8" w:space="0" w:color="0070AD" w:themeColor="accent1"/>
              <w:bottom w:val="single" w:sz="8" w:space="0" w:color="0070AD" w:themeColor="accent1"/>
            </w:tcBorders>
            <w:vAlign w:val="center"/>
          </w:tcPr>
          <w:p w14:paraId="5FBF8C43" w14:textId="77777777" w:rsidR="007D6284" w:rsidRPr="002F446E" w:rsidRDefault="007D6284" w:rsidP="007D6284">
            <w:pPr>
              <w:pStyle w:val="TableParagraph"/>
              <w:keepNext/>
              <w:jc w:val="center"/>
              <w:rPr>
                <w:rFonts w:ascii="Verdana" w:hAnsi="Verdana"/>
                <w:b/>
                <w:sz w:val="14"/>
                <w:szCs w:val="16"/>
                <w:lang w:val="fr-FR"/>
              </w:rPr>
            </w:pPr>
            <w:r w:rsidRPr="002F446E">
              <w:rPr>
                <w:rFonts w:ascii="Verdana" w:hAnsi="Verdana"/>
                <w:b/>
                <w:sz w:val="14"/>
                <w:szCs w:val="16"/>
                <w:lang w:val="fr-FR"/>
              </w:rPr>
              <w:t>1</w:t>
            </w:r>
            <w:r w:rsidRPr="002F446E">
              <w:rPr>
                <w:rFonts w:ascii="Verdana" w:hAnsi="Verdana"/>
                <w:b/>
                <w:sz w:val="14"/>
                <w:szCs w:val="16"/>
                <w:vertAlign w:val="superscript"/>
                <w:lang w:val="fr-FR"/>
              </w:rPr>
              <w:t>er</w:t>
            </w:r>
            <w:r w:rsidRPr="002F446E">
              <w:rPr>
                <w:rFonts w:ascii="Verdana" w:hAnsi="Verdana"/>
                <w:b/>
                <w:sz w:val="14"/>
                <w:szCs w:val="16"/>
                <w:lang w:val="fr-FR"/>
              </w:rPr>
              <w:t xml:space="preserve"> semestre</w:t>
            </w:r>
          </w:p>
          <w:p w14:paraId="10A67077" w14:textId="54C59672" w:rsidR="00F0763C" w:rsidRPr="002F446E" w:rsidRDefault="00580CAF" w:rsidP="003A5C07">
            <w:pPr>
              <w:pStyle w:val="TableParagraph"/>
              <w:keepNext/>
              <w:ind w:left="17"/>
              <w:jc w:val="center"/>
              <w:rPr>
                <w:rFonts w:eastAsia="Arial" w:cs="Arial"/>
                <w:sz w:val="14"/>
                <w:szCs w:val="14"/>
              </w:rPr>
            </w:pPr>
            <w:r>
              <w:rPr>
                <w:rFonts w:ascii="Verdana" w:hAnsi="Verdana"/>
                <w:b/>
                <w:sz w:val="14"/>
                <w:szCs w:val="16"/>
                <w:lang w:val="fr-FR"/>
              </w:rPr>
              <w:t>2019</w:t>
            </w:r>
          </w:p>
        </w:tc>
        <w:tc>
          <w:tcPr>
            <w:tcW w:w="1417" w:type="dxa"/>
            <w:tcBorders>
              <w:top w:val="single" w:sz="8" w:space="0" w:color="0070AD" w:themeColor="accent1"/>
              <w:bottom w:val="single" w:sz="8" w:space="0" w:color="0070AD" w:themeColor="accent1"/>
            </w:tcBorders>
            <w:shd w:val="clear" w:color="auto" w:fill="BBE7FF" w:themeFill="accent1" w:themeFillTint="33"/>
            <w:vAlign w:val="center"/>
          </w:tcPr>
          <w:p w14:paraId="75A99327" w14:textId="77777777" w:rsidR="007D6284" w:rsidRPr="002F446E" w:rsidRDefault="007D6284" w:rsidP="007D6284">
            <w:pPr>
              <w:pStyle w:val="TableParagraph"/>
              <w:keepNext/>
              <w:ind w:left="17"/>
              <w:jc w:val="center"/>
              <w:rPr>
                <w:rFonts w:ascii="Verdana" w:hAnsi="Verdana"/>
                <w:b/>
                <w:sz w:val="14"/>
                <w:szCs w:val="16"/>
                <w:lang w:val="fr-FR"/>
              </w:rPr>
            </w:pPr>
            <w:r w:rsidRPr="002F446E">
              <w:rPr>
                <w:rFonts w:ascii="Verdana" w:hAnsi="Verdana"/>
                <w:b/>
                <w:sz w:val="14"/>
                <w:szCs w:val="16"/>
                <w:lang w:val="fr-FR"/>
              </w:rPr>
              <w:t>1</w:t>
            </w:r>
            <w:r w:rsidRPr="002F446E">
              <w:rPr>
                <w:rFonts w:ascii="Verdana" w:hAnsi="Verdana"/>
                <w:b/>
                <w:sz w:val="14"/>
                <w:szCs w:val="16"/>
                <w:vertAlign w:val="superscript"/>
                <w:lang w:val="fr-FR"/>
              </w:rPr>
              <w:t>er</w:t>
            </w:r>
            <w:r w:rsidRPr="002F446E">
              <w:rPr>
                <w:rFonts w:ascii="Verdana" w:hAnsi="Verdana"/>
                <w:b/>
                <w:sz w:val="14"/>
                <w:szCs w:val="16"/>
                <w:lang w:val="fr-FR"/>
              </w:rPr>
              <w:t xml:space="preserve"> semestre</w:t>
            </w:r>
          </w:p>
          <w:p w14:paraId="5C3543B8" w14:textId="78F8F86A" w:rsidR="00F0763C" w:rsidRPr="002F446E" w:rsidRDefault="00580CAF" w:rsidP="00615364">
            <w:pPr>
              <w:pStyle w:val="TableParagraph"/>
              <w:keepNext/>
              <w:ind w:left="17"/>
              <w:jc w:val="center"/>
              <w:rPr>
                <w:rFonts w:ascii="Verdana" w:hAnsi="Verdana"/>
                <w:b/>
                <w:sz w:val="14"/>
                <w:szCs w:val="16"/>
                <w:lang w:val="fr-FR"/>
              </w:rPr>
            </w:pPr>
            <w:r>
              <w:rPr>
                <w:rFonts w:ascii="Verdana" w:hAnsi="Verdana"/>
                <w:b/>
                <w:sz w:val="14"/>
                <w:szCs w:val="16"/>
                <w:lang w:val="fr-FR"/>
              </w:rPr>
              <w:t>2020</w:t>
            </w:r>
          </w:p>
        </w:tc>
      </w:tr>
      <w:tr w:rsidR="008E2DAE" w:rsidRPr="002F446E" w14:paraId="5E21E765" w14:textId="77777777" w:rsidTr="00020B44">
        <w:trPr>
          <w:trHeight w:val="227"/>
          <w:jc w:val="center"/>
        </w:trPr>
        <w:tc>
          <w:tcPr>
            <w:tcW w:w="2948" w:type="dxa"/>
            <w:tcBorders>
              <w:top w:val="single" w:sz="8" w:space="0" w:color="0070AD" w:themeColor="accent1"/>
            </w:tcBorders>
            <w:vAlign w:val="center"/>
          </w:tcPr>
          <w:p w14:paraId="30F581EA" w14:textId="77777777" w:rsidR="008E2DAE" w:rsidRPr="002F446E" w:rsidRDefault="008E2DAE" w:rsidP="008E2DAE">
            <w:pPr>
              <w:pStyle w:val="TableParagraph"/>
              <w:keepNext/>
              <w:spacing w:before="100" w:beforeAutospacing="1" w:after="100" w:afterAutospacing="1"/>
              <w:ind w:left="142"/>
              <w:rPr>
                <w:sz w:val="14"/>
                <w:szCs w:val="14"/>
                <w:lang w:val="fr-FR"/>
              </w:rPr>
            </w:pPr>
            <w:r w:rsidRPr="002F446E">
              <w:rPr>
                <w:sz w:val="14"/>
                <w:szCs w:val="14"/>
                <w:lang w:val="fr-FR"/>
              </w:rPr>
              <w:t>Amérique du Nord</w:t>
            </w:r>
          </w:p>
        </w:tc>
        <w:tc>
          <w:tcPr>
            <w:tcW w:w="1361" w:type="dxa"/>
            <w:tcBorders>
              <w:top w:val="single" w:sz="8" w:space="0" w:color="0070AD"/>
              <w:left w:val="nil"/>
              <w:bottom w:val="nil"/>
              <w:right w:val="nil"/>
            </w:tcBorders>
            <w:shd w:val="clear" w:color="000000" w:fill="BBE7FF"/>
            <w:vAlign w:val="center"/>
          </w:tcPr>
          <w:p w14:paraId="5585CCF1" w14:textId="3A0918D5" w:rsidR="008E2DAE" w:rsidRPr="008B1A8A" w:rsidRDefault="008E2DAE" w:rsidP="008E2DAE">
            <w:pPr>
              <w:pStyle w:val="TableParagraph"/>
              <w:keepNext/>
              <w:spacing w:before="100" w:beforeAutospacing="1" w:after="100" w:afterAutospacing="1"/>
              <w:ind w:left="1" w:right="481"/>
              <w:jc w:val="right"/>
              <w:rPr>
                <w:rFonts w:ascii="Verdana" w:hAnsi="Verdana"/>
                <w:sz w:val="14"/>
                <w:szCs w:val="16"/>
                <w:lang w:val="fr-FR"/>
              </w:rPr>
            </w:pPr>
            <w:r>
              <w:rPr>
                <w:rFonts w:ascii="Verdana" w:hAnsi="Verdana"/>
                <w:sz w:val="14"/>
                <w:szCs w:val="16"/>
                <w:lang w:val="fr-FR"/>
              </w:rPr>
              <w:t>2 400</w:t>
            </w:r>
          </w:p>
        </w:tc>
        <w:tc>
          <w:tcPr>
            <w:tcW w:w="57" w:type="dxa"/>
            <w:tcBorders>
              <w:top w:val="single" w:sz="8" w:space="0" w:color="0070AD"/>
              <w:left w:val="nil"/>
              <w:bottom w:val="nil"/>
              <w:right w:val="nil"/>
            </w:tcBorders>
            <w:shd w:val="clear" w:color="auto" w:fill="auto"/>
            <w:vAlign w:val="center"/>
          </w:tcPr>
          <w:p w14:paraId="09142FB7" w14:textId="77777777" w:rsidR="008E2DAE" w:rsidRPr="002F446E" w:rsidRDefault="008E2DAE" w:rsidP="008E2DAE">
            <w:pPr>
              <w:pStyle w:val="TableParagraph"/>
              <w:keepNext/>
              <w:spacing w:before="100" w:beforeAutospacing="1" w:after="100" w:afterAutospacing="1"/>
              <w:ind w:left="1" w:right="537"/>
              <w:jc w:val="right"/>
              <w:rPr>
                <w:sz w:val="14"/>
                <w:szCs w:val="14"/>
              </w:rPr>
            </w:pPr>
            <w:r w:rsidRPr="002F446E">
              <w:rPr>
                <w:sz w:val="14"/>
                <w:szCs w:val="14"/>
              </w:rPr>
              <w:t> </w:t>
            </w:r>
          </w:p>
        </w:tc>
        <w:tc>
          <w:tcPr>
            <w:tcW w:w="1417" w:type="dxa"/>
            <w:tcBorders>
              <w:top w:val="single" w:sz="8" w:space="0" w:color="0070AD"/>
              <w:left w:val="nil"/>
              <w:bottom w:val="nil"/>
              <w:right w:val="nil"/>
            </w:tcBorders>
            <w:shd w:val="clear" w:color="auto" w:fill="auto"/>
            <w:vAlign w:val="center"/>
          </w:tcPr>
          <w:p w14:paraId="6677441D" w14:textId="26369C55" w:rsidR="008E2DAE" w:rsidRPr="00E762E2" w:rsidRDefault="008E2DAE" w:rsidP="008E2DAE">
            <w:pPr>
              <w:keepNext/>
              <w:widowControl w:val="0"/>
              <w:spacing w:before="100" w:beforeAutospacing="1" w:after="100" w:afterAutospacing="1"/>
              <w:ind w:right="452"/>
              <w:jc w:val="right"/>
              <w:rPr>
                <w:rFonts w:eastAsia="Arial" w:cs="Arial"/>
                <w:sz w:val="14"/>
                <w:szCs w:val="14"/>
              </w:rPr>
            </w:pPr>
            <w:r w:rsidRPr="00E762E2">
              <w:rPr>
                <w:rFonts w:eastAsia="Arial" w:cs="Arial"/>
                <w:sz w:val="14"/>
                <w:szCs w:val="14"/>
              </w:rPr>
              <w:t>+6</w:t>
            </w:r>
            <w:r>
              <w:rPr>
                <w:rFonts w:eastAsia="Arial" w:cs="Arial"/>
                <w:sz w:val="14"/>
                <w:szCs w:val="14"/>
              </w:rPr>
              <w:t>,</w:t>
            </w:r>
            <w:r w:rsidRPr="00E762E2">
              <w:rPr>
                <w:rFonts w:eastAsia="Arial" w:cs="Arial"/>
                <w:sz w:val="14"/>
                <w:szCs w:val="14"/>
              </w:rPr>
              <w:t>8%</w:t>
            </w:r>
          </w:p>
        </w:tc>
        <w:tc>
          <w:tcPr>
            <w:tcW w:w="1417" w:type="dxa"/>
            <w:tcBorders>
              <w:top w:val="single" w:sz="8" w:space="0" w:color="0070AD"/>
              <w:left w:val="nil"/>
              <w:bottom w:val="nil"/>
              <w:right w:val="nil"/>
            </w:tcBorders>
            <w:shd w:val="clear" w:color="auto" w:fill="auto"/>
            <w:vAlign w:val="center"/>
          </w:tcPr>
          <w:p w14:paraId="087CF510" w14:textId="7431F09E" w:rsidR="008E2DAE" w:rsidRPr="00E762E2" w:rsidRDefault="008E2DAE" w:rsidP="008E2DAE">
            <w:pPr>
              <w:keepNext/>
              <w:widowControl w:val="0"/>
              <w:spacing w:before="100" w:beforeAutospacing="1" w:after="100" w:afterAutospacing="1"/>
              <w:ind w:right="452"/>
              <w:jc w:val="right"/>
              <w:rPr>
                <w:rFonts w:eastAsia="Arial" w:cs="Arial"/>
                <w:sz w:val="14"/>
                <w:szCs w:val="14"/>
              </w:rPr>
            </w:pPr>
            <w:r w:rsidRPr="00E762E2">
              <w:rPr>
                <w:rFonts w:eastAsia="Arial" w:cs="Arial"/>
                <w:sz w:val="14"/>
                <w:szCs w:val="14"/>
              </w:rPr>
              <w:t>+4</w:t>
            </w:r>
            <w:r>
              <w:rPr>
                <w:rFonts w:eastAsia="Arial" w:cs="Arial"/>
                <w:sz w:val="14"/>
                <w:szCs w:val="14"/>
              </w:rPr>
              <w:t>,</w:t>
            </w:r>
            <w:r w:rsidRPr="00E762E2">
              <w:rPr>
                <w:rFonts w:eastAsia="Arial" w:cs="Arial"/>
                <w:sz w:val="14"/>
                <w:szCs w:val="14"/>
              </w:rPr>
              <w:t>2%</w:t>
            </w:r>
          </w:p>
        </w:tc>
        <w:tc>
          <w:tcPr>
            <w:tcW w:w="57" w:type="dxa"/>
            <w:tcBorders>
              <w:top w:val="single" w:sz="8" w:space="0" w:color="0070AD"/>
              <w:left w:val="nil"/>
              <w:bottom w:val="nil"/>
              <w:right w:val="nil"/>
            </w:tcBorders>
            <w:shd w:val="clear" w:color="auto" w:fill="auto"/>
            <w:vAlign w:val="center"/>
          </w:tcPr>
          <w:p w14:paraId="3CD22933" w14:textId="77777777" w:rsidR="008E2DAE" w:rsidRPr="002F446E" w:rsidRDefault="008E2DAE" w:rsidP="008E2DAE">
            <w:pPr>
              <w:pStyle w:val="TableParagraph"/>
              <w:keepNext/>
              <w:spacing w:before="100" w:beforeAutospacing="1" w:after="100" w:afterAutospacing="1"/>
              <w:ind w:left="1" w:right="537"/>
              <w:jc w:val="right"/>
              <w:rPr>
                <w:sz w:val="14"/>
                <w:szCs w:val="14"/>
              </w:rPr>
            </w:pPr>
            <w:r w:rsidRPr="002F446E">
              <w:rPr>
                <w:sz w:val="14"/>
                <w:szCs w:val="14"/>
              </w:rPr>
              <w:t> </w:t>
            </w:r>
          </w:p>
        </w:tc>
        <w:tc>
          <w:tcPr>
            <w:tcW w:w="1417" w:type="dxa"/>
            <w:tcBorders>
              <w:top w:val="single" w:sz="8" w:space="0" w:color="0070AD"/>
              <w:left w:val="nil"/>
              <w:bottom w:val="nil"/>
              <w:right w:val="nil"/>
            </w:tcBorders>
            <w:shd w:val="clear" w:color="auto" w:fill="auto"/>
            <w:vAlign w:val="center"/>
          </w:tcPr>
          <w:p w14:paraId="658360D1" w14:textId="5D0A95A0" w:rsidR="008E2DAE" w:rsidRPr="002F446E" w:rsidRDefault="008E2DAE" w:rsidP="008E2DAE">
            <w:pPr>
              <w:keepNext/>
              <w:widowControl w:val="0"/>
              <w:spacing w:before="100" w:beforeAutospacing="1" w:after="100" w:afterAutospacing="1"/>
              <w:ind w:right="452"/>
              <w:jc w:val="right"/>
              <w:rPr>
                <w:rFonts w:eastAsia="Arial" w:cs="Arial"/>
                <w:sz w:val="14"/>
                <w:szCs w:val="14"/>
              </w:rPr>
            </w:pPr>
            <w:r w:rsidRPr="002F446E">
              <w:rPr>
                <w:rFonts w:eastAsia="Arial" w:cs="Arial"/>
                <w:sz w:val="14"/>
                <w:szCs w:val="14"/>
              </w:rPr>
              <w:t>12,9%</w:t>
            </w:r>
          </w:p>
        </w:tc>
        <w:tc>
          <w:tcPr>
            <w:tcW w:w="1417" w:type="dxa"/>
            <w:tcBorders>
              <w:top w:val="single" w:sz="8" w:space="0" w:color="0070AD"/>
              <w:left w:val="nil"/>
              <w:bottom w:val="nil"/>
              <w:right w:val="nil"/>
            </w:tcBorders>
            <w:shd w:val="clear" w:color="000000" w:fill="BBE7FF"/>
            <w:vAlign w:val="center"/>
          </w:tcPr>
          <w:p w14:paraId="7C262337" w14:textId="1697CA5C" w:rsidR="008E2DAE" w:rsidRPr="008E2DAE" w:rsidRDefault="008E2DAE" w:rsidP="008E2DAE">
            <w:pPr>
              <w:keepNext/>
              <w:widowControl w:val="0"/>
              <w:spacing w:before="100" w:beforeAutospacing="1" w:after="100" w:afterAutospacing="1"/>
              <w:ind w:right="452"/>
              <w:jc w:val="right"/>
              <w:rPr>
                <w:rFonts w:eastAsia="Arial" w:cs="Arial"/>
                <w:sz w:val="14"/>
                <w:szCs w:val="14"/>
              </w:rPr>
            </w:pPr>
            <w:r w:rsidRPr="008E2DAE">
              <w:rPr>
                <w:rFonts w:ascii="Verdana" w:hAnsi="Verdana" w:cs="Calibri"/>
                <w:color w:val="000000"/>
                <w:sz w:val="14"/>
                <w:szCs w:val="14"/>
              </w:rPr>
              <w:t>14</w:t>
            </w:r>
            <w:r>
              <w:rPr>
                <w:rFonts w:ascii="Verdana" w:hAnsi="Verdana" w:cs="Calibri"/>
                <w:color w:val="000000"/>
                <w:sz w:val="14"/>
                <w:szCs w:val="14"/>
              </w:rPr>
              <w:t>,</w:t>
            </w:r>
            <w:r w:rsidRPr="008E2DAE">
              <w:rPr>
                <w:rFonts w:ascii="Verdana" w:hAnsi="Verdana" w:cs="Calibri"/>
                <w:color w:val="000000"/>
                <w:sz w:val="14"/>
                <w:szCs w:val="14"/>
              </w:rPr>
              <w:t>4%</w:t>
            </w:r>
          </w:p>
        </w:tc>
      </w:tr>
      <w:tr w:rsidR="008E2DAE" w:rsidRPr="002F446E" w14:paraId="03EDE2F4" w14:textId="77777777" w:rsidTr="00020B44">
        <w:trPr>
          <w:trHeight w:val="227"/>
          <w:jc w:val="center"/>
        </w:trPr>
        <w:tc>
          <w:tcPr>
            <w:tcW w:w="2948" w:type="dxa"/>
            <w:vAlign w:val="center"/>
          </w:tcPr>
          <w:p w14:paraId="55B6F59E" w14:textId="77777777" w:rsidR="008E2DAE" w:rsidRPr="002F446E" w:rsidRDefault="008E2DAE" w:rsidP="008E2DAE">
            <w:pPr>
              <w:pStyle w:val="TableParagraph"/>
              <w:keepNext/>
              <w:spacing w:before="100" w:beforeAutospacing="1" w:after="100" w:afterAutospacing="1"/>
              <w:ind w:left="142"/>
              <w:rPr>
                <w:sz w:val="14"/>
                <w:szCs w:val="14"/>
                <w:lang w:val="fr-FR"/>
              </w:rPr>
            </w:pPr>
            <w:r w:rsidRPr="002F446E">
              <w:rPr>
                <w:sz w:val="14"/>
                <w:szCs w:val="14"/>
                <w:lang w:val="fr-FR"/>
              </w:rPr>
              <w:t>Royaume-Uni et Irlande</w:t>
            </w:r>
          </w:p>
        </w:tc>
        <w:tc>
          <w:tcPr>
            <w:tcW w:w="1361" w:type="dxa"/>
            <w:tcBorders>
              <w:top w:val="nil"/>
              <w:left w:val="nil"/>
              <w:bottom w:val="nil"/>
              <w:right w:val="nil"/>
            </w:tcBorders>
            <w:shd w:val="clear" w:color="000000" w:fill="BBE7FF"/>
            <w:vAlign w:val="center"/>
          </w:tcPr>
          <w:p w14:paraId="66F985C3" w14:textId="6B7883CB" w:rsidR="008E2DAE" w:rsidRPr="002F446E" w:rsidRDefault="008E2DAE" w:rsidP="008E2DAE">
            <w:pPr>
              <w:pStyle w:val="TableParagraph"/>
              <w:keepNext/>
              <w:spacing w:before="100" w:beforeAutospacing="1" w:after="100" w:afterAutospacing="1"/>
              <w:ind w:left="1" w:right="481"/>
              <w:jc w:val="right"/>
              <w:rPr>
                <w:sz w:val="14"/>
                <w:szCs w:val="14"/>
              </w:rPr>
            </w:pPr>
            <w:r>
              <w:rPr>
                <w:sz w:val="14"/>
                <w:szCs w:val="14"/>
              </w:rPr>
              <w:t>853</w:t>
            </w:r>
          </w:p>
        </w:tc>
        <w:tc>
          <w:tcPr>
            <w:tcW w:w="57" w:type="dxa"/>
            <w:tcBorders>
              <w:top w:val="nil"/>
              <w:left w:val="nil"/>
              <w:bottom w:val="nil"/>
              <w:right w:val="nil"/>
            </w:tcBorders>
            <w:shd w:val="clear" w:color="auto" w:fill="auto"/>
            <w:vAlign w:val="center"/>
          </w:tcPr>
          <w:p w14:paraId="0D8D821A" w14:textId="77777777" w:rsidR="008E2DAE" w:rsidRPr="002F446E" w:rsidRDefault="008E2DAE" w:rsidP="008E2DAE">
            <w:pPr>
              <w:pStyle w:val="TableParagraph"/>
              <w:keepNext/>
              <w:spacing w:before="100" w:beforeAutospacing="1" w:after="100" w:afterAutospacing="1"/>
              <w:ind w:left="1" w:right="537"/>
              <w:jc w:val="right"/>
              <w:rPr>
                <w:sz w:val="14"/>
                <w:szCs w:val="14"/>
              </w:rPr>
            </w:pPr>
          </w:p>
        </w:tc>
        <w:tc>
          <w:tcPr>
            <w:tcW w:w="1417" w:type="dxa"/>
            <w:tcBorders>
              <w:top w:val="nil"/>
              <w:left w:val="nil"/>
              <w:bottom w:val="nil"/>
              <w:right w:val="nil"/>
            </w:tcBorders>
            <w:shd w:val="clear" w:color="auto" w:fill="auto"/>
            <w:vAlign w:val="center"/>
          </w:tcPr>
          <w:p w14:paraId="08C4E761" w14:textId="12B26CE2" w:rsidR="008E2DAE" w:rsidRPr="00E762E2" w:rsidRDefault="008E2DAE" w:rsidP="008E2DAE">
            <w:pPr>
              <w:keepNext/>
              <w:widowControl w:val="0"/>
              <w:spacing w:before="100" w:beforeAutospacing="1" w:after="100" w:afterAutospacing="1"/>
              <w:ind w:right="452"/>
              <w:jc w:val="right"/>
              <w:rPr>
                <w:rFonts w:eastAsia="Arial" w:cs="Arial"/>
                <w:sz w:val="14"/>
                <w:szCs w:val="14"/>
              </w:rPr>
            </w:pPr>
            <w:r w:rsidRPr="00E762E2">
              <w:rPr>
                <w:rFonts w:eastAsia="Arial" w:cs="Arial"/>
                <w:sz w:val="14"/>
                <w:szCs w:val="14"/>
              </w:rPr>
              <w:t>+0</w:t>
            </w:r>
            <w:r>
              <w:rPr>
                <w:rFonts w:eastAsia="Arial" w:cs="Arial"/>
                <w:sz w:val="14"/>
                <w:szCs w:val="14"/>
              </w:rPr>
              <w:t>,</w:t>
            </w:r>
            <w:r w:rsidRPr="00E762E2">
              <w:rPr>
                <w:rFonts w:eastAsia="Arial" w:cs="Arial"/>
                <w:sz w:val="14"/>
                <w:szCs w:val="14"/>
              </w:rPr>
              <w:t>5%</w:t>
            </w:r>
          </w:p>
        </w:tc>
        <w:tc>
          <w:tcPr>
            <w:tcW w:w="1417" w:type="dxa"/>
            <w:tcBorders>
              <w:top w:val="nil"/>
              <w:left w:val="nil"/>
              <w:bottom w:val="nil"/>
              <w:right w:val="nil"/>
            </w:tcBorders>
            <w:shd w:val="clear" w:color="auto" w:fill="auto"/>
            <w:vAlign w:val="center"/>
          </w:tcPr>
          <w:p w14:paraId="04ED361B" w14:textId="643AAC56" w:rsidR="008E2DAE" w:rsidRPr="00E762E2" w:rsidRDefault="008E2DAE" w:rsidP="008E2DAE">
            <w:pPr>
              <w:keepNext/>
              <w:widowControl w:val="0"/>
              <w:spacing w:before="100" w:beforeAutospacing="1" w:after="100" w:afterAutospacing="1"/>
              <w:ind w:right="452"/>
              <w:jc w:val="right"/>
              <w:rPr>
                <w:rFonts w:eastAsia="Arial" w:cs="Arial"/>
                <w:sz w:val="14"/>
                <w:szCs w:val="14"/>
              </w:rPr>
            </w:pPr>
            <w:r w:rsidRPr="00E762E2">
              <w:rPr>
                <w:rFonts w:eastAsia="Arial" w:cs="Arial"/>
                <w:sz w:val="14"/>
                <w:szCs w:val="14"/>
              </w:rPr>
              <w:t>+0</w:t>
            </w:r>
            <w:r>
              <w:rPr>
                <w:rFonts w:eastAsia="Arial" w:cs="Arial"/>
                <w:sz w:val="14"/>
                <w:szCs w:val="14"/>
              </w:rPr>
              <w:t>,</w:t>
            </w:r>
            <w:r w:rsidRPr="00E762E2">
              <w:rPr>
                <w:rFonts w:eastAsia="Arial" w:cs="Arial"/>
                <w:sz w:val="14"/>
                <w:szCs w:val="14"/>
              </w:rPr>
              <w:t>6%</w:t>
            </w:r>
          </w:p>
        </w:tc>
        <w:tc>
          <w:tcPr>
            <w:tcW w:w="57" w:type="dxa"/>
            <w:tcBorders>
              <w:top w:val="nil"/>
              <w:left w:val="nil"/>
              <w:bottom w:val="nil"/>
              <w:right w:val="nil"/>
            </w:tcBorders>
            <w:shd w:val="clear" w:color="auto" w:fill="auto"/>
            <w:vAlign w:val="center"/>
          </w:tcPr>
          <w:p w14:paraId="1B415053" w14:textId="77777777" w:rsidR="008E2DAE" w:rsidRPr="002F446E" w:rsidRDefault="008E2DAE" w:rsidP="008E2DAE">
            <w:pPr>
              <w:pStyle w:val="TableParagraph"/>
              <w:keepNext/>
              <w:spacing w:before="100" w:beforeAutospacing="1" w:after="100" w:afterAutospacing="1"/>
              <w:ind w:left="1" w:right="537"/>
              <w:jc w:val="right"/>
              <w:rPr>
                <w:sz w:val="14"/>
                <w:szCs w:val="14"/>
              </w:rPr>
            </w:pPr>
          </w:p>
        </w:tc>
        <w:tc>
          <w:tcPr>
            <w:tcW w:w="1417" w:type="dxa"/>
            <w:tcBorders>
              <w:top w:val="nil"/>
              <w:left w:val="nil"/>
              <w:bottom w:val="nil"/>
              <w:right w:val="nil"/>
            </w:tcBorders>
            <w:shd w:val="clear" w:color="auto" w:fill="auto"/>
            <w:vAlign w:val="center"/>
          </w:tcPr>
          <w:p w14:paraId="33B34191" w14:textId="7BC0A506" w:rsidR="008E2DAE" w:rsidRPr="002F446E" w:rsidRDefault="008E2DAE" w:rsidP="008E2DAE">
            <w:pPr>
              <w:keepNext/>
              <w:widowControl w:val="0"/>
              <w:spacing w:before="100" w:beforeAutospacing="1" w:after="100" w:afterAutospacing="1"/>
              <w:ind w:right="452"/>
              <w:jc w:val="right"/>
              <w:rPr>
                <w:rFonts w:eastAsia="Arial" w:cs="Arial"/>
                <w:sz w:val="14"/>
                <w:szCs w:val="14"/>
              </w:rPr>
            </w:pPr>
            <w:r w:rsidRPr="002F446E">
              <w:rPr>
                <w:rFonts w:eastAsia="Arial" w:cs="Arial"/>
                <w:sz w:val="14"/>
                <w:szCs w:val="14"/>
              </w:rPr>
              <w:t>15,9%</w:t>
            </w:r>
          </w:p>
        </w:tc>
        <w:tc>
          <w:tcPr>
            <w:tcW w:w="1417" w:type="dxa"/>
            <w:tcBorders>
              <w:top w:val="nil"/>
              <w:left w:val="nil"/>
              <w:bottom w:val="nil"/>
              <w:right w:val="nil"/>
            </w:tcBorders>
            <w:shd w:val="clear" w:color="000000" w:fill="BBE7FF"/>
            <w:vAlign w:val="center"/>
          </w:tcPr>
          <w:p w14:paraId="7EE7211A" w14:textId="67FE52C6" w:rsidR="008E2DAE" w:rsidRPr="008E2DAE" w:rsidRDefault="008E2DAE" w:rsidP="008E2DAE">
            <w:pPr>
              <w:keepNext/>
              <w:widowControl w:val="0"/>
              <w:spacing w:before="100" w:beforeAutospacing="1" w:after="100" w:afterAutospacing="1"/>
              <w:ind w:right="452"/>
              <w:jc w:val="right"/>
              <w:rPr>
                <w:rFonts w:eastAsia="Arial" w:cs="Arial"/>
                <w:sz w:val="14"/>
                <w:szCs w:val="14"/>
              </w:rPr>
            </w:pPr>
            <w:r w:rsidRPr="008E2DAE">
              <w:rPr>
                <w:rFonts w:ascii="Verdana" w:hAnsi="Verdana" w:cs="Calibri"/>
                <w:color w:val="000000"/>
                <w:sz w:val="14"/>
                <w:szCs w:val="14"/>
              </w:rPr>
              <w:t>14</w:t>
            </w:r>
            <w:r>
              <w:rPr>
                <w:rFonts w:ascii="Verdana" w:hAnsi="Verdana" w:cs="Calibri"/>
                <w:color w:val="000000"/>
                <w:sz w:val="14"/>
                <w:szCs w:val="14"/>
              </w:rPr>
              <w:t>,</w:t>
            </w:r>
            <w:r w:rsidRPr="008E2DAE">
              <w:rPr>
                <w:rFonts w:ascii="Verdana" w:hAnsi="Verdana" w:cs="Calibri"/>
                <w:color w:val="000000"/>
                <w:sz w:val="14"/>
                <w:szCs w:val="14"/>
              </w:rPr>
              <w:t>3%</w:t>
            </w:r>
          </w:p>
        </w:tc>
      </w:tr>
      <w:tr w:rsidR="008E2DAE" w:rsidRPr="002F446E" w14:paraId="2F46A76E" w14:textId="77777777" w:rsidTr="00020B44">
        <w:trPr>
          <w:trHeight w:val="227"/>
          <w:jc w:val="center"/>
        </w:trPr>
        <w:tc>
          <w:tcPr>
            <w:tcW w:w="2948" w:type="dxa"/>
            <w:vAlign w:val="center"/>
          </w:tcPr>
          <w:p w14:paraId="58284B88" w14:textId="77777777" w:rsidR="008E2DAE" w:rsidRPr="002F446E" w:rsidRDefault="008E2DAE" w:rsidP="008E2DAE">
            <w:pPr>
              <w:pStyle w:val="TableParagraph"/>
              <w:keepNext/>
              <w:spacing w:before="100" w:beforeAutospacing="1" w:after="100" w:afterAutospacing="1"/>
              <w:ind w:left="142"/>
              <w:rPr>
                <w:rFonts w:eastAsia="Arial" w:cs="Arial"/>
                <w:sz w:val="14"/>
                <w:szCs w:val="14"/>
                <w:lang w:val="fr-FR"/>
              </w:rPr>
            </w:pPr>
            <w:r w:rsidRPr="002F446E">
              <w:rPr>
                <w:sz w:val="14"/>
                <w:szCs w:val="14"/>
                <w:lang w:val="fr-FR"/>
              </w:rPr>
              <w:t>France</w:t>
            </w:r>
          </w:p>
        </w:tc>
        <w:tc>
          <w:tcPr>
            <w:tcW w:w="1361" w:type="dxa"/>
            <w:tcBorders>
              <w:top w:val="nil"/>
              <w:left w:val="nil"/>
              <w:bottom w:val="nil"/>
              <w:right w:val="nil"/>
            </w:tcBorders>
            <w:shd w:val="clear" w:color="000000" w:fill="BBE7FF"/>
            <w:vAlign w:val="center"/>
          </w:tcPr>
          <w:p w14:paraId="1CE696A5" w14:textId="5A01095B" w:rsidR="008E2DAE" w:rsidRPr="002F446E" w:rsidRDefault="008E2DAE" w:rsidP="008E2DAE">
            <w:pPr>
              <w:pStyle w:val="TableParagraph"/>
              <w:keepNext/>
              <w:spacing w:before="100" w:beforeAutospacing="1" w:after="100" w:afterAutospacing="1"/>
              <w:ind w:left="1" w:right="481"/>
              <w:jc w:val="right"/>
              <w:rPr>
                <w:sz w:val="14"/>
                <w:szCs w:val="14"/>
              </w:rPr>
            </w:pPr>
            <w:r>
              <w:rPr>
                <w:sz w:val="14"/>
                <w:szCs w:val="14"/>
              </w:rPr>
              <w:t>1 612</w:t>
            </w:r>
          </w:p>
        </w:tc>
        <w:tc>
          <w:tcPr>
            <w:tcW w:w="57" w:type="dxa"/>
            <w:tcBorders>
              <w:top w:val="nil"/>
              <w:left w:val="nil"/>
              <w:bottom w:val="nil"/>
              <w:right w:val="nil"/>
            </w:tcBorders>
            <w:shd w:val="clear" w:color="auto" w:fill="auto"/>
            <w:vAlign w:val="center"/>
          </w:tcPr>
          <w:p w14:paraId="552E038B" w14:textId="77777777" w:rsidR="008E2DAE" w:rsidRPr="002F446E" w:rsidRDefault="008E2DAE" w:rsidP="008E2DAE">
            <w:pPr>
              <w:pStyle w:val="TableParagraph"/>
              <w:keepNext/>
              <w:spacing w:before="100" w:beforeAutospacing="1" w:after="100" w:afterAutospacing="1"/>
              <w:ind w:left="1" w:right="537"/>
              <w:jc w:val="right"/>
              <w:rPr>
                <w:sz w:val="14"/>
                <w:szCs w:val="14"/>
              </w:rPr>
            </w:pPr>
          </w:p>
        </w:tc>
        <w:tc>
          <w:tcPr>
            <w:tcW w:w="1417" w:type="dxa"/>
            <w:tcBorders>
              <w:top w:val="nil"/>
              <w:left w:val="nil"/>
              <w:bottom w:val="nil"/>
              <w:right w:val="nil"/>
            </w:tcBorders>
            <w:shd w:val="clear" w:color="auto" w:fill="auto"/>
            <w:vAlign w:val="center"/>
          </w:tcPr>
          <w:p w14:paraId="614ACFE6" w14:textId="1E92B4A3" w:rsidR="008E2DAE" w:rsidRPr="00E762E2" w:rsidRDefault="008E2DAE" w:rsidP="008E2DAE">
            <w:pPr>
              <w:keepNext/>
              <w:widowControl w:val="0"/>
              <w:spacing w:before="100" w:beforeAutospacing="1" w:after="100" w:afterAutospacing="1"/>
              <w:ind w:right="452"/>
              <w:jc w:val="right"/>
              <w:rPr>
                <w:rFonts w:eastAsia="Arial" w:cs="Arial"/>
                <w:sz w:val="14"/>
                <w:szCs w:val="14"/>
              </w:rPr>
            </w:pPr>
            <w:r w:rsidRPr="00E762E2">
              <w:rPr>
                <w:rFonts w:eastAsia="Arial" w:cs="Arial"/>
                <w:sz w:val="14"/>
                <w:szCs w:val="14"/>
              </w:rPr>
              <w:t>+7</w:t>
            </w:r>
            <w:r>
              <w:rPr>
                <w:rFonts w:eastAsia="Arial" w:cs="Arial"/>
                <w:sz w:val="14"/>
                <w:szCs w:val="14"/>
              </w:rPr>
              <w:t>,</w:t>
            </w:r>
            <w:r w:rsidRPr="00E762E2">
              <w:rPr>
                <w:rFonts w:eastAsia="Arial" w:cs="Arial"/>
                <w:sz w:val="14"/>
                <w:szCs w:val="14"/>
              </w:rPr>
              <w:t>6%</w:t>
            </w:r>
          </w:p>
        </w:tc>
        <w:tc>
          <w:tcPr>
            <w:tcW w:w="1417" w:type="dxa"/>
            <w:tcBorders>
              <w:top w:val="nil"/>
              <w:left w:val="nil"/>
              <w:bottom w:val="nil"/>
              <w:right w:val="nil"/>
            </w:tcBorders>
            <w:shd w:val="clear" w:color="auto" w:fill="auto"/>
            <w:vAlign w:val="center"/>
          </w:tcPr>
          <w:p w14:paraId="0E1693AF" w14:textId="185D161F" w:rsidR="008E2DAE" w:rsidRPr="00E762E2" w:rsidRDefault="008E2DAE" w:rsidP="008E2DAE">
            <w:pPr>
              <w:keepNext/>
              <w:widowControl w:val="0"/>
              <w:spacing w:before="100" w:beforeAutospacing="1" w:after="100" w:afterAutospacing="1"/>
              <w:ind w:right="452"/>
              <w:jc w:val="right"/>
              <w:rPr>
                <w:rFonts w:eastAsia="Arial" w:cs="Arial"/>
                <w:sz w:val="14"/>
                <w:szCs w:val="14"/>
              </w:rPr>
            </w:pPr>
            <w:r w:rsidRPr="00E762E2">
              <w:rPr>
                <w:rFonts w:eastAsia="Arial" w:cs="Arial"/>
                <w:sz w:val="14"/>
                <w:szCs w:val="14"/>
              </w:rPr>
              <w:t>+7</w:t>
            </w:r>
            <w:r>
              <w:rPr>
                <w:rFonts w:eastAsia="Arial" w:cs="Arial"/>
                <w:sz w:val="14"/>
                <w:szCs w:val="14"/>
              </w:rPr>
              <w:t>,</w:t>
            </w:r>
            <w:r w:rsidRPr="00E762E2">
              <w:rPr>
                <w:rFonts w:eastAsia="Arial" w:cs="Arial"/>
                <w:sz w:val="14"/>
                <w:szCs w:val="14"/>
              </w:rPr>
              <w:t>6%</w:t>
            </w:r>
          </w:p>
        </w:tc>
        <w:tc>
          <w:tcPr>
            <w:tcW w:w="57" w:type="dxa"/>
            <w:tcBorders>
              <w:top w:val="nil"/>
              <w:left w:val="nil"/>
              <w:bottom w:val="nil"/>
              <w:right w:val="nil"/>
            </w:tcBorders>
            <w:shd w:val="clear" w:color="auto" w:fill="auto"/>
            <w:vAlign w:val="center"/>
          </w:tcPr>
          <w:p w14:paraId="132C4DFC" w14:textId="77777777" w:rsidR="008E2DAE" w:rsidRPr="002F446E" w:rsidRDefault="008E2DAE" w:rsidP="008E2DAE">
            <w:pPr>
              <w:pStyle w:val="TableParagraph"/>
              <w:keepNext/>
              <w:spacing w:before="100" w:beforeAutospacing="1" w:after="100" w:afterAutospacing="1"/>
              <w:ind w:left="1" w:right="537"/>
              <w:jc w:val="right"/>
              <w:rPr>
                <w:sz w:val="14"/>
                <w:szCs w:val="14"/>
              </w:rPr>
            </w:pPr>
          </w:p>
        </w:tc>
        <w:tc>
          <w:tcPr>
            <w:tcW w:w="1417" w:type="dxa"/>
            <w:tcBorders>
              <w:top w:val="nil"/>
              <w:left w:val="nil"/>
              <w:bottom w:val="nil"/>
              <w:right w:val="nil"/>
            </w:tcBorders>
            <w:shd w:val="clear" w:color="auto" w:fill="auto"/>
            <w:vAlign w:val="center"/>
          </w:tcPr>
          <w:p w14:paraId="25B872DF" w14:textId="7B67BE7D" w:rsidR="008E2DAE" w:rsidRPr="002F446E" w:rsidRDefault="008E2DAE" w:rsidP="008E2DAE">
            <w:pPr>
              <w:keepNext/>
              <w:widowControl w:val="0"/>
              <w:spacing w:before="100" w:beforeAutospacing="1" w:after="100" w:afterAutospacing="1"/>
              <w:ind w:right="452"/>
              <w:jc w:val="right"/>
              <w:rPr>
                <w:rFonts w:eastAsia="Arial" w:cs="Arial"/>
                <w:sz w:val="14"/>
                <w:szCs w:val="14"/>
              </w:rPr>
            </w:pPr>
            <w:r w:rsidRPr="002F446E">
              <w:rPr>
                <w:rFonts w:eastAsia="Arial" w:cs="Arial"/>
                <w:sz w:val="14"/>
                <w:szCs w:val="14"/>
              </w:rPr>
              <w:t>9,6%</w:t>
            </w:r>
          </w:p>
        </w:tc>
        <w:tc>
          <w:tcPr>
            <w:tcW w:w="1417" w:type="dxa"/>
            <w:tcBorders>
              <w:top w:val="nil"/>
              <w:left w:val="nil"/>
              <w:bottom w:val="nil"/>
              <w:right w:val="nil"/>
            </w:tcBorders>
            <w:shd w:val="clear" w:color="000000" w:fill="BBE7FF"/>
            <w:vAlign w:val="center"/>
          </w:tcPr>
          <w:p w14:paraId="301BA2F0" w14:textId="629E32B3" w:rsidR="008E2DAE" w:rsidRPr="008E2DAE" w:rsidRDefault="008E2DAE" w:rsidP="008E2DAE">
            <w:pPr>
              <w:keepNext/>
              <w:widowControl w:val="0"/>
              <w:spacing w:before="100" w:beforeAutospacing="1" w:after="100" w:afterAutospacing="1"/>
              <w:ind w:right="452"/>
              <w:jc w:val="right"/>
              <w:rPr>
                <w:rFonts w:eastAsia="Arial" w:cs="Arial"/>
                <w:sz w:val="14"/>
                <w:szCs w:val="14"/>
              </w:rPr>
            </w:pPr>
            <w:r w:rsidRPr="008E2DAE">
              <w:rPr>
                <w:rFonts w:ascii="Verdana" w:hAnsi="Verdana" w:cs="Calibri"/>
                <w:color w:val="000000"/>
                <w:sz w:val="14"/>
                <w:szCs w:val="14"/>
              </w:rPr>
              <w:t>6</w:t>
            </w:r>
            <w:r>
              <w:rPr>
                <w:rFonts w:ascii="Verdana" w:hAnsi="Verdana" w:cs="Calibri"/>
                <w:color w:val="000000"/>
                <w:sz w:val="14"/>
                <w:szCs w:val="14"/>
              </w:rPr>
              <w:t>,</w:t>
            </w:r>
            <w:r w:rsidRPr="008E2DAE">
              <w:rPr>
                <w:rFonts w:ascii="Verdana" w:hAnsi="Verdana" w:cs="Calibri"/>
                <w:color w:val="000000"/>
                <w:sz w:val="14"/>
                <w:szCs w:val="14"/>
              </w:rPr>
              <w:t>9%</w:t>
            </w:r>
          </w:p>
        </w:tc>
      </w:tr>
      <w:tr w:rsidR="008E2DAE" w:rsidRPr="002F446E" w14:paraId="2261B293" w14:textId="77777777" w:rsidTr="00020B44">
        <w:trPr>
          <w:trHeight w:val="227"/>
          <w:jc w:val="center"/>
        </w:trPr>
        <w:tc>
          <w:tcPr>
            <w:tcW w:w="2948" w:type="dxa"/>
            <w:vAlign w:val="center"/>
          </w:tcPr>
          <w:p w14:paraId="4492036C" w14:textId="77777777" w:rsidR="008E2DAE" w:rsidRPr="002F446E" w:rsidRDefault="008E2DAE" w:rsidP="008E2DAE">
            <w:pPr>
              <w:pStyle w:val="TableParagraph"/>
              <w:keepNext/>
              <w:spacing w:before="100" w:beforeAutospacing="1" w:after="100" w:afterAutospacing="1"/>
              <w:ind w:left="142"/>
              <w:rPr>
                <w:sz w:val="14"/>
                <w:szCs w:val="14"/>
                <w:lang w:val="fr-FR"/>
              </w:rPr>
            </w:pPr>
            <w:r w:rsidRPr="002F446E">
              <w:rPr>
                <w:sz w:val="14"/>
                <w:szCs w:val="14"/>
                <w:lang w:val="fr-FR"/>
              </w:rPr>
              <w:t>Reste de l’Europe</w:t>
            </w:r>
          </w:p>
        </w:tc>
        <w:tc>
          <w:tcPr>
            <w:tcW w:w="1361" w:type="dxa"/>
            <w:tcBorders>
              <w:top w:val="nil"/>
              <w:left w:val="nil"/>
              <w:bottom w:val="nil"/>
              <w:right w:val="nil"/>
            </w:tcBorders>
            <w:shd w:val="clear" w:color="000000" w:fill="BBE7FF"/>
            <w:vAlign w:val="center"/>
          </w:tcPr>
          <w:p w14:paraId="309A259F" w14:textId="7C00E989" w:rsidR="008E2DAE" w:rsidRPr="002F446E" w:rsidRDefault="008E2DAE" w:rsidP="008E2DAE">
            <w:pPr>
              <w:pStyle w:val="TableParagraph"/>
              <w:keepNext/>
              <w:spacing w:before="100" w:beforeAutospacing="1" w:after="100" w:afterAutospacing="1"/>
              <w:ind w:left="1" w:right="481"/>
              <w:jc w:val="right"/>
              <w:rPr>
                <w:sz w:val="14"/>
                <w:szCs w:val="14"/>
              </w:rPr>
            </w:pPr>
            <w:r>
              <w:rPr>
                <w:sz w:val="14"/>
                <w:szCs w:val="14"/>
              </w:rPr>
              <w:t>2 172</w:t>
            </w:r>
          </w:p>
        </w:tc>
        <w:tc>
          <w:tcPr>
            <w:tcW w:w="57" w:type="dxa"/>
            <w:tcBorders>
              <w:top w:val="nil"/>
              <w:left w:val="nil"/>
              <w:bottom w:val="nil"/>
              <w:right w:val="nil"/>
            </w:tcBorders>
            <w:shd w:val="clear" w:color="auto" w:fill="auto"/>
            <w:vAlign w:val="center"/>
          </w:tcPr>
          <w:p w14:paraId="24A20102" w14:textId="77777777" w:rsidR="008E2DAE" w:rsidRPr="002F446E" w:rsidRDefault="008E2DAE" w:rsidP="008E2DAE">
            <w:pPr>
              <w:pStyle w:val="TableParagraph"/>
              <w:keepNext/>
              <w:spacing w:before="100" w:beforeAutospacing="1" w:after="100" w:afterAutospacing="1"/>
              <w:ind w:left="1" w:right="537"/>
              <w:jc w:val="right"/>
              <w:rPr>
                <w:sz w:val="14"/>
                <w:szCs w:val="14"/>
              </w:rPr>
            </w:pPr>
          </w:p>
        </w:tc>
        <w:tc>
          <w:tcPr>
            <w:tcW w:w="1417" w:type="dxa"/>
            <w:tcBorders>
              <w:top w:val="nil"/>
              <w:left w:val="nil"/>
              <w:bottom w:val="nil"/>
              <w:right w:val="nil"/>
            </w:tcBorders>
            <w:shd w:val="clear" w:color="auto" w:fill="auto"/>
            <w:vAlign w:val="center"/>
          </w:tcPr>
          <w:p w14:paraId="760D5EB3" w14:textId="46E8ED32" w:rsidR="008E2DAE" w:rsidRPr="00E762E2" w:rsidRDefault="008E2DAE" w:rsidP="008E2DAE">
            <w:pPr>
              <w:keepNext/>
              <w:widowControl w:val="0"/>
              <w:spacing w:before="100" w:beforeAutospacing="1" w:after="100" w:afterAutospacing="1"/>
              <w:ind w:right="452"/>
              <w:jc w:val="right"/>
              <w:rPr>
                <w:rFonts w:eastAsia="Arial" w:cs="Arial"/>
                <w:sz w:val="14"/>
                <w:szCs w:val="14"/>
              </w:rPr>
            </w:pPr>
            <w:r w:rsidRPr="00E762E2">
              <w:rPr>
                <w:rFonts w:eastAsia="Arial" w:cs="Arial"/>
                <w:sz w:val="14"/>
                <w:szCs w:val="14"/>
              </w:rPr>
              <w:t>+14</w:t>
            </w:r>
            <w:r>
              <w:rPr>
                <w:rFonts w:eastAsia="Arial" w:cs="Arial"/>
                <w:sz w:val="14"/>
                <w:szCs w:val="14"/>
              </w:rPr>
              <w:t>,</w:t>
            </w:r>
            <w:r w:rsidRPr="00E762E2">
              <w:rPr>
                <w:rFonts w:eastAsia="Arial" w:cs="Arial"/>
                <w:sz w:val="14"/>
                <w:szCs w:val="14"/>
              </w:rPr>
              <w:t>4%</w:t>
            </w:r>
          </w:p>
        </w:tc>
        <w:tc>
          <w:tcPr>
            <w:tcW w:w="1417" w:type="dxa"/>
            <w:tcBorders>
              <w:top w:val="nil"/>
              <w:left w:val="nil"/>
              <w:bottom w:val="nil"/>
              <w:right w:val="nil"/>
            </w:tcBorders>
            <w:shd w:val="clear" w:color="auto" w:fill="auto"/>
            <w:vAlign w:val="center"/>
          </w:tcPr>
          <w:p w14:paraId="79F6E2F9" w14:textId="6D6D4442" w:rsidR="008E2DAE" w:rsidRPr="00E762E2" w:rsidRDefault="008E2DAE" w:rsidP="008E2DAE">
            <w:pPr>
              <w:keepNext/>
              <w:widowControl w:val="0"/>
              <w:spacing w:before="100" w:beforeAutospacing="1" w:after="100" w:afterAutospacing="1"/>
              <w:ind w:right="452"/>
              <w:jc w:val="right"/>
              <w:rPr>
                <w:rFonts w:eastAsia="Arial" w:cs="Arial"/>
                <w:sz w:val="14"/>
                <w:szCs w:val="14"/>
              </w:rPr>
            </w:pPr>
            <w:r w:rsidRPr="00E762E2">
              <w:rPr>
                <w:rFonts w:eastAsia="Arial" w:cs="Arial"/>
                <w:sz w:val="14"/>
                <w:szCs w:val="14"/>
              </w:rPr>
              <w:t>+15</w:t>
            </w:r>
            <w:r>
              <w:rPr>
                <w:rFonts w:eastAsia="Arial" w:cs="Arial"/>
                <w:sz w:val="14"/>
                <w:szCs w:val="14"/>
              </w:rPr>
              <w:t>,</w:t>
            </w:r>
            <w:r w:rsidRPr="00E762E2">
              <w:rPr>
                <w:rFonts w:eastAsia="Arial" w:cs="Arial"/>
                <w:sz w:val="14"/>
                <w:szCs w:val="14"/>
              </w:rPr>
              <w:t>1%</w:t>
            </w:r>
          </w:p>
        </w:tc>
        <w:tc>
          <w:tcPr>
            <w:tcW w:w="57" w:type="dxa"/>
            <w:tcBorders>
              <w:top w:val="nil"/>
              <w:left w:val="nil"/>
              <w:bottom w:val="nil"/>
              <w:right w:val="nil"/>
            </w:tcBorders>
            <w:shd w:val="clear" w:color="auto" w:fill="auto"/>
            <w:vAlign w:val="center"/>
          </w:tcPr>
          <w:p w14:paraId="0F6E64AB" w14:textId="77777777" w:rsidR="008E2DAE" w:rsidRPr="002F446E" w:rsidRDefault="008E2DAE" w:rsidP="008E2DAE">
            <w:pPr>
              <w:pStyle w:val="TableParagraph"/>
              <w:keepNext/>
              <w:spacing w:before="100" w:beforeAutospacing="1" w:after="100" w:afterAutospacing="1"/>
              <w:ind w:left="1" w:right="537"/>
              <w:jc w:val="right"/>
              <w:rPr>
                <w:sz w:val="14"/>
                <w:szCs w:val="14"/>
              </w:rPr>
            </w:pPr>
          </w:p>
        </w:tc>
        <w:tc>
          <w:tcPr>
            <w:tcW w:w="1417" w:type="dxa"/>
            <w:tcBorders>
              <w:top w:val="nil"/>
              <w:left w:val="nil"/>
              <w:bottom w:val="nil"/>
              <w:right w:val="nil"/>
            </w:tcBorders>
            <w:shd w:val="clear" w:color="auto" w:fill="auto"/>
            <w:vAlign w:val="center"/>
          </w:tcPr>
          <w:p w14:paraId="1918B17D" w14:textId="6672B506" w:rsidR="008E2DAE" w:rsidRPr="002F446E" w:rsidRDefault="008E2DAE" w:rsidP="008E2DAE">
            <w:pPr>
              <w:keepNext/>
              <w:widowControl w:val="0"/>
              <w:spacing w:before="100" w:beforeAutospacing="1" w:after="100" w:afterAutospacing="1"/>
              <w:ind w:right="452"/>
              <w:jc w:val="right"/>
              <w:rPr>
                <w:rFonts w:eastAsia="Arial" w:cs="Arial"/>
                <w:sz w:val="14"/>
                <w:szCs w:val="14"/>
              </w:rPr>
            </w:pPr>
            <w:r w:rsidRPr="002F446E">
              <w:rPr>
                <w:rFonts w:eastAsia="Arial" w:cs="Arial"/>
                <w:sz w:val="14"/>
                <w:szCs w:val="14"/>
              </w:rPr>
              <w:t>11,3%</w:t>
            </w:r>
          </w:p>
        </w:tc>
        <w:tc>
          <w:tcPr>
            <w:tcW w:w="1417" w:type="dxa"/>
            <w:tcBorders>
              <w:top w:val="nil"/>
              <w:left w:val="nil"/>
              <w:bottom w:val="nil"/>
              <w:right w:val="nil"/>
            </w:tcBorders>
            <w:shd w:val="clear" w:color="000000" w:fill="BBE7FF"/>
            <w:vAlign w:val="center"/>
          </w:tcPr>
          <w:p w14:paraId="635DD92E" w14:textId="65C2B759" w:rsidR="008E2DAE" w:rsidRPr="008E2DAE" w:rsidRDefault="008E2DAE" w:rsidP="008E2DAE">
            <w:pPr>
              <w:keepNext/>
              <w:widowControl w:val="0"/>
              <w:spacing w:before="100" w:beforeAutospacing="1" w:after="100" w:afterAutospacing="1"/>
              <w:ind w:right="452"/>
              <w:jc w:val="right"/>
              <w:rPr>
                <w:rFonts w:eastAsia="Arial" w:cs="Arial"/>
                <w:sz w:val="14"/>
                <w:szCs w:val="14"/>
              </w:rPr>
            </w:pPr>
            <w:r w:rsidRPr="008E2DAE">
              <w:rPr>
                <w:rFonts w:ascii="Verdana" w:hAnsi="Verdana" w:cs="Calibri"/>
                <w:color w:val="000000"/>
                <w:sz w:val="14"/>
                <w:szCs w:val="14"/>
              </w:rPr>
              <w:t>10</w:t>
            </w:r>
            <w:r>
              <w:rPr>
                <w:rFonts w:ascii="Verdana" w:hAnsi="Verdana" w:cs="Calibri"/>
                <w:color w:val="000000"/>
                <w:sz w:val="14"/>
                <w:szCs w:val="14"/>
              </w:rPr>
              <w:t>,</w:t>
            </w:r>
            <w:r w:rsidRPr="008E2DAE">
              <w:rPr>
                <w:rFonts w:ascii="Verdana" w:hAnsi="Verdana" w:cs="Calibri"/>
                <w:color w:val="000000"/>
                <w:sz w:val="14"/>
                <w:szCs w:val="14"/>
              </w:rPr>
              <w:t>2%</w:t>
            </w:r>
          </w:p>
        </w:tc>
      </w:tr>
      <w:tr w:rsidR="008E2DAE" w:rsidRPr="002F446E" w14:paraId="4AA2C558" w14:textId="77777777" w:rsidTr="00020B44">
        <w:trPr>
          <w:trHeight w:val="227"/>
          <w:jc w:val="center"/>
        </w:trPr>
        <w:tc>
          <w:tcPr>
            <w:tcW w:w="2948" w:type="dxa"/>
            <w:tcBorders>
              <w:bottom w:val="single" w:sz="8" w:space="0" w:color="0070AD" w:themeColor="accent1"/>
            </w:tcBorders>
            <w:vAlign w:val="center"/>
          </w:tcPr>
          <w:p w14:paraId="190C645B" w14:textId="049B49A7" w:rsidR="008E2DAE" w:rsidRPr="002F446E" w:rsidRDefault="008E2DAE" w:rsidP="008E2DAE">
            <w:pPr>
              <w:pStyle w:val="TableParagraph"/>
              <w:keepNext/>
              <w:spacing w:before="100" w:beforeAutospacing="1" w:after="100" w:afterAutospacing="1"/>
              <w:ind w:left="142"/>
              <w:rPr>
                <w:sz w:val="14"/>
                <w:szCs w:val="14"/>
                <w:lang w:val="fr-FR"/>
              </w:rPr>
            </w:pPr>
            <w:r w:rsidRPr="002F446E">
              <w:rPr>
                <w:sz w:val="14"/>
                <w:szCs w:val="14"/>
                <w:lang w:val="fr-FR"/>
              </w:rPr>
              <w:t>Asie</w:t>
            </w:r>
            <w:r w:rsidR="006E63F9">
              <w:rPr>
                <w:sz w:val="14"/>
                <w:szCs w:val="14"/>
                <w:lang w:val="fr-FR"/>
              </w:rPr>
              <w:t>-</w:t>
            </w:r>
            <w:r w:rsidRPr="002F446E">
              <w:rPr>
                <w:sz w:val="14"/>
                <w:szCs w:val="14"/>
                <w:lang w:val="fr-FR"/>
              </w:rPr>
              <w:t>Pacifique et Amérique latine</w:t>
            </w:r>
          </w:p>
        </w:tc>
        <w:tc>
          <w:tcPr>
            <w:tcW w:w="1361" w:type="dxa"/>
            <w:tcBorders>
              <w:top w:val="nil"/>
              <w:left w:val="nil"/>
              <w:bottom w:val="single" w:sz="8" w:space="0" w:color="0070AD"/>
              <w:right w:val="nil"/>
            </w:tcBorders>
            <w:shd w:val="clear" w:color="000000" w:fill="BBE7FF"/>
            <w:vAlign w:val="center"/>
          </w:tcPr>
          <w:p w14:paraId="0B72BE52" w14:textId="421C6459" w:rsidR="008E2DAE" w:rsidRPr="00C969CD" w:rsidRDefault="008E2DAE" w:rsidP="008E2DAE">
            <w:pPr>
              <w:pStyle w:val="TableParagraph"/>
              <w:keepNext/>
              <w:spacing w:before="100" w:beforeAutospacing="1" w:after="100" w:afterAutospacing="1"/>
              <w:ind w:left="1" w:right="481"/>
              <w:jc w:val="right"/>
              <w:rPr>
                <w:sz w:val="14"/>
                <w:szCs w:val="14"/>
                <w:lang w:val="fr-FR"/>
              </w:rPr>
            </w:pPr>
            <w:r>
              <w:rPr>
                <w:sz w:val="14"/>
                <w:szCs w:val="14"/>
                <w:lang w:val="fr-FR"/>
              </w:rPr>
              <w:t>544</w:t>
            </w:r>
          </w:p>
        </w:tc>
        <w:tc>
          <w:tcPr>
            <w:tcW w:w="57" w:type="dxa"/>
            <w:tcBorders>
              <w:top w:val="nil"/>
              <w:left w:val="nil"/>
              <w:bottom w:val="single" w:sz="8" w:space="0" w:color="0070AD"/>
              <w:right w:val="nil"/>
            </w:tcBorders>
            <w:shd w:val="clear" w:color="auto" w:fill="auto"/>
            <w:vAlign w:val="center"/>
          </w:tcPr>
          <w:p w14:paraId="4BFBF94D" w14:textId="77777777" w:rsidR="008E2DAE" w:rsidRPr="00C969CD" w:rsidRDefault="008E2DAE" w:rsidP="008E2DAE">
            <w:pPr>
              <w:pStyle w:val="TableParagraph"/>
              <w:keepNext/>
              <w:spacing w:before="100" w:beforeAutospacing="1" w:after="100" w:afterAutospacing="1"/>
              <w:ind w:left="1" w:right="537"/>
              <w:jc w:val="right"/>
              <w:rPr>
                <w:sz w:val="14"/>
                <w:szCs w:val="14"/>
                <w:lang w:val="fr-FR"/>
              </w:rPr>
            </w:pPr>
            <w:r w:rsidRPr="00C969CD">
              <w:rPr>
                <w:sz w:val="14"/>
                <w:szCs w:val="14"/>
                <w:lang w:val="fr-FR"/>
              </w:rPr>
              <w:t> </w:t>
            </w:r>
          </w:p>
        </w:tc>
        <w:tc>
          <w:tcPr>
            <w:tcW w:w="1417" w:type="dxa"/>
            <w:tcBorders>
              <w:top w:val="nil"/>
              <w:left w:val="nil"/>
              <w:bottom w:val="single" w:sz="8" w:space="0" w:color="0070AD"/>
              <w:right w:val="nil"/>
            </w:tcBorders>
            <w:shd w:val="clear" w:color="auto" w:fill="auto"/>
            <w:vAlign w:val="center"/>
          </w:tcPr>
          <w:p w14:paraId="1C97CA94" w14:textId="267519EA" w:rsidR="008E2DAE" w:rsidRPr="00E762E2" w:rsidRDefault="008E2DAE" w:rsidP="008E2DAE">
            <w:pPr>
              <w:keepNext/>
              <w:widowControl w:val="0"/>
              <w:spacing w:before="100" w:beforeAutospacing="1" w:after="100" w:afterAutospacing="1"/>
              <w:ind w:right="452"/>
              <w:jc w:val="right"/>
              <w:rPr>
                <w:rFonts w:eastAsia="Arial" w:cs="Arial"/>
                <w:sz w:val="14"/>
                <w:szCs w:val="14"/>
              </w:rPr>
            </w:pPr>
            <w:r w:rsidRPr="00E762E2">
              <w:rPr>
                <w:rFonts w:eastAsia="Arial" w:cs="Arial"/>
                <w:sz w:val="14"/>
                <w:szCs w:val="14"/>
              </w:rPr>
              <w:t>+5</w:t>
            </w:r>
            <w:r>
              <w:rPr>
                <w:rFonts w:eastAsia="Arial" w:cs="Arial"/>
                <w:sz w:val="14"/>
                <w:szCs w:val="14"/>
              </w:rPr>
              <w:t>,</w:t>
            </w:r>
            <w:r w:rsidRPr="00E762E2">
              <w:rPr>
                <w:rFonts w:eastAsia="Arial" w:cs="Arial"/>
                <w:sz w:val="14"/>
                <w:szCs w:val="14"/>
              </w:rPr>
              <w:t>8%</w:t>
            </w:r>
          </w:p>
        </w:tc>
        <w:tc>
          <w:tcPr>
            <w:tcW w:w="1417" w:type="dxa"/>
            <w:tcBorders>
              <w:top w:val="nil"/>
              <w:left w:val="nil"/>
              <w:bottom w:val="single" w:sz="8" w:space="0" w:color="0070AD"/>
              <w:right w:val="nil"/>
            </w:tcBorders>
            <w:shd w:val="clear" w:color="auto" w:fill="auto"/>
            <w:vAlign w:val="center"/>
          </w:tcPr>
          <w:p w14:paraId="06434DCF" w14:textId="607B4A42" w:rsidR="008E2DAE" w:rsidRPr="00E762E2" w:rsidRDefault="008E2DAE" w:rsidP="008E2DAE">
            <w:pPr>
              <w:keepNext/>
              <w:widowControl w:val="0"/>
              <w:spacing w:before="100" w:beforeAutospacing="1" w:after="100" w:afterAutospacing="1"/>
              <w:ind w:right="452"/>
              <w:jc w:val="right"/>
              <w:rPr>
                <w:rFonts w:eastAsia="Arial" w:cs="Arial"/>
                <w:sz w:val="14"/>
                <w:szCs w:val="14"/>
              </w:rPr>
            </w:pPr>
            <w:r w:rsidRPr="00E762E2">
              <w:rPr>
                <w:rFonts w:eastAsia="Arial" w:cs="Arial"/>
                <w:sz w:val="14"/>
                <w:szCs w:val="14"/>
              </w:rPr>
              <w:t>+11</w:t>
            </w:r>
            <w:r>
              <w:rPr>
                <w:rFonts w:eastAsia="Arial" w:cs="Arial"/>
                <w:sz w:val="14"/>
                <w:szCs w:val="14"/>
              </w:rPr>
              <w:t>,</w:t>
            </w:r>
            <w:r w:rsidRPr="00E762E2">
              <w:rPr>
                <w:rFonts w:eastAsia="Arial" w:cs="Arial"/>
                <w:sz w:val="14"/>
                <w:szCs w:val="14"/>
              </w:rPr>
              <w:t>4%</w:t>
            </w:r>
          </w:p>
        </w:tc>
        <w:tc>
          <w:tcPr>
            <w:tcW w:w="57" w:type="dxa"/>
            <w:tcBorders>
              <w:top w:val="nil"/>
              <w:left w:val="nil"/>
              <w:bottom w:val="single" w:sz="8" w:space="0" w:color="0070AD"/>
              <w:right w:val="nil"/>
            </w:tcBorders>
            <w:shd w:val="clear" w:color="auto" w:fill="auto"/>
            <w:vAlign w:val="center"/>
          </w:tcPr>
          <w:p w14:paraId="5F0CC0F5" w14:textId="77777777" w:rsidR="008E2DAE" w:rsidRPr="00C969CD" w:rsidRDefault="008E2DAE" w:rsidP="008E2DAE">
            <w:pPr>
              <w:pStyle w:val="TableParagraph"/>
              <w:keepNext/>
              <w:spacing w:before="100" w:beforeAutospacing="1" w:after="100" w:afterAutospacing="1"/>
              <w:ind w:left="1" w:right="537"/>
              <w:jc w:val="right"/>
              <w:rPr>
                <w:sz w:val="14"/>
                <w:szCs w:val="14"/>
                <w:lang w:val="fr-FR"/>
              </w:rPr>
            </w:pPr>
            <w:r w:rsidRPr="00C969CD">
              <w:rPr>
                <w:sz w:val="14"/>
                <w:szCs w:val="14"/>
                <w:lang w:val="fr-FR"/>
              </w:rPr>
              <w:t> </w:t>
            </w:r>
          </w:p>
        </w:tc>
        <w:tc>
          <w:tcPr>
            <w:tcW w:w="1417" w:type="dxa"/>
            <w:tcBorders>
              <w:top w:val="nil"/>
              <w:left w:val="nil"/>
              <w:bottom w:val="single" w:sz="8" w:space="0" w:color="0070AD"/>
              <w:right w:val="nil"/>
            </w:tcBorders>
            <w:shd w:val="clear" w:color="auto" w:fill="auto"/>
            <w:vAlign w:val="center"/>
          </w:tcPr>
          <w:p w14:paraId="07537124" w14:textId="259EFE95" w:rsidR="008E2DAE" w:rsidRPr="002F446E" w:rsidRDefault="008E2DAE" w:rsidP="008E2DAE">
            <w:pPr>
              <w:keepNext/>
              <w:widowControl w:val="0"/>
              <w:spacing w:before="100" w:beforeAutospacing="1" w:after="100" w:afterAutospacing="1"/>
              <w:ind w:right="452"/>
              <w:jc w:val="right"/>
              <w:rPr>
                <w:rFonts w:eastAsia="Arial" w:cs="Arial"/>
                <w:sz w:val="14"/>
                <w:szCs w:val="14"/>
              </w:rPr>
            </w:pPr>
            <w:r w:rsidRPr="002F446E">
              <w:rPr>
                <w:rFonts w:eastAsia="Arial" w:cs="Arial"/>
                <w:sz w:val="14"/>
                <w:szCs w:val="14"/>
              </w:rPr>
              <w:t>11,4%</w:t>
            </w:r>
          </w:p>
        </w:tc>
        <w:tc>
          <w:tcPr>
            <w:tcW w:w="1417" w:type="dxa"/>
            <w:tcBorders>
              <w:top w:val="nil"/>
              <w:left w:val="nil"/>
              <w:bottom w:val="single" w:sz="8" w:space="0" w:color="0070AD"/>
              <w:right w:val="nil"/>
            </w:tcBorders>
            <w:shd w:val="clear" w:color="000000" w:fill="BBE7FF"/>
            <w:vAlign w:val="center"/>
          </w:tcPr>
          <w:p w14:paraId="27282867" w14:textId="0C060B5C" w:rsidR="008E2DAE" w:rsidRPr="008E2DAE" w:rsidRDefault="008E2DAE" w:rsidP="008E2DAE">
            <w:pPr>
              <w:keepNext/>
              <w:widowControl w:val="0"/>
              <w:spacing w:before="100" w:beforeAutospacing="1" w:after="100" w:afterAutospacing="1"/>
              <w:ind w:right="452"/>
              <w:jc w:val="right"/>
              <w:rPr>
                <w:rFonts w:eastAsia="Arial" w:cs="Arial"/>
                <w:sz w:val="14"/>
                <w:szCs w:val="14"/>
              </w:rPr>
            </w:pPr>
            <w:r w:rsidRPr="008E2DAE">
              <w:rPr>
                <w:rFonts w:ascii="Verdana" w:hAnsi="Verdana" w:cs="Calibri"/>
                <w:color w:val="000000"/>
                <w:sz w:val="14"/>
                <w:szCs w:val="14"/>
              </w:rPr>
              <w:t>10</w:t>
            </w:r>
            <w:r>
              <w:rPr>
                <w:rFonts w:ascii="Verdana" w:hAnsi="Verdana" w:cs="Calibri"/>
                <w:color w:val="000000"/>
                <w:sz w:val="14"/>
                <w:szCs w:val="14"/>
              </w:rPr>
              <w:t>,</w:t>
            </w:r>
            <w:r w:rsidRPr="008E2DAE">
              <w:rPr>
                <w:rFonts w:ascii="Verdana" w:hAnsi="Verdana" w:cs="Calibri"/>
                <w:color w:val="000000"/>
                <w:sz w:val="14"/>
                <w:szCs w:val="14"/>
              </w:rPr>
              <w:t>5%</w:t>
            </w:r>
          </w:p>
        </w:tc>
      </w:tr>
      <w:tr w:rsidR="008E2DAE" w:rsidRPr="002F446E" w14:paraId="2AFC0284" w14:textId="77777777" w:rsidTr="00020B44">
        <w:trPr>
          <w:trHeight w:val="227"/>
          <w:jc w:val="center"/>
        </w:trPr>
        <w:tc>
          <w:tcPr>
            <w:tcW w:w="2948" w:type="dxa"/>
            <w:tcBorders>
              <w:top w:val="single" w:sz="8" w:space="0" w:color="0070AD" w:themeColor="accent1"/>
              <w:bottom w:val="single" w:sz="8" w:space="0" w:color="0070AD" w:themeColor="accent1"/>
            </w:tcBorders>
            <w:vAlign w:val="center"/>
          </w:tcPr>
          <w:p w14:paraId="61799736" w14:textId="77777777" w:rsidR="008E2DAE" w:rsidRPr="002F446E" w:rsidRDefault="008E2DAE" w:rsidP="008E2DAE">
            <w:pPr>
              <w:pStyle w:val="TableParagraph"/>
              <w:keepNext/>
              <w:spacing w:before="100" w:beforeAutospacing="1" w:after="100" w:afterAutospacing="1"/>
              <w:ind w:left="63"/>
              <w:rPr>
                <w:b/>
                <w:color w:val="0070AD" w:themeColor="accent1"/>
                <w:sz w:val="14"/>
                <w:szCs w:val="14"/>
                <w:lang w:val="fr-FR"/>
              </w:rPr>
            </w:pPr>
            <w:r w:rsidRPr="002F446E">
              <w:rPr>
                <w:b/>
                <w:color w:val="0070AD" w:themeColor="accent1"/>
                <w:sz w:val="14"/>
                <w:szCs w:val="14"/>
                <w:lang w:val="fr-FR"/>
              </w:rPr>
              <w:t>TOTAL</w:t>
            </w:r>
          </w:p>
        </w:tc>
        <w:tc>
          <w:tcPr>
            <w:tcW w:w="1361" w:type="dxa"/>
            <w:tcBorders>
              <w:top w:val="nil"/>
              <w:left w:val="nil"/>
              <w:bottom w:val="single" w:sz="8" w:space="0" w:color="0070AD"/>
              <w:right w:val="nil"/>
            </w:tcBorders>
            <w:shd w:val="clear" w:color="000000" w:fill="BBE7FF"/>
            <w:vAlign w:val="center"/>
          </w:tcPr>
          <w:p w14:paraId="10AACF15" w14:textId="21E48742" w:rsidR="008E2DAE" w:rsidRPr="002F446E" w:rsidRDefault="008E2DAE" w:rsidP="008E2DAE">
            <w:pPr>
              <w:pStyle w:val="TableParagraph"/>
              <w:keepNext/>
              <w:spacing w:before="100" w:beforeAutospacing="1" w:after="100" w:afterAutospacing="1"/>
              <w:ind w:left="1" w:right="481"/>
              <w:jc w:val="right"/>
              <w:rPr>
                <w:b/>
                <w:color w:val="0070AD" w:themeColor="accent1"/>
                <w:sz w:val="14"/>
                <w:szCs w:val="14"/>
              </w:rPr>
            </w:pPr>
            <w:r>
              <w:rPr>
                <w:rFonts w:ascii="Verdana" w:hAnsi="Verdana"/>
                <w:b/>
                <w:color w:val="0070AD" w:themeColor="accent1"/>
                <w:sz w:val="14"/>
                <w:szCs w:val="16"/>
                <w:lang w:val="fr-FR"/>
              </w:rPr>
              <w:t>7</w:t>
            </w:r>
            <w:r w:rsidR="00BA0A3A">
              <w:rPr>
                <w:rFonts w:ascii="Verdana" w:hAnsi="Verdana"/>
                <w:b/>
                <w:color w:val="0070AD" w:themeColor="accent1"/>
                <w:sz w:val="14"/>
                <w:szCs w:val="16"/>
                <w:lang w:val="fr-FR"/>
              </w:rPr>
              <w:t xml:space="preserve"> </w:t>
            </w:r>
            <w:r>
              <w:rPr>
                <w:rFonts w:ascii="Verdana" w:hAnsi="Verdana"/>
                <w:b/>
                <w:color w:val="0070AD" w:themeColor="accent1"/>
                <w:sz w:val="14"/>
                <w:szCs w:val="16"/>
                <w:lang w:val="fr-FR"/>
              </w:rPr>
              <w:t>581</w:t>
            </w:r>
          </w:p>
        </w:tc>
        <w:tc>
          <w:tcPr>
            <w:tcW w:w="57" w:type="dxa"/>
            <w:tcBorders>
              <w:top w:val="nil"/>
              <w:left w:val="nil"/>
              <w:bottom w:val="single" w:sz="8" w:space="0" w:color="0070AD"/>
              <w:right w:val="nil"/>
            </w:tcBorders>
            <w:shd w:val="clear" w:color="auto" w:fill="auto"/>
            <w:vAlign w:val="center"/>
          </w:tcPr>
          <w:p w14:paraId="03D711A7" w14:textId="77777777" w:rsidR="008E2DAE" w:rsidRPr="002F446E" w:rsidRDefault="008E2DAE" w:rsidP="008E2DAE">
            <w:pPr>
              <w:pStyle w:val="TableParagraph"/>
              <w:keepNext/>
              <w:spacing w:before="100" w:beforeAutospacing="1" w:after="100" w:afterAutospacing="1"/>
              <w:ind w:left="1" w:right="537"/>
              <w:jc w:val="right"/>
              <w:rPr>
                <w:b/>
                <w:color w:val="0070AD" w:themeColor="accent1"/>
                <w:sz w:val="14"/>
                <w:szCs w:val="14"/>
              </w:rPr>
            </w:pPr>
            <w:r w:rsidRPr="002F446E">
              <w:rPr>
                <w:b/>
                <w:color w:val="0070AD" w:themeColor="accent1"/>
                <w:sz w:val="14"/>
                <w:szCs w:val="14"/>
              </w:rPr>
              <w:t> </w:t>
            </w:r>
          </w:p>
        </w:tc>
        <w:tc>
          <w:tcPr>
            <w:tcW w:w="1417" w:type="dxa"/>
            <w:tcBorders>
              <w:top w:val="nil"/>
              <w:left w:val="nil"/>
              <w:bottom w:val="single" w:sz="8" w:space="0" w:color="0070AD"/>
              <w:right w:val="nil"/>
            </w:tcBorders>
            <w:shd w:val="clear" w:color="auto" w:fill="auto"/>
            <w:vAlign w:val="center"/>
          </w:tcPr>
          <w:p w14:paraId="6CCCEFE8" w14:textId="51BA8644" w:rsidR="008E2DAE" w:rsidRPr="00E762E2" w:rsidRDefault="008E2DAE" w:rsidP="008E2DAE">
            <w:pPr>
              <w:pStyle w:val="TableParagraph"/>
              <w:keepNext/>
              <w:spacing w:before="100" w:beforeAutospacing="1" w:after="100" w:afterAutospacing="1"/>
              <w:ind w:left="1" w:right="452"/>
              <w:jc w:val="right"/>
              <w:rPr>
                <w:b/>
                <w:color w:val="0070AD" w:themeColor="accent1"/>
                <w:sz w:val="14"/>
                <w:szCs w:val="14"/>
              </w:rPr>
            </w:pPr>
            <w:r w:rsidRPr="00E762E2">
              <w:rPr>
                <w:b/>
                <w:color w:val="0070AD" w:themeColor="accent1"/>
                <w:sz w:val="14"/>
                <w:szCs w:val="14"/>
              </w:rPr>
              <w:t>+8</w:t>
            </w:r>
            <w:r>
              <w:rPr>
                <w:b/>
                <w:color w:val="0070AD" w:themeColor="accent1"/>
                <w:sz w:val="14"/>
                <w:szCs w:val="14"/>
              </w:rPr>
              <w:t>,</w:t>
            </w:r>
            <w:r w:rsidRPr="00E762E2">
              <w:rPr>
                <w:b/>
                <w:color w:val="0070AD" w:themeColor="accent1"/>
                <w:sz w:val="14"/>
                <w:szCs w:val="14"/>
              </w:rPr>
              <w:t>2%</w:t>
            </w:r>
          </w:p>
        </w:tc>
        <w:tc>
          <w:tcPr>
            <w:tcW w:w="1417" w:type="dxa"/>
            <w:tcBorders>
              <w:top w:val="nil"/>
              <w:left w:val="nil"/>
              <w:bottom w:val="single" w:sz="8" w:space="0" w:color="0070AD"/>
              <w:right w:val="nil"/>
            </w:tcBorders>
            <w:shd w:val="clear" w:color="auto" w:fill="auto"/>
            <w:vAlign w:val="center"/>
          </w:tcPr>
          <w:p w14:paraId="0D1C98FC" w14:textId="3920F560" w:rsidR="008E2DAE" w:rsidRPr="00E762E2" w:rsidRDefault="008E2DAE" w:rsidP="008E2DAE">
            <w:pPr>
              <w:pStyle w:val="TableParagraph"/>
              <w:keepNext/>
              <w:spacing w:before="100" w:beforeAutospacing="1" w:after="100" w:afterAutospacing="1"/>
              <w:ind w:left="1" w:right="452"/>
              <w:jc w:val="right"/>
              <w:rPr>
                <w:b/>
                <w:color w:val="0070AD" w:themeColor="accent1"/>
                <w:sz w:val="14"/>
                <w:szCs w:val="14"/>
              </w:rPr>
            </w:pPr>
            <w:r w:rsidRPr="00E762E2">
              <w:rPr>
                <w:b/>
                <w:color w:val="0070AD" w:themeColor="accent1"/>
                <w:sz w:val="14"/>
                <w:szCs w:val="14"/>
              </w:rPr>
              <w:t>+7</w:t>
            </w:r>
            <w:r>
              <w:rPr>
                <w:b/>
                <w:color w:val="0070AD" w:themeColor="accent1"/>
                <w:sz w:val="14"/>
                <w:szCs w:val="14"/>
              </w:rPr>
              <w:t>,</w:t>
            </w:r>
            <w:r w:rsidRPr="00E762E2">
              <w:rPr>
                <w:b/>
                <w:color w:val="0070AD" w:themeColor="accent1"/>
                <w:sz w:val="14"/>
                <w:szCs w:val="14"/>
              </w:rPr>
              <w:t>9%</w:t>
            </w:r>
          </w:p>
        </w:tc>
        <w:tc>
          <w:tcPr>
            <w:tcW w:w="57" w:type="dxa"/>
            <w:tcBorders>
              <w:top w:val="nil"/>
              <w:left w:val="nil"/>
              <w:bottom w:val="single" w:sz="8" w:space="0" w:color="0070AD"/>
              <w:right w:val="nil"/>
            </w:tcBorders>
            <w:shd w:val="clear" w:color="auto" w:fill="auto"/>
            <w:vAlign w:val="center"/>
          </w:tcPr>
          <w:p w14:paraId="1D25BF36" w14:textId="77777777" w:rsidR="008E2DAE" w:rsidRPr="002F446E" w:rsidRDefault="008E2DAE" w:rsidP="008E2DAE">
            <w:pPr>
              <w:pStyle w:val="TableParagraph"/>
              <w:keepNext/>
              <w:spacing w:before="100" w:beforeAutospacing="1" w:after="100" w:afterAutospacing="1"/>
              <w:ind w:left="1" w:right="537"/>
              <w:jc w:val="right"/>
              <w:rPr>
                <w:b/>
                <w:color w:val="0070AD" w:themeColor="accent1"/>
                <w:sz w:val="14"/>
                <w:szCs w:val="14"/>
              </w:rPr>
            </w:pPr>
            <w:r w:rsidRPr="002F446E">
              <w:rPr>
                <w:b/>
                <w:color w:val="0070AD" w:themeColor="accent1"/>
                <w:sz w:val="14"/>
                <w:szCs w:val="14"/>
              </w:rPr>
              <w:t> </w:t>
            </w:r>
          </w:p>
        </w:tc>
        <w:tc>
          <w:tcPr>
            <w:tcW w:w="1417" w:type="dxa"/>
            <w:tcBorders>
              <w:top w:val="nil"/>
              <w:left w:val="nil"/>
              <w:bottom w:val="single" w:sz="8" w:space="0" w:color="0070AD"/>
              <w:right w:val="nil"/>
            </w:tcBorders>
            <w:shd w:val="clear" w:color="auto" w:fill="auto"/>
            <w:vAlign w:val="center"/>
          </w:tcPr>
          <w:p w14:paraId="4C252EEB" w14:textId="1BB831A4" w:rsidR="008E2DAE" w:rsidRPr="002F446E" w:rsidRDefault="008E2DAE" w:rsidP="008E2DAE">
            <w:pPr>
              <w:pStyle w:val="TableParagraph"/>
              <w:keepNext/>
              <w:spacing w:before="100" w:beforeAutospacing="1" w:after="100" w:afterAutospacing="1"/>
              <w:ind w:left="1" w:right="452"/>
              <w:jc w:val="right"/>
              <w:rPr>
                <w:b/>
                <w:color w:val="0070AD" w:themeColor="accent1"/>
                <w:sz w:val="14"/>
                <w:szCs w:val="14"/>
              </w:rPr>
            </w:pPr>
            <w:r w:rsidRPr="002F446E">
              <w:rPr>
                <w:b/>
                <w:color w:val="0070AD" w:themeColor="accent1"/>
                <w:sz w:val="14"/>
                <w:szCs w:val="14"/>
              </w:rPr>
              <w:t>11,4%</w:t>
            </w:r>
          </w:p>
        </w:tc>
        <w:tc>
          <w:tcPr>
            <w:tcW w:w="1417" w:type="dxa"/>
            <w:tcBorders>
              <w:top w:val="nil"/>
              <w:left w:val="nil"/>
              <w:bottom w:val="single" w:sz="8" w:space="0" w:color="0070AD"/>
              <w:right w:val="nil"/>
            </w:tcBorders>
            <w:shd w:val="clear" w:color="000000" w:fill="BBE7FF"/>
            <w:vAlign w:val="center"/>
          </w:tcPr>
          <w:p w14:paraId="4985BEF8" w14:textId="7E7B7391" w:rsidR="008E2DAE" w:rsidRPr="008E2DAE" w:rsidRDefault="008E2DAE" w:rsidP="008E2DAE">
            <w:pPr>
              <w:pStyle w:val="TableParagraph"/>
              <w:keepNext/>
              <w:spacing w:before="100" w:beforeAutospacing="1" w:after="100" w:afterAutospacing="1"/>
              <w:ind w:left="1" w:right="452"/>
              <w:jc w:val="right"/>
              <w:rPr>
                <w:b/>
                <w:color w:val="0070AD" w:themeColor="accent1"/>
                <w:sz w:val="14"/>
                <w:szCs w:val="14"/>
              </w:rPr>
            </w:pPr>
            <w:r w:rsidRPr="008E2DAE">
              <w:rPr>
                <w:rFonts w:ascii="Verdana" w:hAnsi="Verdana" w:cs="Calibri"/>
                <w:b/>
                <w:bCs/>
                <w:color w:val="0070AD"/>
                <w:sz w:val="14"/>
                <w:szCs w:val="14"/>
              </w:rPr>
              <w:t>10</w:t>
            </w:r>
            <w:r>
              <w:rPr>
                <w:rFonts w:ascii="Verdana" w:hAnsi="Verdana" w:cs="Calibri"/>
                <w:b/>
                <w:bCs/>
                <w:color w:val="0070AD"/>
                <w:sz w:val="14"/>
                <w:szCs w:val="14"/>
              </w:rPr>
              <w:t>,</w:t>
            </w:r>
            <w:r w:rsidRPr="008E2DAE">
              <w:rPr>
                <w:rFonts w:ascii="Verdana" w:hAnsi="Verdana" w:cs="Calibri"/>
                <w:b/>
                <w:bCs/>
                <w:color w:val="0070AD"/>
                <w:sz w:val="14"/>
                <w:szCs w:val="14"/>
              </w:rPr>
              <w:t>8%</w:t>
            </w:r>
          </w:p>
        </w:tc>
      </w:tr>
      <w:bookmarkEnd w:id="22"/>
    </w:tbl>
    <w:p w14:paraId="20F9544D" w14:textId="77777777" w:rsidR="00D159DD" w:rsidRPr="002F446E" w:rsidRDefault="00D159DD" w:rsidP="00D159DD"/>
    <w:p w14:paraId="557312A7" w14:textId="67F2E091" w:rsidR="00B00202" w:rsidRPr="002F446E" w:rsidRDefault="00C96D53" w:rsidP="007D6284">
      <w:pPr>
        <w:pStyle w:val="Heading1"/>
      </w:pPr>
      <w:r w:rsidRPr="002F446E">
        <w:t>ÉVOLUTION DE L’ACTIVITÉ PAR MÉTIER</w:t>
      </w:r>
    </w:p>
    <w:tbl>
      <w:tblPr>
        <w:tblW w:w="7230" w:type="dxa"/>
        <w:tblLayout w:type="fixed"/>
        <w:tblCellMar>
          <w:left w:w="0" w:type="dxa"/>
          <w:right w:w="0" w:type="dxa"/>
        </w:tblCellMar>
        <w:tblLook w:val="01E0" w:firstRow="1" w:lastRow="1" w:firstColumn="1" w:lastColumn="1" w:noHBand="0" w:noVBand="0"/>
      </w:tblPr>
      <w:tblGrid>
        <w:gridCol w:w="2977"/>
        <w:gridCol w:w="1418"/>
        <w:gridCol w:w="102"/>
        <w:gridCol w:w="2733"/>
      </w:tblGrid>
      <w:tr w:rsidR="00CC645F" w:rsidRPr="002F446E" w14:paraId="0B7BE3D0" w14:textId="77777777" w:rsidTr="00C278DC">
        <w:trPr>
          <w:trHeight w:hRule="exact" w:val="454"/>
        </w:trPr>
        <w:tc>
          <w:tcPr>
            <w:tcW w:w="2977" w:type="dxa"/>
          </w:tcPr>
          <w:p w14:paraId="095F0F40" w14:textId="77777777" w:rsidR="00CC645F" w:rsidRPr="002F446E" w:rsidRDefault="00CC645F" w:rsidP="00CC645F">
            <w:pPr>
              <w:keepNext/>
              <w:rPr>
                <w:sz w:val="14"/>
                <w:szCs w:val="14"/>
              </w:rPr>
            </w:pPr>
            <w:bookmarkStart w:id="23" w:name="_Hlk501462743"/>
          </w:p>
        </w:tc>
        <w:tc>
          <w:tcPr>
            <w:tcW w:w="1418" w:type="dxa"/>
            <w:vAlign w:val="center"/>
          </w:tcPr>
          <w:p w14:paraId="1ED8B03E" w14:textId="0589FDEE" w:rsidR="00CC645F" w:rsidRPr="002F446E" w:rsidRDefault="00CC645F" w:rsidP="00CC645F">
            <w:pPr>
              <w:pStyle w:val="TableParagraph"/>
              <w:keepNext/>
              <w:jc w:val="center"/>
              <w:rPr>
                <w:rFonts w:cs="Arial"/>
                <w:b/>
                <w:bCs/>
                <w:sz w:val="16"/>
                <w:szCs w:val="16"/>
                <w:vertAlign w:val="superscript"/>
              </w:rPr>
            </w:pPr>
            <w:proofErr w:type="spellStart"/>
            <w:r w:rsidRPr="002F446E">
              <w:rPr>
                <w:b/>
                <w:sz w:val="14"/>
                <w:szCs w:val="14"/>
              </w:rPr>
              <w:t>Chiffre</w:t>
            </w:r>
            <w:proofErr w:type="spellEnd"/>
            <w:r w:rsidRPr="002F446E">
              <w:rPr>
                <w:b/>
                <w:sz w:val="14"/>
                <w:szCs w:val="14"/>
              </w:rPr>
              <w:t xml:space="preserve"> </w:t>
            </w:r>
            <w:proofErr w:type="spellStart"/>
            <w:r w:rsidRPr="002F446E">
              <w:rPr>
                <w:b/>
                <w:sz w:val="14"/>
                <w:szCs w:val="14"/>
              </w:rPr>
              <w:t>d’affaires</w:t>
            </w:r>
            <w:proofErr w:type="spellEnd"/>
            <w:r w:rsidRPr="002F446E">
              <w:rPr>
                <w:b/>
                <w:sz w:val="14"/>
                <w:szCs w:val="14"/>
              </w:rPr>
              <w:t xml:space="preserve"> total</w:t>
            </w:r>
            <w:r w:rsidR="00565950" w:rsidRPr="002F446E">
              <w:rPr>
                <w:rFonts w:cs="Arial"/>
                <w:sz w:val="14"/>
                <w:szCs w:val="14"/>
                <w:vertAlign w:val="superscript"/>
                <w:lang w:val="fr-FR"/>
              </w:rPr>
              <w:fldChar w:fldCharType="begin"/>
            </w:r>
            <w:r w:rsidR="00565950" w:rsidRPr="002F446E">
              <w:rPr>
                <w:b/>
                <w:sz w:val="14"/>
                <w:szCs w:val="14"/>
                <w:vertAlign w:val="superscript"/>
              </w:rPr>
              <w:instrText xml:space="preserve"> NOTEREF _Ref13738408 \h </w:instrText>
            </w:r>
            <w:r w:rsidR="00565950" w:rsidRPr="002F446E">
              <w:rPr>
                <w:rFonts w:cs="Arial"/>
                <w:sz w:val="14"/>
                <w:szCs w:val="14"/>
                <w:vertAlign w:val="superscript"/>
                <w:lang w:val="fr-FR"/>
              </w:rPr>
              <w:instrText xml:space="preserve"> \* MERGEFORMAT </w:instrText>
            </w:r>
            <w:r w:rsidR="00565950" w:rsidRPr="002F446E">
              <w:rPr>
                <w:rFonts w:cs="Arial"/>
                <w:sz w:val="14"/>
                <w:szCs w:val="14"/>
                <w:vertAlign w:val="superscript"/>
                <w:lang w:val="fr-FR"/>
              </w:rPr>
            </w:r>
            <w:r w:rsidR="00565950" w:rsidRPr="002F446E">
              <w:rPr>
                <w:rFonts w:cs="Arial"/>
                <w:sz w:val="14"/>
                <w:szCs w:val="14"/>
                <w:vertAlign w:val="superscript"/>
                <w:lang w:val="fr-FR"/>
              </w:rPr>
              <w:fldChar w:fldCharType="separate"/>
            </w:r>
            <w:r w:rsidR="00B02E5E" w:rsidRPr="00B02E5E">
              <w:rPr>
                <w:sz w:val="14"/>
                <w:szCs w:val="14"/>
              </w:rPr>
              <w:t>*</w:t>
            </w:r>
            <w:r w:rsidR="00565950" w:rsidRPr="002F446E">
              <w:rPr>
                <w:rFonts w:cs="Arial"/>
                <w:sz w:val="14"/>
                <w:szCs w:val="14"/>
                <w:vertAlign w:val="superscript"/>
                <w:lang w:val="fr-FR"/>
              </w:rPr>
              <w:fldChar w:fldCharType="end"/>
            </w:r>
          </w:p>
        </w:tc>
        <w:tc>
          <w:tcPr>
            <w:tcW w:w="102" w:type="dxa"/>
          </w:tcPr>
          <w:p w14:paraId="79EDF185" w14:textId="77777777" w:rsidR="00CC645F" w:rsidRPr="002F446E" w:rsidRDefault="00CC645F" w:rsidP="00CC645F">
            <w:pPr>
              <w:pStyle w:val="TableParagraph"/>
              <w:keepNext/>
              <w:ind w:right="105"/>
              <w:jc w:val="center"/>
              <w:rPr>
                <w:b/>
                <w:sz w:val="14"/>
                <w:szCs w:val="14"/>
              </w:rPr>
            </w:pPr>
          </w:p>
        </w:tc>
        <w:tc>
          <w:tcPr>
            <w:tcW w:w="2733" w:type="dxa"/>
            <w:tcBorders>
              <w:bottom w:val="single" w:sz="8" w:space="0" w:color="0070AD" w:themeColor="accent1"/>
            </w:tcBorders>
            <w:vAlign w:val="center"/>
          </w:tcPr>
          <w:p w14:paraId="4C2390EE" w14:textId="3AC5D789" w:rsidR="00CC645F" w:rsidRPr="002F446E" w:rsidRDefault="00CC645F" w:rsidP="00CC645F">
            <w:pPr>
              <w:pStyle w:val="TableParagraph"/>
              <w:keepNext/>
              <w:jc w:val="center"/>
              <w:rPr>
                <w:b/>
                <w:sz w:val="14"/>
                <w:szCs w:val="14"/>
                <w:lang w:val="fr-FR"/>
              </w:rPr>
            </w:pPr>
            <w:r w:rsidRPr="002F446E">
              <w:rPr>
                <w:b/>
                <w:sz w:val="14"/>
                <w:szCs w:val="14"/>
                <w:lang w:val="fr-FR"/>
              </w:rPr>
              <w:t xml:space="preserve">Variation par rapport à </w:t>
            </w:r>
            <w:r w:rsidR="00580CAF">
              <w:rPr>
                <w:b/>
                <w:sz w:val="14"/>
                <w:szCs w:val="14"/>
                <w:lang w:val="fr-FR"/>
              </w:rPr>
              <w:t>2019</w:t>
            </w:r>
          </w:p>
        </w:tc>
      </w:tr>
      <w:tr w:rsidR="00CC645F" w:rsidRPr="002F446E" w14:paraId="1531B3BE" w14:textId="77777777" w:rsidTr="00C278DC">
        <w:trPr>
          <w:trHeight w:hRule="exact" w:val="737"/>
        </w:trPr>
        <w:tc>
          <w:tcPr>
            <w:tcW w:w="2977" w:type="dxa"/>
            <w:tcBorders>
              <w:bottom w:val="single" w:sz="8" w:space="0" w:color="0070AD" w:themeColor="accent1"/>
            </w:tcBorders>
          </w:tcPr>
          <w:p w14:paraId="2ADF64E0" w14:textId="77777777" w:rsidR="00CC645F" w:rsidRPr="002F446E" w:rsidRDefault="00CC645F" w:rsidP="00CC645F">
            <w:pPr>
              <w:keepNext/>
              <w:rPr>
                <w:sz w:val="14"/>
                <w:szCs w:val="14"/>
              </w:rPr>
            </w:pPr>
          </w:p>
        </w:tc>
        <w:tc>
          <w:tcPr>
            <w:tcW w:w="1418" w:type="dxa"/>
            <w:tcBorders>
              <w:top w:val="single" w:sz="8" w:space="0" w:color="0070AD" w:themeColor="accent1"/>
              <w:bottom w:val="single" w:sz="8" w:space="0" w:color="0070AD" w:themeColor="accent1"/>
            </w:tcBorders>
            <w:shd w:val="clear" w:color="auto" w:fill="BBE7FF" w:themeFill="accent1" w:themeFillTint="33"/>
            <w:vAlign w:val="center"/>
          </w:tcPr>
          <w:p w14:paraId="0001E20D" w14:textId="2AEDEDDA" w:rsidR="00CC645F" w:rsidRPr="002F446E" w:rsidRDefault="00CC645F" w:rsidP="00CC645F">
            <w:pPr>
              <w:pStyle w:val="TableParagraph"/>
              <w:keepNext/>
              <w:ind w:left="1"/>
              <w:jc w:val="center"/>
              <w:rPr>
                <w:b/>
                <w:sz w:val="14"/>
                <w:szCs w:val="14"/>
                <w:lang w:val="fr-FR"/>
              </w:rPr>
            </w:pPr>
            <w:r w:rsidRPr="002F446E">
              <w:rPr>
                <w:b/>
                <w:sz w:val="14"/>
                <w:szCs w:val="14"/>
                <w:lang w:val="fr-FR"/>
              </w:rPr>
              <w:t>1</w:t>
            </w:r>
            <w:r w:rsidRPr="002F446E">
              <w:rPr>
                <w:b/>
                <w:sz w:val="14"/>
                <w:szCs w:val="14"/>
                <w:vertAlign w:val="superscript"/>
                <w:lang w:val="fr-FR"/>
              </w:rPr>
              <w:t>er</w:t>
            </w:r>
            <w:r w:rsidRPr="002F446E">
              <w:rPr>
                <w:b/>
                <w:sz w:val="14"/>
                <w:szCs w:val="14"/>
                <w:lang w:val="fr-FR"/>
              </w:rPr>
              <w:t xml:space="preserve"> semestre </w:t>
            </w:r>
            <w:r w:rsidR="00580CAF">
              <w:rPr>
                <w:b/>
                <w:sz w:val="14"/>
                <w:szCs w:val="14"/>
                <w:lang w:val="fr-FR"/>
              </w:rPr>
              <w:t>2020</w:t>
            </w:r>
          </w:p>
          <w:p w14:paraId="0FA06314" w14:textId="665B4FB6" w:rsidR="00CC645F" w:rsidRPr="002F446E" w:rsidRDefault="00CC645F" w:rsidP="00CC645F">
            <w:pPr>
              <w:keepNext/>
              <w:jc w:val="center"/>
              <w:rPr>
                <w:b/>
                <w:sz w:val="14"/>
                <w:szCs w:val="14"/>
              </w:rPr>
            </w:pPr>
            <w:r w:rsidRPr="002F446E">
              <w:rPr>
                <w:i/>
                <w:sz w:val="14"/>
                <w:szCs w:val="14"/>
              </w:rPr>
              <w:t>(</w:t>
            </w:r>
            <w:proofErr w:type="gramStart"/>
            <w:r w:rsidRPr="002F446E">
              <w:rPr>
                <w:i/>
                <w:sz w:val="14"/>
                <w:szCs w:val="14"/>
              </w:rPr>
              <w:t>en</w:t>
            </w:r>
            <w:proofErr w:type="gramEnd"/>
            <w:r w:rsidRPr="002F446E">
              <w:rPr>
                <w:i/>
                <w:sz w:val="14"/>
                <w:szCs w:val="14"/>
              </w:rPr>
              <w:t xml:space="preserve"> % du Groupe)</w:t>
            </w:r>
          </w:p>
        </w:tc>
        <w:tc>
          <w:tcPr>
            <w:tcW w:w="102" w:type="dxa"/>
            <w:tcBorders>
              <w:bottom w:val="single" w:sz="8" w:space="0" w:color="0070AD" w:themeColor="accent1"/>
            </w:tcBorders>
          </w:tcPr>
          <w:p w14:paraId="1705C1F2" w14:textId="77777777" w:rsidR="00CC645F" w:rsidRPr="002F446E" w:rsidRDefault="00CC645F" w:rsidP="00CC645F">
            <w:pPr>
              <w:pStyle w:val="TableParagraph"/>
              <w:keepNext/>
              <w:spacing w:before="27"/>
              <w:ind w:right="162" w:firstLine="26"/>
              <w:jc w:val="center"/>
              <w:rPr>
                <w:b/>
                <w:sz w:val="14"/>
                <w:szCs w:val="14"/>
                <w:lang w:val="fr-FR"/>
              </w:rPr>
            </w:pPr>
          </w:p>
        </w:tc>
        <w:tc>
          <w:tcPr>
            <w:tcW w:w="2733" w:type="dxa"/>
            <w:tcBorders>
              <w:top w:val="single" w:sz="8" w:space="0" w:color="0070AD" w:themeColor="accent1"/>
              <w:bottom w:val="single" w:sz="8" w:space="0" w:color="0070AD" w:themeColor="accent1"/>
            </w:tcBorders>
            <w:vAlign w:val="center"/>
          </w:tcPr>
          <w:p w14:paraId="5D6A9EC1" w14:textId="77777777" w:rsidR="00CC645F" w:rsidRPr="002F446E" w:rsidRDefault="00CC645F" w:rsidP="00CC645F">
            <w:pPr>
              <w:pStyle w:val="TableParagraph"/>
              <w:keepNext/>
              <w:jc w:val="center"/>
              <w:rPr>
                <w:b/>
                <w:sz w:val="14"/>
                <w:szCs w:val="14"/>
                <w:lang w:val="fr-FR"/>
              </w:rPr>
            </w:pPr>
            <w:proofErr w:type="gramStart"/>
            <w:r w:rsidRPr="002F446E">
              <w:rPr>
                <w:b/>
                <w:sz w:val="14"/>
                <w:szCs w:val="14"/>
                <w:lang w:val="fr-FR"/>
              </w:rPr>
              <w:t>à</w:t>
            </w:r>
            <w:proofErr w:type="gramEnd"/>
            <w:r w:rsidRPr="002F446E">
              <w:rPr>
                <w:b/>
                <w:sz w:val="14"/>
                <w:szCs w:val="14"/>
                <w:lang w:val="fr-FR"/>
              </w:rPr>
              <w:t xml:space="preserve"> taux de change constants</w:t>
            </w:r>
          </w:p>
          <w:p w14:paraId="5E592B20" w14:textId="19DF4A89" w:rsidR="00CC645F" w:rsidRPr="002F446E" w:rsidRDefault="00CC645F" w:rsidP="00CC645F">
            <w:pPr>
              <w:pStyle w:val="TableParagraph"/>
              <w:keepNext/>
              <w:jc w:val="center"/>
              <w:rPr>
                <w:b/>
                <w:sz w:val="14"/>
                <w:szCs w:val="14"/>
                <w:lang w:val="fr-FR"/>
              </w:rPr>
            </w:pPr>
            <w:proofErr w:type="gramStart"/>
            <w:r w:rsidRPr="002F446E">
              <w:rPr>
                <w:b/>
                <w:sz w:val="14"/>
                <w:szCs w:val="14"/>
                <w:lang w:val="fr-FR"/>
              </w:rPr>
              <w:t>du</w:t>
            </w:r>
            <w:proofErr w:type="gramEnd"/>
            <w:r w:rsidRPr="002F446E">
              <w:rPr>
                <w:b/>
                <w:sz w:val="14"/>
                <w:szCs w:val="14"/>
                <w:lang w:val="fr-FR"/>
              </w:rPr>
              <w:t xml:space="preserve"> Chiffre d’affaires total</w:t>
            </w:r>
            <w:r w:rsidR="00565950" w:rsidRPr="002F446E">
              <w:rPr>
                <w:rFonts w:cs="Arial"/>
                <w:sz w:val="14"/>
                <w:szCs w:val="14"/>
                <w:vertAlign w:val="superscript"/>
                <w:lang w:val="fr-FR"/>
              </w:rPr>
              <w:fldChar w:fldCharType="begin"/>
            </w:r>
            <w:r w:rsidR="00565950" w:rsidRPr="002F446E">
              <w:rPr>
                <w:b/>
                <w:sz w:val="14"/>
                <w:szCs w:val="14"/>
                <w:vertAlign w:val="superscript"/>
                <w:lang w:val="fr-FR"/>
              </w:rPr>
              <w:instrText xml:space="preserve"> NOTEREF _Ref13738408 \h </w:instrText>
            </w:r>
            <w:r w:rsidR="00565950" w:rsidRPr="002F446E">
              <w:rPr>
                <w:rFonts w:cs="Arial"/>
                <w:sz w:val="14"/>
                <w:szCs w:val="14"/>
                <w:vertAlign w:val="superscript"/>
                <w:lang w:val="fr-FR"/>
              </w:rPr>
              <w:instrText xml:space="preserve"> \* MERGEFORMAT </w:instrText>
            </w:r>
            <w:r w:rsidR="00565950" w:rsidRPr="002F446E">
              <w:rPr>
                <w:rFonts w:cs="Arial"/>
                <w:sz w:val="14"/>
                <w:szCs w:val="14"/>
                <w:vertAlign w:val="superscript"/>
                <w:lang w:val="fr-FR"/>
              </w:rPr>
            </w:r>
            <w:r w:rsidR="00565950" w:rsidRPr="002F446E">
              <w:rPr>
                <w:rFonts w:cs="Arial"/>
                <w:sz w:val="14"/>
                <w:szCs w:val="14"/>
                <w:vertAlign w:val="superscript"/>
                <w:lang w:val="fr-FR"/>
              </w:rPr>
              <w:fldChar w:fldCharType="separate"/>
            </w:r>
            <w:r w:rsidR="00B02E5E" w:rsidRPr="00B02E5E">
              <w:rPr>
                <w:sz w:val="14"/>
                <w:szCs w:val="14"/>
                <w:lang w:val="fr-FR"/>
              </w:rPr>
              <w:t>*</w:t>
            </w:r>
            <w:r w:rsidR="00565950" w:rsidRPr="002F446E">
              <w:rPr>
                <w:rFonts w:cs="Arial"/>
                <w:sz w:val="14"/>
                <w:szCs w:val="14"/>
                <w:vertAlign w:val="superscript"/>
                <w:lang w:val="fr-FR"/>
              </w:rPr>
              <w:fldChar w:fldCharType="end"/>
            </w:r>
          </w:p>
          <w:p w14:paraId="52EE25EC" w14:textId="1DD862BD" w:rsidR="00CC645F" w:rsidRPr="002F446E" w:rsidRDefault="00CC645F" w:rsidP="00CC645F">
            <w:pPr>
              <w:pStyle w:val="TableParagraph"/>
              <w:keepNext/>
              <w:jc w:val="center"/>
              <w:rPr>
                <w:b/>
                <w:sz w:val="14"/>
                <w:szCs w:val="14"/>
                <w:lang w:val="fr-FR"/>
              </w:rPr>
            </w:pPr>
            <w:proofErr w:type="gramStart"/>
            <w:r w:rsidRPr="002F446E">
              <w:rPr>
                <w:b/>
                <w:sz w:val="14"/>
                <w:szCs w:val="14"/>
                <w:lang w:val="fr-FR"/>
              </w:rPr>
              <w:t>du</w:t>
            </w:r>
            <w:proofErr w:type="gramEnd"/>
            <w:r w:rsidRPr="002F446E">
              <w:rPr>
                <w:b/>
                <w:sz w:val="14"/>
                <w:szCs w:val="14"/>
                <w:lang w:val="fr-FR"/>
              </w:rPr>
              <w:t xml:space="preserve"> métier</w:t>
            </w:r>
          </w:p>
        </w:tc>
      </w:tr>
      <w:tr w:rsidR="00C278DC" w:rsidRPr="002F446E" w14:paraId="605D2F81" w14:textId="77777777" w:rsidTr="00C278DC">
        <w:trPr>
          <w:trHeight w:val="227"/>
        </w:trPr>
        <w:tc>
          <w:tcPr>
            <w:tcW w:w="2977" w:type="dxa"/>
            <w:tcBorders>
              <w:top w:val="single" w:sz="8" w:space="0" w:color="0070AD" w:themeColor="accent1"/>
            </w:tcBorders>
            <w:vAlign w:val="center"/>
          </w:tcPr>
          <w:p w14:paraId="2EC92DCE" w14:textId="77777777" w:rsidR="00C278DC" w:rsidRPr="002F446E" w:rsidRDefault="00C278DC" w:rsidP="00C278DC">
            <w:pPr>
              <w:pStyle w:val="TableParagraph"/>
              <w:keepNext/>
              <w:spacing w:before="52"/>
              <w:ind w:left="142"/>
              <w:jc w:val="left"/>
              <w:rPr>
                <w:sz w:val="14"/>
                <w:szCs w:val="14"/>
                <w:lang w:val="fr-FR"/>
              </w:rPr>
            </w:pPr>
            <w:r w:rsidRPr="002F446E">
              <w:rPr>
                <w:sz w:val="14"/>
                <w:szCs w:val="14"/>
                <w:lang w:val="fr-FR"/>
              </w:rPr>
              <w:t>Stratégie &amp; Transformation</w:t>
            </w:r>
          </w:p>
        </w:tc>
        <w:tc>
          <w:tcPr>
            <w:tcW w:w="1418" w:type="dxa"/>
            <w:tcBorders>
              <w:top w:val="single" w:sz="8" w:space="0" w:color="0070AD"/>
              <w:left w:val="nil"/>
              <w:bottom w:val="nil"/>
              <w:right w:val="nil"/>
            </w:tcBorders>
            <w:shd w:val="clear" w:color="000000" w:fill="BBE7FF"/>
            <w:vAlign w:val="center"/>
          </w:tcPr>
          <w:p w14:paraId="4C6C0CAF" w14:textId="10B330A1" w:rsidR="00C278DC" w:rsidRPr="00C278DC" w:rsidRDefault="00C278DC" w:rsidP="00C278DC">
            <w:pPr>
              <w:pStyle w:val="TableParagraph"/>
              <w:keepNext/>
              <w:spacing w:before="27"/>
              <w:ind w:right="537"/>
              <w:jc w:val="right"/>
              <w:rPr>
                <w:sz w:val="14"/>
                <w:szCs w:val="14"/>
              </w:rPr>
            </w:pPr>
            <w:r w:rsidRPr="00C278DC">
              <w:rPr>
                <w:rFonts w:ascii="Verdana" w:hAnsi="Verdana" w:cs="Calibri"/>
                <w:color w:val="000000"/>
                <w:sz w:val="14"/>
                <w:szCs w:val="14"/>
              </w:rPr>
              <w:t>7%</w:t>
            </w:r>
          </w:p>
        </w:tc>
        <w:tc>
          <w:tcPr>
            <w:tcW w:w="102" w:type="dxa"/>
            <w:tcBorders>
              <w:top w:val="single" w:sz="8" w:space="0" w:color="0070AD"/>
              <w:left w:val="nil"/>
              <w:bottom w:val="nil"/>
              <w:right w:val="nil"/>
            </w:tcBorders>
            <w:shd w:val="clear" w:color="auto" w:fill="auto"/>
            <w:vAlign w:val="center"/>
          </w:tcPr>
          <w:p w14:paraId="682F6DC3" w14:textId="2835B32F" w:rsidR="00C278DC" w:rsidRPr="00C278DC" w:rsidRDefault="00C278DC" w:rsidP="00C278DC">
            <w:pPr>
              <w:jc w:val="center"/>
              <w:rPr>
                <w:rFonts w:ascii="Verdana" w:hAnsi="Verdana"/>
                <w:color w:val="000000"/>
                <w:sz w:val="14"/>
                <w:szCs w:val="14"/>
              </w:rPr>
            </w:pPr>
            <w:r w:rsidRPr="00C278DC">
              <w:rPr>
                <w:rFonts w:ascii="Verdana" w:hAnsi="Verdana" w:cs="Calibri"/>
                <w:color w:val="000000"/>
                <w:sz w:val="14"/>
                <w:szCs w:val="14"/>
              </w:rPr>
              <w:t> </w:t>
            </w:r>
          </w:p>
        </w:tc>
        <w:tc>
          <w:tcPr>
            <w:tcW w:w="2733" w:type="dxa"/>
            <w:tcBorders>
              <w:top w:val="single" w:sz="8" w:space="0" w:color="0070AD"/>
              <w:left w:val="nil"/>
              <w:bottom w:val="nil"/>
              <w:right w:val="nil"/>
            </w:tcBorders>
            <w:shd w:val="clear" w:color="auto" w:fill="auto"/>
            <w:vAlign w:val="center"/>
          </w:tcPr>
          <w:p w14:paraId="7E92CA05" w14:textId="3BEBB2A2" w:rsidR="00C278DC" w:rsidRPr="00C278DC" w:rsidRDefault="00C278DC" w:rsidP="008E2DAE">
            <w:pPr>
              <w:ind w:right="1137"/>
              <w:jc w:val="right"/>
              <w:rPr>
                <w:rFonts w:ascii="Verdana" w:hAnsi="Verdana"/>
                <w:color w:val="000000"/>
                <w:sz w:val="14"/>
                <w:szCs w:val="14"/>
              </w:rPr>
            </w:pPr>
            <w:r w:rsidRPr="00C278DC">
              <w:rPr>
                <w:rFonts w:ascii="Verdana" w:hAnsi="Verdana" w:cs="Calibri"/>
                <w:color w:val="000000"/>
                <w:sz w:val="14"/>
                <w:szCs w:val="14"/>
              </w:rPr>
              <w:t>+8</w:t>
            </w:r>
            <w:r w:rsidR="00462B72">
              <w:rPr>
                <w:rFonts w:ascii="Verdana" w:hAnsi="Verdana" w:cs="Calibri"/>
                <w:color w:val="000000"/>
                <w:sz w:val="14"/>
                <w:szCs w:val="14"/>
              </w:rPr>
              <w:t>,</w:t>
            </w:r>
            <w:r w:rsidRPr="00C278DC">
              <w:rPr>
                <w:rFonts w:ascii="Verdana" w:hAnsi="Verdana" w:cs="Calibri"/>
                <w:color w:val="000000"/>
                <w:sz w:val="14"/>
                <w:szCs w:val="14"/>
              </w:rPr>
              <w:t>6%</w:t>
            </w:r>
          </w:p>
        </w:tc>
      </w:tr>
      <w:tr w:rsidR="00C278DC" w:rsidRPr="002F446E" w14:paraId="42BE755A" w14:textId="77777777" w:rsidTr="00C278DC">
        <w:trPr>
          <w:trHeight w:val="227"/>
        </w:trPr>
        <w:tc>
          <w:tcPr>
            <w:tcW w:w="2977" w:type="dxa"/>
            <w:vAlign w:val="center"/>
          </w:tcPr>
          <w:p w14:paraId="71F45448" w14:textId="77777777" w:rsidR="00C278DC" w:rsidRPr="002F446E" w:rsidRDefault="00C278DC" w:rsidP="00C278DC">
            <w:pPr>
              <w:pStyle w:val="TableParagraph"/>
              <w:keepNext/>
              <w:spacing w:before="53"/>
              <w:ind w:left="142"/>
              <w:jc w:val="left"/>
              <w:rPr>
                <w:sz w:val="14"/>
                <w:szCs w:val="14"/>
                <w:lang w:val="fr-FR"/>
              </w:rPr>
            </w:pPr>
            <w:r w:rsidRPr="002F446E">
              <w:rPr>
                <w:sz w:val="14"/>
                <w:szCs w:val="14"/>
                <w:lang w:val="fr-FR"/>
              </w:rPr>
              <w:t>Applications &amp; Technologie</w:t>
            </w:r>
          </w:p>
        </w:tc>
        <w:tc>
          <w:tcPr>
            <w:tcW w:w="1418" w:type="dxa"/>
            <w:tcBorders>
              <w:top w:val="nil"/>
              <w:left w:val="nil"/>
              <w:bottom w:val="nil"/>
              <w:right w:val="nil"/>
            </w:tcBorders>
            <w:shd w:val="clear" w:color="000000" w:fill="BBE7FF"/>
            <w:vAlign w:val="center"/>
          </w:tcPr>
          <w:p w14:paraId="00A09C3E" w14:textId="29CE9EF7" w:rsidR="00C278DC" w:rsidRPr="00C278DC" w:rsidRDefault="00C278DC" w:rsidP="00C278DC">
            <w:pPr>
              <w:pStyle w:val="TableParagraph"/>
              <w:keepNext/>
              <w:spacing w:before="27"/>
              <w:ind w:right="537"/>
              <w:jc w:val="right"/>
              <w:rPr>
                <w:sz w:val="14"/>
                <w:szCs w:val="14"/>
              </w:rPr>
            </w:pPr>
            <w:r w:rsidRPr="00C278DC">
              <w:rPr>
                <w:rFonts w:ascii="Verdana" w:hAnsi="Verdana" w:cs="Calibri"/>
                <w:color w:val="000000"/>
                <w:sz w:val="14"/>
                <w:szCs w:val="14"/>
              </w:rPr>
              <w:t>65%</w:t>
            </w:r>
          </w:p>
        </w:tc>
        <w:tc>
          <w:tcPr>
            <w:tcW w:w="102" w:type="dxa"/>
            <w:tcBorders>
              <w:top w:val="nil"/>
              <w:left w:val="nil"/>
              <w:bottom w:val="nil"/>
              <w:right w:val="nil"/>
            </w:tcBorders>
            <w:shd w:val="clear" w:color="auto" w:fill="auto"/>
            <w:vAlign w:val="center"/>
          </w:tcPr>
          <w:p w14:paraId="2C969625" w14:textId="77777777" w:rsidR="00C278DC" w:rsidRPr="00C278DC" w:rsidRDefault="00C278DC" w:rsidP="00C278DC">
            <w:pPr>
              <w:ind w:firstLineChars="200" w:firstLine="280"/>
              <w:jc w:val="right"/>
              <w:rPr>
                <w:rFonts w:ascii="Verdana" w:hAnsi="Verdana"/>
                <w:color w:val="000000"/>
                <w:sz w:val="14"/>
                <w:szCs w:val="14"/>
              </w:rPr>
            </w:pPr>
          </w:p>
        </w:tc>
        <w:tc>
          <w:tcPr>
            <w:tcW w:w="2733" w:type="dxa"/>
            <w:tcBorders>
              <w:top w:val="nil"/>
              <w:left w:val="nil"/>
              <w:bottom w:val="nil"/>
              <w:right w:val="nil"/>
            </w:tcBorders>
            <w:shd w:val="clear" w:color="auto" w:fill="auto"/>
            <w:vAlign w:val="center"/>
          </w:tcPr>
          <w:p w14:paraId="280AD5F2" w14:textId="585DE8A4" w:rsidR="00C278DC" w:rsidRPr="00C278DC" w:rsidRDefault="00C278DC" w:rsidP="008E2DAE">
            <w:pPr>
              <w:ind w:right="1137"/>
              <w:jc w:val="right"/>
              <w:rPr>
                <w:rFonts w:ascii="Verdana" w:hAnsi="Verdana"/>
                <w:color w:val="000000"/>
                <w:sz w:val="14"/>
                <w:szCs w:val="14"/>
              </w:rPr>
            </w:pPr>
            <w:r w:rsidRPr="00C278DC">
              <w:rPr>
                <w:rFonts w:ascii="Verdana" w:hAnsi="Verdana" w:cs="Calibri"/>
                <w:color w:val="000000"/>
                <w:sz w:val="14"/>
                <w:szCs w:val="14"/>
              </w:rPr>
              <w:t>-1</w:t>
            </w:r>
            <w:r w:rsidR="00462B72">
              <w:rPr>
                <w:rFonts w:ascii="Verdana" w:hAnsi="Verdana" w:cs="Calibri"/>
                <w:color w:val="000000"/>
                <w:sz w:val="14"/>
                <w:szCs w:val="14"/>
              </w:rPr>
              <w:t>,</w:t>
            </w:r>
            <w:r w:rsidRPr="00C278DC">
              <w:rPr>
                <w:rFonts w:ascii="Verdana" w:hAnsi="Verdana" w:cs="Calibri"/>
                <w:color w:val="000000"/>
                <w:sz w:val="14"/>
                <w:szCs w:val="14"/>
              </w:rPr>
              <w:t>3%</w:t>
            </w:r>
          </w:p>
        </w:tc>
      </w:tr>
      <w:tr w:rsidR="00C278DC" w:rsidRPr="002F446E" w14:paraId="4A537165" w14:textId="77777777" w:rsidTr="00C278DC">
        <w:trPr>
          <w:trHeight w:val="227"/>
        </w:trPr>
        <w:tc>
          <w:tcPr>
            <w:tcW w:w="2977" w:type="dxa"/>
            <w:tcBorders>
              <w:bottom w:val="single" w:sz="8" w:space="0" w:color="0070AD" w:themeColor="accent1"/>
            </w:tcBorders>
            <w:vAlign w:val="center"/>
          </w:tcPr>
          <w:p w14:paraId="1FA8C405" w14:textId="77777777" w:rsidR="00C278DC" w:rsidRPr="002F446E" w:rsidRDefault="00C278DC" w:rsidP="00C278DC">
            <w:pPr>
              <w:pStyle w:val="TableParagraph"/>
              <w:keepNext/>
              <w:spacing w:before="53"/>
              <w:ind w:left="142"/>
              <w:jc w:val="left"/>
              <w:rPr>
                <w:sz w:val="14"/>
                <w:szCs w:val="14"/>
                <w:lang w:val="fr-FR"/>
              </w:rPr>
            </w:pPr>
            <w:r w:rsidRPr="002F446E">
              <w:rPr>
                <w:rFonts w:eastAsia="Arial" w:cs="Arial"/>
                <w:sz w:val="14"/>
                <w:szCs w:val="14"/>
                <w:lang w:val="fr-FR"/>
              </w:rPr>
              <w:t>Opérations &amp; Ingénierie</w:t>
            </w:r>
          </w:p>
        </w:tc>
        <w:tc>
          <w:tcPr>
            <w:tcW w:w="1418" w:type="dxa"/>
            <w:tcBorders>
              <w:top w:val="nil"/>
              <w:left w:val="nil"/>
              <w:bottom w:val="single" w:sz="8" w:space="0" w:color="0070AD"/>
              <w:right w:val="nil"/>
            </w:tcBorders>
            <w:shd w:val="clear" w:color="000000" w:fill="BBE7FF"/>
            <w:vAlign w:val="center"/>
          </w:tcPr>
          <w:p w14:paraId="1E179BDC" w14:textId="21643B6E" w:rsidR="00C278DC" w:rsidRPr="00C278DC" w:rsidRDefault="00C278DC" w:rsidP="00C278DC">
            <w:pPr>
              <w:pStyle w:val="TableParagraph"/>
              <w:keepNext/>
              <w:spacing w:before="27"/>
              <w:ind w:right="537"/>
              <w:jc w:val="right"/>
              <w:rPr>
                <w:sz w:val="14"/>
                <w:szCs w:val="14"/>
              </w:rPr>
            </w:pPr>
            <w:r w:rsidRPr="00C278DC">
              <w:rPr>
                <w:rFonts w:ascii="Verdana" w:hAnsi="Verdana" w:cs="Calibri"/>
                <w:color w:val="000000"/>
                <w:sz w:val="14"/>
                <w:szCs w:val="14"/>
              </w:rPr>
              <w:t>28%</w:t>
            </w:r>
          </w:p>
        </w:tc>
        <w:tc>
          <w:tcPr>
            <w:tcW w:w="102" w:type="dxa"/>
            <w:tcBorders>
              <w:top w:val="nil"/>
              <w:left w:val="nil"/>
              <w:bottom w:val="single" w:sz="8" w:space="0" w:color="0070AD"/>
              <w:right w:val="nil"/>
            </w:tcBorders>
            <w:shd w:val="clear" w:color="auto" w:fill="auto"/>
            <w:vAlign w:val="center"/>
          </w:tcPr>
          <w:p w14:paraId="0AC31167" w14:textId="1D48B990" w:rsidR="00C278DC" w:rsidRPr="00C278DC" w:rsidRDefault="00C278DC" w:rsidP="00C278DC">
            <w:pPr>
              <w:ind w:firstLineChars="200" w:firstLine="280"/>
              <w:jc w:val="right"/>
              <w:rPr>
                <w:rFonts w:ascii="Verdana" w:hAnsi="Verdana"/>
                <w:color w:val="000000"/>
                <w:sz w:val="14"/>
                <w:szCs w:val="14"/>
              </w:rPr>
            </w:pPr>
            <w:r w:rsidRPr="00C278DC">
              <w:rPr>
                <w:rFonts w:ascii="Verdana" w:hAnsi="Verdana" w:cs="Calibri"/>
                <w:color w:val="000000"/>
                <w:sz w:val="14"/>
                <w:szCs w:val="14"/>
              </w:rPr>
              <w:t> </w:t>
            </w:r>
          </w:p>
        </w:tc>
        <w:tc>
          <w:tcPr>
            <w:tcW w:w="2733" w:type="dxa"/>
            <w:tcBorders>
              <w:top w:val="nil"/>
              <w:left w:val="nil"/>
              <w:bottom w:val="single" w:sz="8" w:space="0" w:color="0070AD"/>
              <w:right w:val="nil"/>
            </w:tcBorders>
            <w:shd w:val="clear" w:color="auto" w:fill="auto"/>
            <w:vAlign w:val="center"/>
          </w:tcPr>
          <w:p w14:paraId="787F6505" w14:textId="5750743A" w:rsidR="00C278DC" w:rsidRPr="00C278DC" w:rsidRDefault="00C278DC" w:rsidP="008E2DAE">
            <w:pPr>
              <w:ind w:right="1137"/>
              <w:jc w:val="right"/>
              <w:rPr>
                <w:rFonts w:ascii="Verdana" w:hAnsi="Verdana"/>
                <w:color w:val="000000"/>
                <w:sz w:val="14"/>
                <w:szCs w:val="14"/>
              </w:rPr>
            </w:pPr>
            <w:r w:rsidRPr="00C278DC">
              <w:rPr>
                <w:rFonts w:ascii="Verdana" w:hAnsi="Verdana" w:cs="Calibri"/>
                <w:color w:val="000000"/>
                <w:sz w:val="14"/>
                <w:szCs w:val="14"/>
              </w:rPr>
              <w:t>+37</w:t>
            </w:r>
            <w:r w:rsidR="00462B72">
              <w:rPr>
                <w:rFonts w:ascii="Verdana" w:hAnsi="Verdana" w:cs="Calibri"/>
                <w:color w:val="000000"/>
                <w:sz w:val="14"/>
                <w:szCs w:val="14"/>
              </w:rPr>
              <w:t>,</w:t>
            </w:r>
            <w:r w:rsidRPr="00C278DC">
              <w:rPr>
                <w:rFonts w:ascii="Verdana" w:hAnsi="Verdana" w:cs="Calibri"/>
                <w:color w:val="000000"/>
                <w:sz w:val="14"/>
                <w:szCs w:val="14"/>
              </w:rPr>
              <w:t>2%</w:t>
            </w:r>
          </w:p>
        </w:tc>
      </w:tr>
      <w:bookmarkEnd w:id="23"/>
    </w:tbl>
    <w:p w14:paraId="494223AA" w14:textId="77777777" w:rsidR="00CC645F" w:rsidRPr="002F446E" w:rsidRDefault="00CC645F">
      <w:pPr>
        <w:jc w:val="left"/>
        <w:rPr>
          <w:rFonts w:ascii="Verdana" w:hAnsi="Verdana" w:cs="Arial"/>
          <w:b/>
          <w:caps/>
        </w:rPr>
      </w:pPr>
    </w:p>
    <w:p w14:paraId="46937C68" w14:textId="77777777" w:rsidR="00D159DD" w:rsidRPr="002F446E" w:rsidRDefault="00D159DD" w:rsidP="00D159DD">
      <w:pPr>
        <w:pStyle w:val="Heading1"/>
      </w:pPr>
      <w:r w:rsidRPr="002F446E">
        <w:t>COMPTE DE RÉSULTAT SYNTHÉTIQUE ET MARGE OPÉRATIONNELLE</w:t>
      </w:r>
    </w:p>
    <w:tbl>
      <w:tblPr>
        <w:tblW w:w="0" w:type="auto"/>
        <w:jc w:val="center"/>
        <w:tblLook w:val="04A0" w:firstRow="1" w:lastRow="0" w:firstColumn="1" w:lastColumn="0" w:noHBand="0" w:noVBand="1"/>
      </w:tblPr>
      <w:tblGrid>
        <w:gridCol w:w="5998"/>
        <w:gridCol w:w="1474"/>
        <w:gridCol w:w="1474"/>
        <w:gridCol w:w="1134"/>
      </w:tblGrid>
      <w:tr w:rsidR="00EF5205" w:rsidRPr="002F446E" w14:paraId="00963888" w14:textId="77777777" w:rsidTr="00944C01">
        <w:trPr>
          <w:trHeight w:val="284"/>
          <w:jc w:val="center"/>
        </w:trPr>
        <w:tc>
          <w:tcPr>
            <w:tcW w:w="5998" w:type="dxa"/>
            <w:tcBorders>
              <w:bottom w:val="single" w:sz="8" w:space="0" w:color="0070AD" w:themeColor="accent1"/>
            </w:tcBorders>
            <w:vAlign w:val="center"/>
          </w:tcPr>
          <w:p w14:paraId="23187388" w14:textId="77777777" w:rsidR="00EF5205" w:rsidRPr="002F446E" w:rsidRDefault="00EF5205" w:rsidP="00EF5205">
            <w:pPr>
              <w:keepNext/>
              <w:jc w:val="center"/>
              <w:rPr>
                <w:i/>
                <w:sz w:val="14"/>
                <w:szCs w:val="14"/>
              </w:rPr>
            </w:pPr>
            <w:r w:rsidRPr="002F446E">
              <w:rPr>
                <w:rFonts w:cs="Arial"/>
                <w:i/>
                <w:sz w:val="14"/>
                <w:szCs w:val="14"/>
              </w:rPr>
              <w:t>(</w:t>
            </w:r>
            <w:proofErr w:type="gramStart"/>
            <w:r w:rsidRPr="002F446E">
              <w:rPr>
                <w:rFonts w:cs="Arial"/>
                <w:i/>
                <w:sz w:val="14"/>
                <w:szCs w:val="14"/>
              </w:rPr>
              <w:t>en</w:t>
            </w:r>
            <w:proofErr w:type="gramEnd"/>
            <w:r w:rsidRPr="002F446E">
              <w:rPr>
                <w:rFonts w:cs="Arial"/>
                <w:i/>
                <w:sz w:val="14"/>
                <w:szCs w:val="14"/>
              </w:rPr>
              <w:t xml:space="preserve"> millions d’euros)</w:t>
            </w:r>
          </w:p>
        </w:tc>
        <w:tc>
          <w:tcPr>
            <w:tcW w:w="1474" w:type="dxa"/>
            <w:tcBorders>
              <w:bottom w:val="single" w:sz="8" w:space="0" w:color="0070AD" w:themeColor="accent1"/>
            </w:tcBorders>
            <w:vAlign w:val="center"/>
          </w:tcPr>
          <w:p w14:paraId="47F098CB" w14:textId="77777777" w:rsidR="00EF5205" w:rsidRPr="002F446E" w:rsidRDefault="00EF5205" w:rsidP="00EF5205">
            <w:pPr>
              <w:keepNext/>
              <w:jc w:val="center"/>
              <w:rPr>
                <w:rFonts w:ascii="Verdana" w:hAnsi="Verdana" w:cs="Arial"/>
                <w:b/>
                <w:sz w:val="14"/>
                <w:szCs w:val="16"/>
              </w:rPr>
            </w:pPr>
            <w:r w:rsidRPr="002F446E">
              <w:rPr>
                <w:rFonts w:ascii="Verdana" w:hAnsi="Verdana" w:cs="Arial"/>
                <w:b/>
                <w:sz w:val="14"/>
                <w:szCs w:val="16"/>
              </w:rPr>
              <w:t>1</w:t>
            </w:r>
            <w:r w:rsidRPr="002F446E">
              <w:rPr>
                <w:rFonts w:ascii="Verdana" w:hAnsi="Verdana" w:cs="Arial"/>
                <w:b/>
                <w:sz w:val="14"/>
                <w:szCs w:val="16"/>
                <w:vertAlign w:val="superscript"/>
              </w:rPr>
              <w:t>er</w:t>
            </w:r>
            <w:r w:rsidRPr="002F446E">
              <w:rPr>
                <w:rFonts w:ascii="Verdana" w:hAnsi="Verdana" w:cs="Arial"/>
                <w:b/>
                <w:sz w:val="14"/>
                <w:szCs w:val="16"/>
              </w:rPr>
              <w:t xml:space="preserve"> semestre</w:t>
            </w:r>
          </w:p>
          <w:p w14:paraId="7C14E266" w14:textId="1A071517" w:rsidR="00041C5B" w:rsidRPr="002F446E" w:rsidRDefault="00580CAF" w:rsidP="00A9758A">
            <w:pPr>
              <w:keepNext/>
              <w:jc w:val="center"/>
              <w:rPr>
                <w:rFonts w:ascii="Verdana" w:hAnsi="Verdana" w:cs="Arial"/>
                <w:b/>
                <w:sz w:val="14"/>
                <w:szCs w:val="16"/>
              </w:rPr>
            </w:pPr>
            <w:r>
              <w:rPr>
                <w:rFonts w:ascii="Verdana" w:hAnsi="Verdana" w:cs="Arial"/>
                <w:b/>
                <w:sz w:val="14"/>
                <w:szCs w:val="16"/>
              </w:rPr>
              <w:t>2019</w:t>
            </w:r>
          </w:p>
        </w:tc>
        <w:tc>
          <w:tcPr>
            <w:tcW w:w="1474" w:type="dxa"/>
            <w:tcBorders>
              <w:bottom w:val="single" w:sz="8" w:space="0" w:color="0070AD" w:themeColor="accent1"/>
            </w:tcBorders>
            <w:shd w:val="clear" w:color="auto" w:fill="BBE7FF" w:themeFill="accent1" w:themeFillTint="33"/>
            <w:vAlign w:val="center"/>
          </w:tcPr>
          <w:p w14:paraId="5807E5DA" w14:textId="77777777" w:rsidR="00EF5205" w:rsidRPr="002F446E" w:rsidRDefault="00EF5205" w:rsidP="00EF5205">
            <w:pPr>
              <w:keepNext/>
              <w:jc w:val="center"/>
              <w:rPr>
                <w:rFonts w:ascii="Verdana" w:hAnsi="Verdana" w:cs="Arial"/>
                <w:b/>
                <w:sz w:val="14"/>
                <w:szCs w:val="16"/>
              </w:rPr>
            </w:pPr>
            <w:r w:rsidRPr="002F446E">
              <w:rPr>
                <w:rFonts w:ascii="Verdana" w:hAnsi="Verdana" w:cs="Arial"/>
                <w:b/>
                <w:sz w:val="14"/>
                <w:szCs w:val="16"/>
              </w:rPr>
              <w:t>1</w:t>
            </w:r>
            <w:r w:rsidRPr="002F446E">
              <w:rPr>
                <w:rFonts w:ascii="Verdana" w:hAnsi="Verdana" w:cs="Arial"/>
                <w:b/>
                <w:sz w:val="14"/>
                <w:szCs w:val="16"/>
                <w:vertAlign w:val="superscript"/>
              </w:rPr>
              <w:t>er</w:t>
            </w:r>
            <w:r w:rsidRPr="002F446E">
              <w:rPr>
                <w:rFonts w:ascii="Verdana" w:hAnsi="Verdana" w:cs="Arial"/>
                <w:b/>
                <w:sz w:val="14"/>
                <w:szCs w:val="16"/>
              </w:rPr>
              <w:t xml:space="preserve"> semestre</w:t>
            </w:r>
          </w:p>
          <w:p w14:paraId="483E5386" w14:textId="23E9F46B" w:rsidR="00041C5B" w:rsidRPr="00A9758A" w:rsidRDefault="00580CAF" w:rsidP="00A9758A">
            <w:pPr>
              <w:keepNext/>
              <w:jc w:val="center"/>
              <w:rPr>
                <w:rFonts w:ascii="Verdana" w:hAnsi="Verdana" w:cs="Arial"/>
                <w:b/>
                <w:sz w:val="14"/>
                <w:szCs w:val="16"/>
              </w:rPr>
            </w:pPr>
            <w:r>
              <w:rPr>
                <w:rFonts w:ascii="Verdana" w:hAnsi="Verdana" w:cs="Arial"/>
                <w:b/>
                <w:sz w:val="14"/>
                <w:szCs w:val="16"/>
              </w:rPr>
              <w:t>2020</w:t>
            </w:r>
          </w:p>
        </w:tc>
        <w:tc>
          <w:tcPr>
            <w:tcW w:w="1134" w:type="dxa"/>
            <w:tcBorders>
              <w:bottom w:val="single" w:sz="8" w:space="0" w:color="0070AD" w:themeColor="accent1"/>
            </w:tcBorders>
            <w:shd w:val="clear" w:color="auto" w:fill="auto"/>
            <w:vAlign w:val="center"/>
          </w:tcPr>
          <w:p w14:paraId="1A1707E2" w14:textId="77777777" w:rsidR="00EF5205" w:rsidRPr="002F446E" w:rsidRDefault="00EF5205" w:rsidP="00EF5205">
            <w:pPr>
              <w:keepNext/>
              <w:jc w:val="center"/>
              <w:rPr>
                <w:b/>
                <w:i/>
                <w:sz w:val="14"/>
                <w:szCs w:val="14"/>
              </w:rPr>
            </w:pPr>
            <w:r w:rsidRPr="002F446E">
              <w:rPr>
                <w:rFonts w:cs="Arial"/>
                <w:b/>
                <w:i/>
                <w:sz w:val="14"/>
                <w:szCs w:val="14"/>
              </w:rPr>
              <w:t>Variation</w:t>
            </w:r>
          </w:p>
        </w:tc>
      </w:tr>
      <w:tr w:rsidR="00576365" w:rsidRPr="002F446E" w14:paraId="42212B74" w14:textId="77777777" w:rsidTr="00343205">
        <w:trPr>
          <w:trHeight w:val="227"/>
          <w:jc w:val="center"/>
        </w:trPr>
        <w:tc>
          <w:tcPr>
            <w:tcW w:w="5998" w:type="dxa"/>
            <w:tcBorders>
              <w:top w:val="single" w:sz="8" w:space="0" w:color="0070AD" w:themeColor="accent1"/>
              <w:bottom w:val="single" w:sz="8" w:space="0" w:color="0070AD" w:themeColor="accent1"/>
            </w:tcBorders>
            <w:shd w:val="clear" w:color="auto" w:fill="auto"/>
            <w:vAlign w:val="center"/>
          </w:tcPr>
          <w:p w14:paraId="1E035B34" w14:textId="77777777" w:rsidR="00576365" w:rsidRPr="002F446E" w:rsidRDefault="00576365" w:rsidP="00576365">
            <w:pPr>
              <w:keepNext/>
              <w:rPr>
                <w:b/>
                <w:color w:val="0070AD" w:themeColor="accent1"/>
                <w:sz w:val="14"/>
                <w:szCs w:val="14"/>
              </w:rPr>
            </w:pPr>
            <w:r w:rsidRPr="002F446E">
              <w:rPr>
                <w:rFonts w:cs="Arial"/>
                <w:b/>
                <w:color w:val="0070AD" w:themeColor="accent1"/>
                <w:sz w:val="14"/>
                <w:szCs w:val="14"/>
              </w:rPr>
              <w:t xml:space="preserve">Chiffre d’affaires </w:t>
            </w:r>
          </w:p>
        </w:tc>
        <w:tc>
          <w:tcPr>
            <w:tcW w:w="1474" w:type="dxa"/>
            <w:tcBorders>
              <w:top w:val="single" w:sz="8" w:space="0" w:color="0070AD"/>
              <w:left w:val="nil"/>
              <w:bottom w:val="single" w:sz="8" w:space="0" w:color="0070AD"/>
              <w:right w:val="nil"/>
            </w:tcBorders>
            <w:shd w:val="clear" w:color="auto" w:fill="auto"/>
            <w:vAlign w:val="center"/>
          </w:tcPr>
          <w:p w14:paraId="01CE8A4D" w14:textId="27324D36" w:rsidR="00576365" w:rsidRPr="002F446E" w:rsidRDefault="00576365" w:rsidP="00576365">
            <w:pPr>
              <w:keepNext/>
              <w:ind w:left="-170" w:right="397"/>
              <w:jc w:val="right"/>
              <w:rPr>
                <w:b/>
                <w:color w:val="0070AD" w:themeColor="accent1"/>
                <w:sz w:val="14"/>
                <w:szCs w:val="14"/>
              </w:rPr>
            </w:pPr>
            <w:r w:rsidRPr="002F446E">
              <w:rPr>
                <w:rFonts w:ascii="Verdana" w:hAnsi="Verdana" w:cs="Calibri"/>
                <w:b/>
                <w:bCs/>
                <w:color w:val="0070AD"/>
                <w:sz w:val="14"/>
                <w:szCs w:val="14"/>
              </w:rPr>
              <w:t xml:space="preserve">    7 007 </w:t>
            </w:r>
          </w:p>
        </w:tc>
        <w:tc>
          <w:tcPr>
            <w:tcW w:w="1474" w:type="dxa"/>
            <w:tcBorders>
              <w:top w:val="single" w:sz="8" w:space="0" w:color="0070AD"/>
              <w:left w:val="nil"/>
              <w:bottom w:val="single" w:sz="8" w:space="0" w:color="0070AD"/>
              <w:right w:val="nil"/>
            </w:tcBorders>
            <w:shd w:val="clear" w:color="000000" w:fill="BBE7FF"/>
            <w:vAlign w:val="center"/>
          </w:tcPr>
          <w:p w14:paraId="6B9C519F" w14:textId="199A6CAF" w:rsidR="00576365" w:rsidRPr="00343205" w:rsidRDefault="00576365" w:rsidP="00576365">
            <w:pPr>
              <w:keepNext/>
              <w:ind w:left="-170" w:right="397"/>
              <w:jc w:val="right"/>
              <w:rPr>
                <w:b/>
                <w:color w:val="0070AD" w:themeColor="accent1"/>
                <w:sz w:val="14"/>
                <w:szCs w:val="14"/>
              </w:rPr>
            </w:pPr>
            <w:r w:rsidRPr="00343205">
              <w:rPr>
                <w:rFonts w:ascii="Verdana" w:hAnsi="Verdana" w:cs="Calibri"/>
                <w:b/>
                <w:bCs/>
                <w:color w:val="0070AD"/>
                <w:sz w:val="14"/>
                <w:szCs w:val="14"/>
              </w:rPr>
              <w:t xml:space="preserve">       7</w:t>
            </w:r>
            <w:r w:rsidR="00343205">
              <w:rPr>
                <w:rFonts w:ascii="Verdana" w:hAnsi="Verdana" w:cs="Calibri"/>
                <w:b/>
                <w:bCs/>
                <w:color w:val="0070AD"/>
                <w:sz w:val="14"/>
                <w:szCs w:val="14"/>
              </w:rPr>
              <w:t xml:space="preserve"> </w:t>
            </w:r>
            <w:r w:rsidRPr="00343205">
              <w:rPr>
                <w:rFonts w:ascii="Verdana" w:hAnsi="Verdana" w:cs="Calibri"/>
                <w:b/>
                <w:bCs/>
                <w:color w:val="0070AD"/>
                <w:sz w:val="14"/>
                <w:szCs w:val="14"/>
              </w:rPr>
              <w:t xml:space="preserve">581 </w:t>
            </w:r>
          </w:p>
        </w:tc>
        <w:tc>
          <w:tcPr>
            <w:tcW w:w="1134" w:type="dxa"/>
            <w:tcBorders>
              <w:top w:val="single" w:sz="8" w:space="0" w:color="0070AD"/>
              <w:left w:val="nil"/>
              <w:bottom w:val="single" w:sz="8" w:space="0" w:color="0070AD"/>
              <w:right w:val="nil"/>
            </w:tcBorders>
            <w:shd w:val="clear" w:color="000000" w:fill="FFFFFF"/>
            <w:vAlign w:val="center"/>
          </w:tcPr>
          <w:p w14:paraId="66F4384F" w14:textId="03BA5431" w:rsidR="00576365" w:rsidRPr="00343205" w:rsidRDefault="00576365" w:rsidP="00576365">
            <w:pPr>
              <w:keepNext/>
              <w:jc w:val="center"/>
              <w:rPr>
                <w:b/>
                <w:color w:val="0070AD" w:themeColor="accent1"/>
                <w:sz w:val="14"/>
                <w:szCs w:val="14"/>
              </w:rPr>
            </w:pPr>
            <w:r w:rsidRPr="00343205">
              <w:rPr>
                <w:rFonts w:ascii="Verdana" w:hAnsi="Verdana" w:cs="Calibri"/>
                <w:b/>
                <w:bCs/>
                <w:color w:val="0070AD"/>
                <w:sz w:val="14"/>
                <w:szCs w:val="14"/>
              </w:rPr>
              <w:t>+8</w:t>
            </w:r>
            <w:r w:rsidR="00343205">
              <w:rPr>
                <w:rFonts w:ascii="Verdana" w:hAnsi="Verdana" w:cs="Calibri"/>
                <w:b/>
                <w:bCs/>
                <w:color w:val="0070AD"/>
                <w:sz w:val="14"/>
                <w:szCs w:val="14"/>
              </w:rPr>
              <w:t>,</w:t>
            </w:r>
            <w:r w:rsidRPr="00343205">
              <w:rPr>
                <w:rFonts w:ascii="Verdana" w:hAnsi="Verdana" w:cs="Calibri"/>
                <w:b/>
                <w:bCs/>
                <w:color w:val="0070AD"/>
                <w:sz w:val="14"/>
                <w:szCs w:val="14"/>
              </w:rPr>
              <w:t>2%</w:t>
            </w:r>
          </w:p>
        </w:tc>
      </w:tr>
      <w:tr w:rsidR="00576365" w:rsidRPr="002F446E" w14:paraId="7A2DBEFA" w14:textId="77777777" w:rsidTr="00343205">
        <w:trPr>
          <w:trHeight w:val="227"/>
          <w:jc w:val="center"/>
        </w:trPr>
        <w:tc>
          <w:tcPr>
            <w:tcW w:w="5998" w:type="dxa"/>
            <w:tcBorders>
              <w:top w:val="single" w:sz="8" w:space="0" w:color="0070AD" w:themeColor="accent1"/>
              <w:bottom w:val="single" w:sz="8" w:space="0" w:color="0070AD" w:themeColor="accent1"/>
            </w:tcBorders>
            <w:shd w:val="clear" w:color="auto" w:fill="auto"/>
            <w:vAlign w:val="center"/>
          </w:tcPr>
          <w:p w14:paraId="0D8CEB8B" w14:textId="77777777" w:rsidR="00576365" w:rsidRPr="002F446E" w:rsidRDefault="00576365" w:rsidP="00576365">
            <w:pPr>
              <w:keepNext/>
              <w:ind w:left="149"/>
              <w:rPr>
                <w:sz w:val="14"/>
                <w:szCs w:val="14"/>
              </w:rPr>
            </w:pPr>
            <w:r w:rsidRPr="002F446E">
              <w:rPr>
                <w:rFonts w:cs="Arial"/>
                <w:sz w:val="14"/>
                <w:szCs w:val="14"/>
              </w:rPr>
              <w:t>Charges opérationnelles</w:t>
            </w:r>
          </w:p>
        </w:tc>
        <w:tc>
          <w:tcPr>
            <w:tcW w:w="1474" w:type="dxa"/>
            <w:tcBorders>
              <w:top w:val="nil"/>
              <w:left w:val="nil"/>
              <w:bottom w:val="single" w:sz="8" w:space="0" w:color="0070AD"/>
              <w:right w:val="nil"/>
            </w:tcBorders>
            <w:shd w:val="clear" w:color="auto" w:fill="auto"/>
            <w:vAlign w:val="center"/>
          </w:tcPr>
          <w:p w14:paraId="7234E446" w14:textId="680B70DE" w:rsidR="00576365" w:rsidRPr="002F446E" w:rsidRDefault="00576365" w:rsidP="00576365">
            <w:pPr>
              <w:keepNext/>
              <w:ind w:left="-170" w:right="397"/>
              <w:jc w:val="right"/>
              <w:rPr>
                <w:sz w:val="14"/>
                <w:szCs w:val="14"/>
              </w:rPr>
            </w:pPr>
            <w:r w:rsidRPr="002F446E">
              <w:rPr>
                <w:rFonts w:ascii="Verdana" w:hAnsi="Verdana" w:cs="Calibri"/>
                <w:color w:val="000000"/>
                <w:sz w:val="14"/>
                <w:szCs w:val="14"/>
              </w:rPr>
              <w:t xml:space="preserve">       (6 210)</w:t>
            </w:r>
          </w:p>
        </w:tc>
        <w:tc>
          <w:tcPr>
            <w:tcW w:w="1474" w:type="dxa"/>
            <w:tcBorders>
              <w:top w:val="nil"/>
              <w:left w:val="nil"/>
              <w:bottom w:val="single" w:sz="8" w:space="0" w:color="0070AD"/>
              <w:right w:val="nil"/>
            </w:tcBorders>
            <w:shd w:val="clear" w:color="000000" w:fill="BBE7FF"/>
            <w:vAlign w:val="center"/>
          </w:tcPr>
          <w:p w14:paraId="722634C8" w14:textId="6F13CCA0" w:rsidR="00576365" w:rsidRPr="00343205" w:rsidRDefault="00576365" w:rsidP="00343205">
            <w:pPr>
              <w:keepNext/>
              <w:ind w:right="397"/>
              <w:rPr>
                <w:sz w:val="14"/>
                <w:szCs w:val="14"/>
              </w:rPr>
            </w:pPr>
            <w:r w:rsidRPr="00343205">
              <w:rPr>
                <w:rFonts w:ascii="Verdana" w:hAnsi="Verdana" w:cs="Calibri"/>
                <w:color w:val="000000"/>
                <w:sz w:val="14"/>
                <w:szCs w:val="14"/>
              </w:rPr>
              <w:t xml:space="preserve">      (6</w:t>
            </w:r>
            <w:r w:rsidR="00343205">
              <w:rPr>
                <w:rFonts w:ascii="Verdana" w:hAnsi="Verdana" w:cs="Calibri"/>
                <w:color w:val="000000"/>
                <w:sz w:val="14"/>
                <w:szCs w:val="14"/>
              </w:rPr>
              <w:t xml:space="preserve"> </w:t>
            </w:r>
            <w:r w:rsidRPr="00343205">
              <w:rPr>
                <w:rFonts w:ascii="Verdana" w:hAnsi="Verdana" w:cs="Calibri"/>
                <w:color w:val="000000"/>
                <w:sz w:val="14"/>
                <w:szCs w:val="14"/>
              </w:rPr>
              <w:t>763)</w:t>
            </w:r>
          </w:p>
        </w:tc>
        <w:tc>
          <w:tcPr>
            <w:tcW w:w="1134" w:type="dxa"/>
            <w:tcBorders>
              <w:top w:val="nil"/>
              <w:left w:val="nil"/>
              <w:bottom w:val="single" w:sz="8" w:space="0" w:color="0070AD"/>
              <w:right w:val="nil"/>
            </w:tcBorders>
            <w:shd w:val="clear" w:color="000000" w:fill="FFFFFF"/>
            <w:vAlign w:val="center"/>
          </w:tcPr>
          <w:p w14:paraId="3EC3D777" w14:textId="61AAFEDA" w:rsidR="00576365" w:rsidRPr="00343205" w:rsidRDefault="00576365" w:rsidP="00576365">
            <w:pPr>
              <w:keepNext/>
              <w:jc w:val="center"/>
              <w:rPr>
                <w:sz w:val="14"/>
                <w:szCs w:val="14"/>
              </w:rPr>
            </w:pPr>
          </w:p>
        </w:tc>
      </w:tr>
      <w:tr w:rsidR="00576365" w:rsidRPr="002F446E" w14:paraId="2FE0F1BD" w14:textId="77777777" w:rsidTr="00343205">
        <w:trPr>
          <w:trHeight w:val="227"/>
          <w:jc w:val="center"/>
        </w:trPr>
        <w:tc>
          <w:tcPr>
            <w:tcW w:w="5998" w:type="dxa"/>
            <w:tcBorders>
              <w:top w:val="single" w:sz="8" w:space="0" w:color="0070AD" w:themeColor="accent1"/>
              <w:bottom w:val="single" w:sz="8" w:space="0" w:color="0070AD" w:themeColor="accent1"/>
            </w:tcBorders>
            <w:shd w:val="clear" w:color="auto" w:fill="auto"/>
            <w:vAlign w:val="center"/>
          </w:tcPr>
          <w:p w14:paraId="4804795A" w14:textId="77777777" w:rsidR="00576365" w:rsidRPr="002F446E" w:rsidRDefault="00576365" w:rsidP="00576365">
            <w:pPr>
              <w:keepNext/>
              <w:rPr>
                <w:b/>
                <w:color w:val="0070AD" w:themeColor="accent1"/>
                <w:sz w:val="14"/>
                <w:szCs w:val="14"/>
              </w:rPr>
            </w:pPr>
            <w:r w:rsidRPr="002F446E">
              <w:rPr>
                <w:rFonts w:cs="Arial"/>
                <w:b/>
                <w:color w:val="0070AD" w:themeColor="accent1"/>
                <w:sz w:val="14"/>
                <w:szCs w:val="14"/>
              </w:rPr>
              <w:t xml:space="preserve">Marge opérationnelle </w:t>
            </w:r>
          </w:p>
        </w:tc>
        <w:tc>
          <w:tcPr>
            <w:tcW w:w="1474" w:type="dxa"/>
            <w:tcBorders>
              <w:top w:val="nil"/>
              <w:left w:val="nil"/>
              <w:bottom w:val="single" w:sz="8" w:space="0" w:color="0070AD"/>
              <w:right w:val="nil"/>
            </w:tcBorders>
            <w:shd w:val="clear" w:color="auto" w:fill="auto"/>
            <w:vAlign w:val="center"/>
          </w:tcPr>
          <w:p w14:paraId="6EB04756" w14:textId="07021772" w:rsidR="00576365" w:rsidRPr="002F446E" w:rsidRDefault="00576365" w:rsidP="00576365">
            <w:pPr>
              <w:keepNext/>
              <w:ind w:left="-170" w:right="397"/>
              <w:jc w:val="right"/>
              <w:rPr>
                <w:b/>
                <w:color w:val="0070AD" w:themeColor="accent1"/>
                <w:sz w:val="14"/>
                <w:szCs w:val="14"/>
              </w:rPr>
            </w:pPr>
            <w:r w:rsidRPr="002F446E">
              <w:rPr>
                <w:rFonts w:ascii="Verdana" w:hAnsi="Verdana" w:cs="Calibri"/>
                <w:b/>
                <w:bCs/>
                <w:color w:val="0070AD"/>
                <w:sz w:val="14"/>
                <w:szCs w:val="14"/>
              </w:rPr>
              <w:t xml:space="preserve">       797 </w:t>
            </w:r>
          </w:p>
        </w:tc>
        <w:tc>
          <w:tcPr>
            <w:tcW w:w="1474" w:type="dxa"/>
            <w:tcBorders>
              <w:top w:val="nil"/>
              <w:left w:val="nil"/>
              <w:bottom w:val="single" w:sz="8" w:space="0" w:color="0070AD"/>
              <w:right w:val="nil"/>
            </w:tcBorders>
            <w:shd w:val="clear" w:color="000000" w:fill="BBE7FF"/>
            <w:vAlign w:val="center"/>
          </w:tcPr>
          <w:p w14:paraId="7BAD9FAE" w14:textId="3BB5223E" w:rsidR="00576365" w:rsidRPr="00343205" w:rsidRDefault="00576365" w:rsidP="00576365">
            <w:pPr>
              <w:keepNext/>
              <w:ind w:left="-170" w:right="397"/>
              <w:jc w:val="right"/>
              <w:rPr>
                <w:b/>
                <w:color w:val="0070AD" w:themeColor="accent1"/>
                <w:sz w:val="14"/>
                <w:szCs w:val="14"/>
              </w:rPr>
            </w:pPr>
            <w:r w:rsidRPr="00343205">
              <w:rPr>
                <w:rFonts w:ascii="Verdana" w:hAnsi="Verdana" w:cs="Calibri"/>
                <w:b/>
                <w:bCs/>
                <w:color w:val="0070AD"/>
                <w:sz w:val="14"/>
                <w:szCs w:val="14"/>
              </w:rPr>
              <w:t xml:space="preserve">           818 </w:t>
            </w:r>
          </w:p>
        </w:tc>
        <w:tc>
          <w:tcPr>
            <w:tcW w:w="1134" w:type="dxa"/>
            <w:tcBorders>
              <w:top w:val="nil"/>
              <w:left w:val="nil"/>
              <w:bottom w:val="single" w:sz="8" w:space="0" w:color="0070AD"/>
              <w:right w:val="nil"/>
            </w:tcBorders>
            <w:shd w:val="clear" w:color="000000" w:fill="FFFFFF"/>
            <w:vAlign w:val="center"/>
          </w:tcPr>
          <w:p w14:paraId="4ED3D6B6" w14:textId="33AD3485" w:rsidR="00576365" w:rsidRPr="00343205" w:rsidRDefault="00576365" w:rsidP="00576365">
            <w:pPr>
              <w:keepNext/>
              <w:jc w:val="center"/>
              <w:rPr>
                <w:b/>
                <w:color w:val="0070AD" w:themeColor="accent1"/>
                <w:sz w:val="14"/>
                <w:szCs w:val="14"/>
              </w:rPr>
            </w:pPr>
            <w:r w:rsidRPr="00343205">
              <w:rPr>
                <w:rFonts w:ascii="Verdana" w:hAnsi="Verdana" w:cs="Calibri"/>
                <w:b/>
                <w:bCs/>
                <w:color w:val="0070AD"/>
                <w:sz w:val="14"/>
                <w:szCs w:val="14"/>
              </w:rPr>
              <w:t>+3%</w:t>
            </w:r>
          </w:p>
        </w:tc>
      </w:tr>
      <w:tr w:rsidR="00576365" w:rsidRPr="002F446E" w14:paraId="0E845C20" w14:textId="77777777" w:rsidTr="00343205">
        <w:trPr>
          <w:trHeight w:val="227"/>
          <w:jc w:val="center"/>
        </w:trPr>
        <w:tc>
          <w:tcPr>
            <w:tcW w:w="5998" w:type="dxa"/>
            <w:tcBorders>
              <w:top w:val="single" w:sz="8" w:space="0" w:color="0070AD" w:themeColor="accent1"/>
            </w:tcBorders>
            <w:shd w:val="clear" w:color="auto" w:fill="auto"/>
            <w:vAlign w:val="center"/>
          </w:tcPr>
          <w:p w14:paraId="63A6AF88" w14:textId="77777777" w:rsidR="00576365" w:rsidRPr="002F446E" w:rsidRDefault="00576365" w:rsidP="00576365">
            <w:pPr>
              <w:keepNext/>
              <w:rPr>
                <w:rFonts w:cs="Arial"/>
                <w:i/>
                <w:sz w:val="14"/>
                <w:szCs w:val="14"/>
              </w:rPr>
            </w:pPr>
            <w:proofErr w:type="gramStart"/>
            <w:r w:rsidRPr="002F446E">
              <w:rPr>
                <w:rFonts w:cs="Arial"/>
                <w:i/>
                <w:sz w:val="14"/>
                <w:szCs w:val="14"/>
              </w:rPr>
              <w:t>en</w:t>
            </w:r>
            <w:proofErr w:type="gramEnd"/>
            <w:r w:rsidRPr="002F446E">
              <w:rPr>
                <w:rFonts w:cs="Arial"/>
                <w:i/>
                <w:sz w:val="14"/>
                <w:szCs w:val="14"/>
              </w:rPr>
              <w:t xml:space="preserve"> % du chiffre d’affaires</w:t>
            </w:r>
          </w:p>
        </w:tc>
        <w:tc>
          <w:tcPr>
            <w:tcW w:w="1474" w:type="dxa"/>
            <w:tcBorders>
              <w:top w:val="nil"/>
              <w:left w:val="nil"/>
              <w:bottom w:val="nil"/>
              <w:right w:val="nil"/>
            </w:tcBorders>
            <w:shd w:val="clear" w:color="auto" w:fill="auto"/>
            <w:vAlign w:val="center"/>
          </w:tcPr>
          <w:p w14:paraId="0CA8E660" w14:textId="17271E4B" w:rsidR="00576365" w:rsidRPr="002F446E" w:rsidRDefault="00576365" w:rsidP="00576365">
            <w:pPr>
              <w:keepNext/>
              <w:ind w:left="-170" w:right="397"/>
              <w:jc w:val="right"/>
              <w:rPr>
                <w:rFonts w:cs="Arial"/>
                <w:i/>
                <w:sz w:val="14"/>
                <w:szCs w:val="14"/>
              </w:rPr>
            </w:pPr>
            <w:r w:rsidRPr="002F446E">
              <w:rPr>
                <w:rFonts w:ascii="Verdana" w:hAnsi="Verdana" w:cs="Calibri"/>
                <w:color w:val="000000"/>
                <w:sz w:val="14"/>
                <w:szCs w:val="14"/>
              </w:rPr>
              <w:t>11,4%</w:t>
            </w:r>
          </w:p>
        </w:tc>
        <w:tc>
          <w:tcPr>
            <w:tcW w:w="1474" w:type="dxa"/>
            <w:tcBorders>
              <w:top w:val="nil"/>
              <w:left w:val="nil"/>
              <w:bottom w:val="nil"/>
              <w:right w:val="nil"/>
            </w:tcBorders>
            <w:shd w:val="clear" w:color="000000" w:fill="BBE7FF"/>
            <w:vAlign w:val="center"/>
          </w:tcPr>
          <w:p w14:paraId="469AAEEA" w14:textId="3B7D13DF" w:rsidR="00576365" w:rsidRPr="00343205" w:rsidRDefault="00576365" w:rsidP="00576365">
            <w:pPr>
              <w:keepNext/>
              <w:ind w:left="-170" w:right="397"/>
              <w:jc w:val="right"/>
              <w:rPr>
                <w:rFonts w:cs="Arial"/>
                <w:i/>
                <w:sz w:val="14"/>
                <w:szCs w:val="14"/>
              </w:rPr>
            </w:pPr>
            <w:r w:rsidRPr="00343205">
              <w:rPr>
                <w:rFonts w:ascii="Verdana" w:hAnsi="Verdana" w:cs="Calibri"/>
                <w:color w:val="000000"/>
                <w:sz w:val="14"/>
                <w:szCs w:val="14"/>
              </w:rPr>
              <w:t>10</w:t>
            </w:r>
            <w:r w:rsidR="00343205">
              <w:rPr>
                <w:rFonts w:ascii="Verdana" w:hAnsi="Verdana" w:cs="Calibri"/>
                <w:color w:val="000000"/>
                <w:sz w:val="14"/>
                <w:szCs w:val="14"/>
              </w:rPr>
              <w:t>,</w:t>
            </w:r>
            <w:r w:rsidRPr="00343205">
              <w:rPr>
                <w:rFonts w:ascii="Verdana" w:hAnsi="Verdana" w:cs="Calibri"/>
                <w:color w:val="000000"/>
                <w:sz w:val="14"/>
                <w:szCs w:val="14"/>
              </w:rPr>
              <w:t>8%</w:t>
            </w:r>
          </w:p>
        </w:tc>
        <w:tc>
          <w:tcPr>
            <w:tcW w:w="1134" w:type="dxa"/>
            <w:tcBorders>
              <w:top w:val="nil"/>
              <w:left w:val="nil"/>
              <w:bottom w:val="nil"/>
              <w:right w:val="nil"/>
            </w:tcBorders>
            <w:shd w:val="clear" w:color="000000" w:fill="FFFFFF"/>
            <w:vAlign w:val="center"/>
          </w:tcPr>
          <w:p w14:paraId="37353022" w14:textId="6D468891" w:rsidR="00576365" w:rsidRPr="00343205" w:rsidRDefault="00576365" w:rsidP="00576365">
            <w:pPr>
              <w:keepNext/>
              <w:jc w:val="center"/>
              <w:rPr>
                <w:rFonts w:cs="Arial"/>
                <w:i/>
                <w:sz w:val="14"/>
                <w:szCs w:val="14"/>
              </w:rPr>
            </w:pPr>
            <w:r w:rsidRPr="00343205">
              <w:rPr>
                <w:rFonts w:ascii="Verdana" w:hAnsi="Verdana" w:cs="Calibri"/>
                <w:i/>
                <w:iCs/>
                <w:color w:val="000000"/>
                <w:sz w:val="14"/>
                <w:szCs w:val="14"/>
              </w:rPr>
              <w:t>-</w:t>
            </w:r>
            <w:r w:rsidR="007663EF">
              <w:rPr>
                <w:rFonts w:ascii="Verdana" w:hAnsi="Verdana" w:cs="Calibri"/>
                <w:i/>
                <w:iCs/>
                <w:color w:val="000000"/>
                <w:sz w:val="14"/>
                <w:szCs w:val="14"/>
              </w:rPr>
              <w:t xml:space="preserve">60 </w:t>
            </w:r>
            <w:r w:rsidR="00343205">
              <w:rPr>
                <w:rFonts w:ascii="Verdana" w:hAnsi="Verdana" w:cs="Calibri"/>
                <w:i/>
                <w:iCs/>
                <w:color w:val="000000"/>
                <w:sz w:val="14"/>
                <w:szCs w:val="14"/>
              </w:rPr>
              <w:t>pb</w:t>
            </w:r>
          </w:p>
        </w:tc>
      </w:tr>
      <w:tr w:rsidR="00576365" w:rsidRPr="002F446E" w14:paraId="4BF9ACF2" w14:textId="77777777" w:rsidTr="00343205">
        <w:trPr>
          <w:trHeight w:val="227"/>
          <w:jc w:val="center"/>
        </w:trPr>
        <w:tc>
          <w:tcPr>
            <w:tcW w:w="5998" w:type="dxa"/>
            <w:tcBorders>
              <w:bottom w:val="single" w:sz="8" w:space="0" w:color="0070AD" w:themeColor="accent1"/>
            </w:tcBorders>
            <w:shd w:val="clear" w:color="auto" w:fill="auto"/>
            <w:vAlign w:val="center"/>
          </w:tcPr>
          <w:p w14:paraId="06CEEDF4" w14:textId="77777777" w:rsidR="00576365" w:rsidRPr="002F446E" w:rsidRDefault="00576365" w:rsidP="00576365">
            <w:pPr>
              <w:keepNext/>
              <w:ind w:left="149"/>
              <w:rPr>
                <w:rFonts w:cs="Arial"/>
                <w:sz w:val="14"/>
                <w:szCs w:val="14"/>
              </w:rPr>
            </w:pPr>
            <w:r w:rsidRPr="002F446E">
              <w:rPr>
                <w:rFonts w:cs="Arial"/>
                <w:sz w:val="14"/>
                <w:szCs w:val="14"/>
              </w:rPr>
              <w:t>Autres charges et produits opérationnels</w:t>
            </w:r>
          </w:p>
        </w:tc>
        <w:tc>
          <w:tcPr>
            <w:tcW w:w="1474" w:type="dxa"/>
            <w:tcBorders>
              <w:top w:val="nil"/>
              <w:left w:val="nil"/>
              <w:bottom w:val="single" w:sz="8" w:space="0" w:color="0070AD"/>
              <w:right w:val="nil"/>
            </w:tcBorders>
            <w:shd w:val="clear" w:color="auto" w:fill="auto"/>
            <w:vAlign w:val="center"/>
          </w:tcPr>
          <w:p w14:paraId="4B8B5134" w14:textId="737F300C" w:rsidR="00576365" w:rsidRPr="002F446E" w:rsidRDefault="00576365" w:rsidP="00576365">
            <w:pPr>
              <w:keepNext/>
              <w:ind w:left="-170" w:right="397"/>
              <w:jc w:val="right"/>
              <w:rPr>
                <w:rFonts w:cs="Arial"/>
                <w:sz w:val="14"/>
                <w:szCs w:val="14"/>
              </w:rPr>
            </w:pPr>
            <w:r w:rsidRPr="002F446E">
              <w:rPr>
                <w:rFonts w:ascii="Verdana" w:hAnsi="Verdana" w:cs="Calibri"/>
                <w:sz w:val="14"/>
                <w:szCs w:val="14"/>
              </w:rPr>
              <w:t>(139)</w:t>
            </w:r>
          </w:p>
        </w:tc>
        <w:tc>
          <w:tcPr>
            <w:tcW w:w="1474" w:type="dxa"/>
            <w:tcBorders>
              <w:top w:val="nil"/>
              <w:left w:val="nil"/>
              <w:bottom w:val="single" w:sz="8" w:space="0" w:color="0070AD"/>
              <w:right w:val="nil"/>
            </w:tcBorders>
            <w:shd w:val="clear" w:color="000000" w:fill="BBE7FF"/>
            <w:vAlign w:val="center"/>
          </w:tcPr>
          <w:p w14:paraId="3AB70E22" w14:textId="1B86E4D5" w:rsidR="00576365" w:rsidRPr="00343205" w:rsidRDefault="00164A1A" w:rsidP="00576365">
            <w:pPr>
              <w:keepNext/>
              <w:ind w:left="-170" w:right="397"/>
              <w:jc w:val="right"/>
              <w:rPr>
                <w:rFonts w:cs="Arial"/>
                <w:sz w:val="14"/>
                <w:szCs w:val="14"/>
              </w:rPr>
            </w:pPr>
            <w:r>
              <w:rPr>
                <w:rFonts w:ascii="Verdana" w:hAnsi="Verdana" w:cs="Calibri"/>
                <w:color w:val="000000"/>
                <w:sz w:val="14"/>
                <w:szCs w:val="14"/>
              </w:rPr>
              <w:t>(</w:t>
            </w:r>
            <w:r w:rsidR="00576365" w:rsidRPr="00343205">
              <w:rPr>
                <w:rFonts w:ascii="Verdana" w:hAnsi="Verdana" w:cs="Calibri"/>
                <w:color w:val="000000"/>
                <w:sz w:val="14"/>
                <w:szCs w:val="14"/>
              </w:rPr>
              <w:t>241</w:t>
            </w:r>
            <w:r>
              <w:rPr>
                <w:rFonts w:ascii="Verdana" w:hAnsi="Verdana" w:cs="Calibri"/>
                <w:color w:val="000000"/>
                <w:sz w:val="14"/>
                <w:szCs w:val="14"/>
              </w:rPr>
              <w:t>)</w:t>
            </w:r>
          </w:p>
        </w:tc>
        <w:tc>
          <w:tcPr>
            <w:tcW w:w="1134" w:type="dxa"/>
            <w:tcBorders>
              <w:top w:val="nil"/>
              <w:left w:val="nil"/>
              <w:bottom w:val="single" w:sz="8" w:space="0" w:color="0070AD"/>
              <w:right w:val="nil"/>
            </w:tcBorders>
            <w:shd w:val="clear" w:color="000000" w:fill="FFFFFF"/>
            <w:vAlign w:val="center"/>
          </w:tcPr>
          <w:p w14:paraId="1BA60AD1" w14:textId="07DDC3BE" w:rsidR="00576365" w:rsidRPr="00343205" w:rsidRDefault="00576365" w:rsidP="00576365">
            <w:pPr>
              <w:keepNext/>
              <w:jc w:val="center"/>
              <w:rPr>
                <w:rFonts w:cs="Arial"/>
                <w:sz w:val="14"/>
                <w:szCs w:val="14"/>
              </w:rPr>
            </w:pPr>
          </w:p>
        </w:tc>
      </w:tr>
      <w:tr w:rsidR="00576365" w:rsidRPr="002F446E" w14:paraId="66FCEA6F" w14:textId="77777777" w:rsidTr="00343205">
        <w:trPr>
          <w:trHeight w:val="227"/>
          <w:jc w:val="center"/>
        </w:trPr>
        <w:tc>
          <w:tcPr>
            <w:tcW w:w="5998" w:type="dxa"/>
            <w:tcBorders>
              <w:top w:val="single" w:sz="8" w:space="0" w:color="0070AD" w:themeColor="accent1"/>
              <w:bottom w:val="single" w:sz="8" w:space="0" w:color="0070AD" w:themeColor="accent1"/>
            </w:tcBorders>
            <w:shd w:val="clear" w:color="auto" w:fill="auto"/>
            <w:vAlign w:val="center"/>
          </w:tcPr>
          <w:p w14:paraId="446CA285" w14:textId="77777777" w:rsidR="00576365" w:rsidRPr="002F446E" w:rsidRDefault="00576365" w:rsidP="00576365">
            <w:pPr>
              <w:keepNext/>
              <w:rPr>
                <w:rFonts w:cs="Arial"/>
                <w:b/>
                <w:color w:val="0070AD" w:themeColor="accent1"/>
                <w:sz w:val="14"/>
                <w:szCs w:val="14"/>
              </w:rPr>
            </w:pPr>
            <w:r w:rsidRPr="002F446E">
              <w:rPr>
                <w:rFonts w:cs="Arial"/>
                <w:b/>
                <w:color w:val="0070AD" w:themeColor="accent1"/>
                <w:sz w:val="14"/>
                <w:szCs w:val="14"/>
              </w:rPr>
              <w:t>Résultat d’exploitation</w:t>
            </w:r>
          </w:p>
        </w:tc>
        <w:tc>
          <w:tcPr>
            <w:tcW w:w="1474" w:type="dxa"/>
            <w:tcBorders>
              <w:top w:val="nil"/>
              <w:left w:val="nil"/>
              <w:bottom w:val="single" w:sz="8" w:space="0" w:color="0070AD"/>
              <w:right w:val="nil"/>
            </w:tcBorders>
            <w:shd w:val="clear" w:color="auto" w:fill="auto"/>
            <w:vAlign w:val="center"/>
          </w:tcPr>
          <w:p w14:paraId="16A3A3A8" w14:textId="036E1C39" w:rsidR="00576365" w:rsidRPr="002F446E" w:rsidRDefault="00576365" w:rsidP="00576365">
            <w:pPr>
              <w:keepNext/>
              <w:ind w:left="-170" w:right="397"/>
              <w:jc w:val="right"/>
              <w:rPr>
                <w:rFonts w:cs="Arial"/>
                <w:b/>
                <w:color w:val="0070AD" w:themeColor="accent1"/>
                <w:sz w:val="14"/>
                <w:szCs w:val="14"/>
              </w:rPr>
            </w:pPr>
            <w:r w:rsidRPr="002F446E">
              <w:rPr>
                <w:rFonts w:ascii="Verdana" w:hAnsi="Verdana" w:cs="Calibri"/>
                <w:b/>
                <w:bCs/>
                <w:color w:val="0070AD"/>
                <w:sz w:val="14"/>
                <w:szCs w:val="14"/>
              </w:rPr>
              <w:t xml:space="preserve">      658 </w:t>
            </w:r>
          </w:p>
        </w:tc>
        <w:tc>
          <w:tcPr>
            <w:tcW w:w="1474" w:type="dxa"/>
            <w:tcBorders>
              <w:top w:val="nil"/>
              <w:left w:val="nil"/>
              <w:bottom w:val="single" w:sz="8" w:space="0" w:color="0070AD"/>
              <w:right w:val="nil"/>
            </w:tcBorders>
            <w:shd w:val="clear" w:color="000000" w:fill="BBE7FF"/>
            <w:vAlign w:val="center"/>
          </w:tcPr>
          <w:p w14:paraId="1ECA279E" w14:textId="11E504CE" w:rsidR="00576365" w:rsidRPr="00343205" w:rsidRDefault="00576365" w:rsidP="00576365">
            <w:pPr>
              <w:keepNext/>
              <w:ind w:left="-170" w:right="397"/>
              <w:jc w:val="right"/>
              <w:rPr>
                <w:rFonts w:cs="Arial"/>
                <w:b/>
                <w:color w:val="0070AD" w:themeColor="accent1"/>
                <w:sz w:val="14"/>
                <w:szCs w:val="14"/>
              </w:rPr>
            </w:pPr>
            <w:r w:rsidRPr="00343205">
              <w:rPr>
                <w:rFonts w:ascii="Verdana" w:hAnsi="Verdana" w:cs="Calibri"/>
                <w:b/>
                <w:bCs/>
                <w:color w:val="0070AD"/>
                <w:sz w:val="14"/>
                <w:szCs w:val="14"/>
              </w:rPr>
              <w:t xml:space="preserve">          577 </w:t>
            </w:r>
          </w:p>
        </w:tc>
        <w:tc>
          <w:tcPr>
            <w:tcW w:w="1134" w:type="dxa"/>
            <w:tcBorders>
              <w:top w:val="nil"/>
              <w:left w:val="nil"/>
              <w:bottom w:val="single" w:sz="8" w:space="0" w:color="0070AD"/>
              <w:right w:val="nil"/>
            </w:tcBorders>
            <w:shd w:val="clear" w:color="000000" w:fill="FFFFFF"/>
            <w:vAlign w:val="center"/>
          </w:tcPr>
          <w:p w14:paraId="4C5EAC18" w14:textId="695EC9DE" w:rsidR="00576365" w:rsidRPr="00343205" w:rsidRDefault="00576365" w:rsidP="00576365">
            <w:pPr>
              <w:keepNext/>
              <w:jc w:val="center"/>
              <w:rPr>
                <w:rFonts w:cs="Arial"/>
                <w:b/>
                <w:color w:val="0070AD" w:themeColor="accent1"/>
                <w:sz w:val="14"/>
                <w:szCs w:val="14"/>
              </w:rPr>
            </w:pPr>
            <w:r w:rsidRPr="00343205">
              <w:rPr>
                <w:rFonts w:ascii="Verdana" w:hAnsi="Verdana" w:cs="Calibri"/>
                <w:b/>
                <w:bCs/>
                <w:color w:val="0070AD"/>
                <w:sz w:val="14"/>
                <w:szCs w:val="14"/>
              </w:rPr>
              <w:t>-12%</w:t>
            </w:r>
          </w:p>
        </w:tc>
      </w:tr>
      <w:tr w:rsidR="00576365" w:rsidRPr="002F446E" w14:paraId="5AEF7389" w14:textId="77777777" w:rsidTr="00343205">
        <w:trPr>
          <w:trHeight w:val="227"/>
          <w:jc w:val="center"/>
        </w:trPr>
        <w:tc>
          <w:tcPr>
            <w:tcW w:w="5998" w:type="dxa"/>
            <w:tcBorders>
              <w:top w:val="single" w:sz="8" w:space="0" w:color="0070AD" w:themeColor="accent1"/>
            </w:tcBorders>
            <w:shd w:val="clear" w:color="auto" w:fill="auto"/>
            <w:vAlign w:val="center"/>
          </w:tcPr>
          <w:p w14:paraId="0FBA9CBD" w14:textId="77777777" w:rsidR="00576365" w:rsidRPr="002F446E" w:rsidRDefault="00576365" w:rsidP="00576365">
            <w:pPr>
              <w:keepNext/>
              <w:rPr>
                <w:rFonts w:cs="Arial"/>
                <w:i/>
                <w:sz w:val="14"/>
                <w:szCs w:val="14"/>
              </w:rPr>
            </w:pPr>
            <w:proofErr w:type="gramStart"/>
            <w:r w:rsidRPr="002F446E">
              <w:rPr>
                <w:rFonts w:cs="Arial"/>
                <w:i/>
                <w:sz w:val="14"/>
                <w:szCs w:val="14"/>
              </w:rPr>
              <w:t>en</w:t>
            </w:r>
            <w:proofErr w:type="gramEnd"/>
            <w:r w:rsidRPr="002F446E">
              <w:rPr>
                <w:rFonts w:cs="Arial"/>
                <w:i/>
                <w:sz w:val="14"/>
                <w:szCs w:val="14"/>
              </w:rPr>
              <w:t xml:space="preserve"> % du chiffre d’affaires</w:t>
            </w:r>
          </w:p>
        </w:tc>
        <w:tc>
          <w:tcPr>
            <w:tcW w:w="1474" w:type="dxa"/>
            <w:tcBorders>
              <w:top w:val="nil"/>
              <w:left w:val="nil"/>
              <w:bottom w:val="nil"/>
              <w:right w:val="nil"/>
            </w:tcBorders>
            <w:shd w:val="clear" w:color="auto" w:fill="auto"/>
            <w:vAlign w:val="center"/>
          </w:tcPr>
          <w:p w14:paraId="051BAE2B" w14:textId="7A391212" w:rsidR="00576365" w:rsidRPr="002F446E" w:rsidRDefault="00576365" w:rsidP="00576365">
            <w:pPr>
              <w:keepNext/>
              <w:ind w:left="-170" w:right="397"/>
              <w:jc w:val="right"/>
              <w:rPr>
                <w:rFonts w:cs="Arial"/>
                <w:i/>
                <w:sz w:val="14"/>
                <w:szCs w:val="14"/>
              </w:rPr>
            </w:pPr>
            <w:r w:rsidRPr="002F446E">
              <w:rPr>
                <w:rFonts w:ascii="Verdana" w:hAnsi="Verdana" w:cs="Calibri"/>
                <w:color w:val="000000"/>
                <w:sz w:val="14"/>
                <w:szCs w:val="14"/>
              </w:rPr>
              <w:t>9,4%</w:t>
            </w:r>
          </w:p>
        </w:tc>
        <w:tc>
          <w:tcPr>
            <w:tcW w:w="1474" w:type="dxa"/>
            <w:tcBorders>
              <w:top w:val="nil"/>
              <w:left w:val="nil"/>
              <w:bottom w:val="nil"/>
              <w:right w:val="nil"/>
            </w:tcBorders>
            <w:shd w:val="clear" w:color="000000" w:fill="BBE7FF"/>
            <w:vAlign w:val="center"/>
          </w:tcPr>
          <w:p w14:paraId="11F5613E" w14:textId="5FF66445" w:rsidR="00576365" w:rsidRPr="00343205" w:rsidRDefault="00576365" w:rsidP="00343205">
            <w:pPr>
              <w:keepNext/>
              <w:ind w:left="-170" w:right="397"/>
              <w:jc w:val="right"/>
              <w:rPr>
                <w:rFonts w:cs="Arial"/>
                <w:i/>
                <w:sz w:val="14"/>
                <w:szCs w:val="14"/>
              </w:rPr>
            </w:pPr>
            <w:r w:rsidRPr="00343205">
              <w:rPr>
                <w:rFonts w:ascii="Verdana" w:hAnsi="Verdana" w:cs="Calibri"/>
                <w:color w:val="000000"/>
                <w:sz w:val="14"/>
                <w:szCs w:val="14"/>
              </w:rPr>
              <w:t>7</w:t>
            </w:r>
            <w:r w:rsidR="00343205">
              <w:rPr>
                <w:rFonts w:ascii="Verdana" w:hAnsi="Verdana" w:cs="Calibri"/>
                <w:color w:val="000000"/>
                <w:sz w:val="14"/>
                <w:szCs w:val="14"/>
              </w:rPr>
              <w:t>,</w:t>
            </w:r>
            <w:r w:rsidRPr="00343205">
              <w:rPr>
                <w:rFonts w:ascii="Verdana" w:hAnsi="Verdana" w:cs="Calibri"/>
                <w:color w:val="000000"/>
                <w:sz w:val="14"/>
                <w:szCs w:val="14"/>
              </w:rPr>
              <w:t>6%</w:t>
            </w:r>
          </w:p>
        </w:tc>
        <w:tc>
          <w:tcPr>
            <w:tcW w:w="1134" w:type="dxa"/>
            <w:tcBorders>
              <w:top w:val="nil"/>
              <w:left w:val="nil"/>
              <w:bottom w:val="nil"/>
              <w:right w:val="nil"/>
            </w:tcBorders>
            <w:shd w:val="clear" w:color="000000" w:fill="FFFFFF"/>
            <w:vAlign w:val="center"/>
          </w:tcPr>
          <w:p w14:paraId="0DA05527" w14:textId="73F791A7" w:rsidR="00576365" w:rsidRPr="00343205" w:rsidRDefault="00576365" w:rsidP="00576365">
            <w:pPr>
              <w:keepNext/>
              <w:jc w:val="center"/>
              <w:rPr>
                <w:rFonts w:cs="Arial"/>
                <w:i/>
                <w:sz w:val="14"/>
                <w:szCs w:val="14"/>
              </w:rPr>
            </w:pPr>
            <w:r w:rsidRPr="00343205">
              <w:rPr>
                <w:rFonts w:ascii="Verdana" w:hAnsi="Verdana" w:cs="Calibri"/>
                <w:i/>
                <w:iCs/>
                <w:color w:val="000000"/>
                <w:sz w:val="14"/>
                <w:szCs w:val="14"/>
              </w:rPr>
              <w:t>-</w:t>
            </w:r>
            <w:r w:rsidR="007663EF" w:rsidRPr="00343205">
              <w:rPr>
                <w:rFonts w:ascii="Verdana" w:hAnsi="Verdana" w:cs="Calibri"/>
                <w:i/>
                <w:iCs/>
                <w:color w:val="000000"/>
                <w:sz w:val="14"/>
                <w:szCs w:val="14"/>
              </w:rPr>
              <w:t>1</w:t>
            </w:r>
            <w:r w:rsidR="007663EF">
              <w:rPr>
                <w:rFonts w:ascii="Verdana" w:hAnsi="Verdana" w:cs="Calibri"/>
                <w:i/>
                <w:iCs/>
                <w:color w:val="000000"/>
                <w:sz w:val="14"/>
                <w:szCs w:val="14"/>
              </w:rPr>
              <w:t xml:space="preserve">80 </w:t>
            </w:r>
            <w:r w:rsidR="00343205">
              <w:rPr>
                <w:rFonts w:ascii="Verdana" w:hAnsi="Verdana" w:cs="Calibri"/>
                <w:i/>
                <w:iCs/>
                <w:color w:val="000000"/>
                <w:sz w:val="14"/>
                <w:szCs w:val="14"/>
              </w:rPr>
              <w:t>pb</w:t>
            </w:r>
          </w:p>
        </w:tc>
      </w:tr>
      <w:tr w:rsidR="00576365" w:rsidRPr="002F446E" w14:paraId="22B2C127" w14:textId="77777777" w:rsidTr="00343205">
        <w:trPr>
          <w:trHeight w:val="102"/>
          <w:jc w:val="center"/>
        </w:trPr>
        <w:tc>
          <w:tcPr>
            <w:tcW w:w="5998" w:type="dxa"/>
            <w:shd w:val="clear" w:color="auto" w:fill="auto"/>
            <w:vAlign w:val="center"/>
          </w:tcPr>
          <w:p w14:paraId="2F303BB7" w14:textId="77777777" w:rsidR="00576365" w:rsidRPr="002F446E" w:rsidRDefault="00576365" w:rsidP="00576365">
            <w:pPr>
              <w:keepNext/>
              <w:ind w:left="149"/>
              <w:rPr>
                <w:rFonts w:cs="Arial"/>
                <w:sz w:val="14"/>
                <w:szCs w:val="14"/>
              </w:rPr>
            </w:pPr>
            <w:r w:rsidRPr="002F446E">
              <w:rPr>
                <w:rFonts w:cs="Arial"/>
                <w:sz w:val="14"/>
                <w:szCs w:val="14"/>
              </w:rPr>
              <w:t>Résultat financier</w:t>
            </w:r>
          </w:p>
        </w:tc>
        <w:tc>
          <w:tcPr>
            <w:tcW w:w="1474" w:type="dxa"/>
            <w:tcBorders>
              <w:top w:val="nil"/>
              <w:left w:val="nil"/>
              <w:bottom w:val="nil"/>
              <w:right w:val="nil"/>
            </w:tcBorders>
            <w:shd w:val="clear" w:color="auto" w:fill="auto"/>
            <w:vAlign w:val="center"/>
          </w:tcPr>
          <w:p w14:paraId="686FB95D" w14:textId="4848BA77" w:rsidR="00576365" w:rsidRPr="002F446E" w:rsidRDefault="00576365" w:rsidP="00576365">
            <w:pPr>
              <w:keepNext/>
              <w:ind w:left="-170" w:right="397"/>
              <w:jc w:val="right"/>
              <w:rPr>
                <w:rFonts w:cs="Arial"/>
                <w:sz w:val="14"/>
                <w:szCs w:val="14"/>
              </w:rPr>
            </w:pPr>
            <w:r w:rsidRPr="002F446E">
              <w:rPr>
                <w:rFonts w:ascii="Verdana" w:hAnsi="Verdana" w:cs="Calibri"/>
                <w:color w:val="000000"/>
                <w:sz w:val="14"/>
                <w:szCs w:val="14"/>
              </w:rPr>
              <w:t xml:space="preserve">            (39)</w:t>
            </w:r>
          </w:p>
        </w:tc>
        <w:tc>
          <w:tcPr>
            <w:tcW w:w="1474" w:type="dxa"/>
            <w:tcBorders>
              <w:top w:val="nil"/>
              <w:left w:val="nil"/>
              <w:bottom w:val="nil"/>
              <w:right w:val="nil"/>
            </w:tcBorders>
            <w:shd w:val="clear" w:color="000000" w:fill="BBE7FF"/>
            <w:vAlign w:val="center"/>
          </w:tcPr>
          <w:p w14:paraId="2127157B" w14:textId="4AE34661" w:rsidR="00576365" w:rsidRPr="00343205" w:rsidRDefault="00576365" w:rsidP="00343205">
            <w:pPr>
              <w:keepNext/>
              <w:ind w:right="397"/>
              <w:jc w:val="right"/>
              <w:rPr>
                <w:rFonts w:cs="Arial"/>
                <w:sz w:val="14"/>
                <w:szCs w:val="14"/>
              </w:rPr>
            </w:pPr>
            <w:r w:rsidRPr="00343205">
              <w:rPr>
                <w:rFonts w:ascii="Verdana" w:hAnsi="Verdana" w:cs="Calibri"/>
                <w:color w:val="000000"/>
                <w:sz w:val="14"/>
                <w:szCs w:val="14"/>
              </w:rPr>
              <w:t xml:space="preserve">           </w:t>
            </w:r>
            <w:r w:rsidR="00343205">
              <w:rPr>
                <w:rFonts w:ascii="Verdana" w:hAnsi="Verdana" w:cs="Calibri"/>
                <w:color w:val="000000"/>
                <w:sz w:val="14"/>
                <w:szCs w:val="14"/>
              </w:rPr>
              <w:t>(6</w:t>
            </w:r>
            <w:r w:rsidRPr="00343205">
              <w:rPr>
                <w:rFonts w:ascii="Verdana" w:hAnsi="Verdana" w:cs="Calibri"/>
                <w:color w:val="000000"/>
                <w:sz w:val="14"/>
                <w:szCs w:val="14"/>
              </w:rPr>
              <w:t>4)</w:t>
            </w:r>
          </w:p>
        </w:tc>
        <w:tc>
          <w:tcPr>
            <w:tcW w:w="1134" w:type="dxa"/>
            <w:tcBorders>
              <w:top w:val="nil"/>
              <w:left w:val="nil"/>
              <w:bottom w:val="nil"/>
              <w:right w:val="nil"/>
            </w:tcBorders>
            <w:shd w:val="clear" w:color="000000" w:fill="FFFFFF"/>
            <w:vAlign w:val="center"/>
          </w:tcPr>
          <w:p w14:paraId="736FCA5A" w14:textId="12AEFF76" w:rsidR="00576365" w:rsidRPr="00343205" w:rsidRDefault="00576365" w:rsidP="00576365">
            <w:pPr>
              <w:keepNext/>
              <w:jc w:val="center"/>
              <w:rPr>
                <w:rFonts w:cs="Arial"/>
                <w:sz w:val="14"/>
                <w:szCs w:val="14"/>
              </w:rPr>
            </w:pPr>
          </w:p>
        </w:tc>
      </w:tr>
      <w:tr w:rsidR="00576365" w:rsidRPr="002F446E" w14:paraId="05A804B1" w14:textId="77777777" w:rsidTr="00343205">
        <w:trPr>
          <w:trHeight w:val="227"/>
          <w:jc w:val="center"/>
        </w:trPr>
        <w:tc>
          <w:tcPr>
            <w:tcW w:w="5998" w:type="dxa"/>
            <w:shd w:val="clear" w:color="auto" w:fill="auto"/>
            <w:vAlign w:val="center"/>
          </w:tcPr>
          <w:p w14:paraId="3EA8C2B8" w14:textId="77777777" w:rsidR="00576365" w:rsidRPr="002F446E" w:rsidRDefault="00576365" w:rsidP="00576365">
            <w:pPr>
              <w:keepNext/>
              <w:ind w:left="149"/>
              <w:rPr>
                <w:rFonts w:cs="Arial"/>
                <w:sz w:val="14"/>
                <w:szCs w:val="14"/>
              </w:rPr>
            </w:pPr>
            <w:r w:rsidRPr="002F446E">
              <w:rPr>
                <w:rFonts w:cs="Arial"/>
                <w:sz w:val="14"/>
                <w:szCs w:val="14"/>
              </w:rPr>
              <w:t>(Charge) / produit d’impôts</w:t>
            </w:r>
          </w:p>
        </w:tc>
        <w:tc>
          <w:tcPr>
            <w:tcW w:w="1474" w:type="dxa"/>
            <w:tcBorders>
              <w:top w:val="nil"/>
              <w:left w:val="nil"/>
              <w:bottom w:val="nil"/>
              <w:right w:val="nil"/>
            </w:tcBorders>
            <w:shd w:val="clear" w:color="auto" w:fill="auto"/>
            <w:vAlign w:val="center"/>
          </w:tcPr>
          <w:p w14:paraId="6B42E69B" w14:textId="3A92AD1C" w:rsidR="00576365" w:rsidRPr="002F446E" w:rsidRDefault="00576365" w:rsidP="00576365">
            <w:pPr>
              <w:keepNext/>
              <w:ind w:left="-170" w:right="397"/>
              <w:jc w:val="right"/>
              <w:rPr>
                <w:rFonts w:cs="Arial"/>
                <w:sz w:val="14"/>
                <w:szCs w:val="14"/>
              </w:rPr>
            </w:pPr>
            <w:r w:rsidRPr="002F446E">
              <w:rPr>
                <w:rFonts w:ascii="Verdana" w:hAnsi="Verdana" w:cs="Calibri"/>
                <w:color w:val="000000"/>
                <w:sz w:val="14"/>
                <w:szCs w:val="14"/>
              </w:rPr>
              <w:t xml:space="preserve">          (232)</w:t>
            </w:r>
          </w:p>
        </w:tc>
        <w:tc>
          <w:tcPr>
            <w:tcW w:w="1474" w:type="dxa"/>
            <w:tcBorders>
              <w:top w:val="nil"/>
              <w:left w:val="nil"/>
              <w:bottom w:val="nil"/>
              <w:right w:val="nil"/>
            </w:tcBorders>
            <w:shd w:val="clear" w:color="000000" w:fill="BBE7FF"/>
            <w:vAlign w:val="center"/>
          </w:tcPr>
          <w:p w14:paraId="0095B961" w14:textId="0F68C9EC" w:rsidR="00576365" w:rsidRPr="00343205" w:rsidRDefault="00576365" w:rsidP="00343205">
            <w:pPr>
              <w:keepNext/>
              <w:ind w:right="397"/>
              <w:jc w:val="right"/>
              <w:rPr>
                <w:rFonts w:cs="Arial"/>
                <w:sz w:val="14"/>
                <w:szCs w:val="14"/>
              </w:rPr>
            </w:pPr>
            <w:r w:rsidRPr="00343205">
              <w:rPr>
                <w:rFonts w:ascii="Verdana" w:hAnsi="Verdana" w:cs="Calibri"/>
                <w:color w:val="000000"/>
                <w:sz w:val="14"/>
                <w:szCs w:val="14"/>
              </w:rPr>
              <w:t xml:space="preserve">        </w:t>
            </w:r>
            <w:r w:rsidR="00343205">
              <w:rPr>
                <w:rFonts w:ascii="Verdana" w:hAnsi="Verdana" w:cs="Calibri"/>
                <w:color w:val="000000"/>
                <w:sz w:val="14"/>
                <w:szCs w:val="14"/>
              </w:rPr>
              <w:t xml:space="preserve"> (20</w:t>
            </w:r>
            <w:r w:rsidRPr="00343205">
              <w:rPr>
                <w:rFonts w:ascii="Verdana" w:hAnsi="Verdana" w:cs="Calibri"/>
                <w:color w:val="000000"/>
                <w:sz w:val="14"/>
                <w:szCs w:val="14"/>
              </w:rPr>
              <w:t>4)</w:t>
            </w:r>
          </w:p>
        </w:tc>
        <w:tc>
          <w:tcPr>
            <w:tcW w:w="1134" w:type="dxa"/>
            <w:tcBorders>
              <w:top w:val="nil"/>
              <w:left w:val="nil"/>
              <w:bottom w:val="nil"/>
              <w:right w:val="nil"/>
            </w:tcBorders>
            <w:shd w:val="clear" w:color="000000" w:fill="FFFFFF"/>
            <w:vAlign w:val="center"/>
          </w:tcPr>
          <w:p w14:paraId="0AF57577" w14:textId="5E8B0E68" w:rsidR="00576365" w:rsidRPr="00343205" w:rsidRDefault="00576365" w:rsidP="00576365">
            <w:pPr>
              <w:keepNext/>
              <w:jc w:val="center"/>
              <w:rPr>
                <w:rFonts w:cs="Arial"/>
                <w:sz w:val="14"/>
                <w:szCs w:val="14"/>
              </w:rPr>
            </w:pPr>
          </w:p>
        </w:tc>
      </w:tr>
      <w:tr w:rsidR="00576365" w:rsidRPr="002F446E" w14:paraId="15C2EDEB" w14:textId="77777777" w:rsidTr="00343205">
        <w:trPr>
          <w:trHeight w:val="227"/>
          <w:jc w:val="center"/>
        </w:trPr>
        <w:tc>
          <w:tcPr>
            <w:tcW w:w="5998" w:type="dxa"/>
            <w:tcBorders>
              <w:bottom w:val="single" w:sz="8" w:space="0" w:color="0070AD" w:themeColor="accent1"/>
            </w:tcBorders>
            <w:shd w:val="clear" w:color="auto" w:fill="auto"/>
            <w:vAlign w:val="center"/>
          </w:tcPr>
          <w:p w14:paraId="19C8AA98" w14:textId="77777777" w:rsidR="00576365" w:rsidRPr="002F446E" w:rsidRDefault="00576365" w:rsidP="00576365">
            <w:pPr>
              <w:keepNext/>
              <w:ind w:left="149"/>
              <w:rPr>
                <w:rFonts w:cs="Arial"/>
                <w:sz w:val="14"/>
                <w:szCs w:val="14"/>
              </w:rPr>
            </w:pPr>
            <w:r w:rsidRPr="002F446E">
              <w:rPr>
                <w:rFonts w:cs="Arial"/>
                <w:sz w:val="14"/>
                <w:szCs w:val="14"/>
              </w:rPr>
              <w:t>(-) Intérêts minoritaires</w:t>
            </w:r>
          </w:p>
        </w:tc>
        <w:tc>
          <w:tcPr>
            <w:tcW w:w="1474" w:type="dxa"/>
            <w:tcBorders>
              <w:top w:val="nil"/>
              <w:left w:val="nil"/>
              <w:bottom w:val="single" w:sz="8" w:space="0" w:color="0070AD"/>
              <w:right w:val="nil"/>
            </w:tcBorders>
            <w:shd w:val="clear" w:color="auto" w:fill="auto"/>
            <w:vAlign w:val="center"/>
          </w:tcPr>
          <w:p w14:paraId="42455276" w14:textId="512BBE4C" w:rsidR="00576365" w:rsidRPr="002F446E" w:rsidRDefault="00576365" w:rsidP="00576365">
            <w:pPr>
              <w:keepNext/>
              <w:ind w:left="-170" w:right="397"/>
              <w:jc w:val="right"/>
              <w:rPr>
                <w:rFonts w:cs="Arial"/>
                <w:sz w:val="14"/>
                <w:szCs w:val="14"/>
              </w:rPr>
            </w:pPr>
            <w:r w:rsidRPr="002F446E">
              <w:rPr>
                <w:rFonts w:ascii="Verdana" w:hAnsi="Verdana" w:cs="Calibri"/>
                <w:color w:val="000000"/>
                <w:sz w:val="14"/>
                <w:szCs w:val="14"/>
              </w:rPr>
              <w:t xml:space="preserve">                  1 </w:t>
            </w:r>
          </w:p>
        </w:tc>
        <w:tc>
          <w:tcPr>
            <w:tcW w:w="1474" w:type="dxa"/>
            <w:tcBorders>
              <w:top w:val="nil"/>
              <w:left w:val="nil"/>
              <w:bottom w:val="single" w:sz="8" w:space="0" w:color="0070AD"/>
              <w:right w:val="nil"/>
            </w:tcBorders>
            <w:shd w:val="clear" w:color="000000" w:fill="BBE7FF"/>
            <w:vAlign w:val="center"/>
          </w:tcPr>
          <w:p w14:paraId="787954C3" w14:textId="0B7F5E80" w:rsidR="00576365" w:rsidRPr="00343205" w:rsidRDefault="00576365" w:rsidP="00343205">
            <w:pPr>
              <w:keepNext/>
              <w:ind w:right="397"/>
              <w:jc w:val="right"/>
              <w:rPr>
                <w:rFonts w:cs="Arial"/>
                <w:sz w:val="14"/>
                <w:szCs w:val="14"/>
              </w:rPr>
            </w:pPr>
            <w:r w:rsidRPr="00343205">
              <w:rPr>
                <w:rFonts w:ascii="Verdana" w:hAnsi="Verdana" w:cs="Calibri"/>
                <w:color w:val="000000"/>
                <w:sz w:val="14"/>
                <w:szCs w:val="14"/>
              </w:rPr>
              <w:t xml:space="preserve">2 </w:t>
            </w:r>
          </w:p>
        </w:tc>
        <w:tc>
          <w:tcPr>
            <w:tcW w:w="1134" w:type="dxa"/>
            <w:tcBorders>
              <w:top w:val="nil"/>
              <w:left w:val="nil"/>
              <w:bottom w:val="single" w:sz="8" w:space="0" w:color="0070AD"/>
              <w:right w:val="nil"/>
            </w:tcBorders>
            <w:shd w:val="clear" w:color="000000" w:fill="FFFFFF"/>
            <w:vAlign w:val="center"/>
          </w:tcPr>
          <w:p w14:paraId="61B5C7E8" w14:textId="17B4A2FF" w:rsidR="00576365" w:rsidRPr="00343205" w:rsidRDefault="00576365" w:rsidP="00576365">
            <w:pPr>
              <w:keepNext/>
              <w:jc w:val="center"/>
              <w:rPr>
                <w:rFonts w:cs="Arial"/>
                <w:sz w:val="14"/>
                <w:szCs w:val="14"/>
              </w:rPr>
            </w:pPr>
          </w:p>
        </w:tc>
      </w:tr>
      <w:tr w:rsidR="00576365" w:rsidRPr="002F446E" w14:paraId="7FEC8E8C" w14:textId="77777777" w:rsidTr="00343205">
        <w:trPr>
          <w:trHeight w:val="227"/>
          <w:jc w:val="center"/>
        </w:trPr>
        <w:tc>
          <w:tcPr>
            <w:tcW w:w="5998" w:type="dxa"/>
            <w:tcBorders>
              <w:top w:val="single" w:sz="8" w:space="0" w:color="0070AD" w:themeColor="accent1"/>
              <w:bottom w:val="single" w:sz="8" w:space="0" w:color="0070AD" w:themeColor="accent1"/>
            </w:tcBorders>
            <w:shd w:val="clear" w:color="auto" w:fill="auto"/>
            <w:vAlign w:val="center"/>
          </w:tcPr>
          <w:p w14:paraId="722E13A7" w14:textId="77777777" w:rsidR="00576365" w:rsidRPr="002F446E" w:rsidRDefault="00576365" w:rsidP="00576365">
            <w:pPr>
              <w:keepNext/>
              <w:rPr>
                <w:rFonts w:cs="Arial"/>
                <w:b/>
                <w:color w:val="0070AD" w:themeColor="accent1"/>
                <w:sz w:val="14"/>
                <w:szCs w:val="14"/>
              </w:rPr>
            </w:pPr>
            <w:r w:rsidRPr="002F446E">
              <w:rPr>
                <w:rFonts w:cs="Arial"/>
                <w:b/>
                <w:color w:val="0070AD" w:themeColor="accent1"/>
                <w:sz w:val="14"/>
                <w:szCs w:val="14"/>
              </w:rPr>
              <w:t>Résultat net, part du Groupe</w:t>
            </w:r>
          </w:p>
        </w:tc>
        <w:tc>
          <w:tcPr>
            <w:tcW w:w="1474" w:type="dxa"/>
            <w:tcBorders>
              <w:top w:val="nil"/>
              <w:left w:val="nil"/>
              <w:bottom w:val="single" w:sz="8" w:space="0" w:color="0070AD"/>
              <w:right w:val="nil"/>
            </w:tcBorders>
            <w:shd w:val="clear" w:color="auto" w:fill="auto"/>
            <w:vAlign w:val="center"/>
          </w:tcPr>
          <w:p w14:paraId="6CB4F237" w14:textId="550B5F46" w:rsidR="00576365" w:rsidRPr="002F446E" w:rsidRDefault="00576365" w:rsidP="00576365">
            <w:pPr>
              <w:keepNext/>
              <w:ind w:left="-170" w:right="397"/>
              <w:jc w:val="right"/>
              <w:rPr>
                <w:rFonts w:cs="Arial"/>
                <w:b/>
                <w:color w:val="0070AD" w:themeColor="accent1"/>
                <w:sz w:val="14"/>
                <w:szCs w:val="14"/>
              </w:rPr>
            </w:pPr>
            <w:r w:rsidRPr="002F446E">
              <w:rPr>
                <w:rFonts w:ascii="Verdana" w:hAnsi="Verdana" w:cs="Calibri"/>
                <w:b/>
                <w:bCs/>
                <w:color w:val="0070AD"/>
                <w:sz w:val="14"/>
                <w:szCs w:val="14"/>
              </w:rPr>
              <w:t xml:space="preserve">      388 </w:t>
            </w:r>
          </w:p>
        </w:tc>
        <w:tc>
          <w:tcPr>
            <w:tcW w:w="1474" w:type="dxa"/>
            <w:tcBorders>
              <w:top w:val="nil"/>
              <w:left w:val="nil"/>
              <w:bottom w:val="single" w:sz="8" w:space="0" w:color="0070AD"/>
              <w:right w:val="nil"/>
            </w:tcBorders>
            <w:shd w:val="clear" w:color="000000" w:fill="BBE7FF"/>
            <w:vAlign w:val="center"/>
          </w:tcPr>
          <w:p w14:paraId="74BD0E41" w14:textId="44D08BF4" w:rsidR="00576365" w:rsidRPr="00343205" w:rsidRDefault="00576365" w:rsidP="00576365">
            <w:pPr>
              <w:keepNext/>
              <w:ind w:left="-170" w:right="397"/>
              <w:jc w:val="right"/>
              <w:rPr>
                <w:rFonts w:cs="Arial"/>
                <w:b/>
                <w:color w:val="0070AD" w:themeColor="accent1"/>
                <w:sz w:val="14"/>
                <w:szCs w:val="14"/>
              </w:rPr>
            </w:pPr>
            <w:r w:rsidRPr="00343205">
              <w:rPr>
                <w:rFonts w:ascii="Verdana" w:hAnsi="Verdana" w:cs="Calibri"/>
                <w:b/>
                <w:bCs/>
                <w:color w:val="0070AD"/>
                <w:sz w:val="14"/>
                <w:szCs w:val="14"/>
              </w:rPr>
              <w:t xml:space="preserve">           311 </w:t>
            </w:r>
          </w:p>
        </w:tc>
        <w:tc>
          <w:tcPr>
            <w:tcW w:w="1134" w:type="dxa"/>
            <w:tcBorders>
              <w:top w:val="nil"/>
              <w:left w:val="nil"/>
              <w:bottom w:val="single" w:sz="8" w:space="0" w:color="0070AD"/>
              <w:right w:val="nil"/>
            </w:tcBorders>
            <w:shd w:val="clear" w:color="000000" w:fill="FFFFFF"/>
            <w:vAlign w:val="center"/>
          </w:tcPr>
          <w:p w14:paraId="13D8D192" w14:textId="04F167F2" w:rsidR="00576365" w:rsidRPr="00343205" w:rsidRDefault="00576365" w:rsidP="00576365">
            <w:pPr>
              <w:keepNext/>
              <w:jc w:val="center"/>
              <w:rPr>
                <w:rFonts w:cs="Arial"/>
                <w:b/>
                <w:color w:val="0070AD" w:themeColor="accent1"/>
                <w:sz w:val="14"/>
                <w:szCs w:val="14"/>
              </w:rPr>
            </w:pPr>
            <w:r w:rsidRPr="00343205">
              <w:rPr>
                <w:rFonts w:ascii="Verdana" w:hAnsi="Verdana" w:cs="Calibri"/>
                <w:b/>
                <w:bCs/>
                <w:color w:val="0070AD"/>
                <w:sz w:val="14"/>
                <w:szCs w:val="14"/>
              </w:rPr>
              <w:t>-20%</w:t>
            </w:r>
          </w:p>
        </w:tc>
      </w:tr>
    </w:tbl>
    <w:p w14:paraId="13BE772E" w14:textId="77777777" w:rsidR="00076691" w:rsidRPr="002F446E" w:rsidRDefault="00076691" w:rsidP="000E732E"/>
    <w:p w14:paraId="42E9D179" w14:textId="5EAA865C" w:rsidR="00170B33" w:rsidRPr="002F446E" w:rsidRDefault="00170B33" w:rsidP="00170B33">
      <w:pPr>
        <w:pStyle w:val="Heading1"/>
      </w:pPr>
      <w:bookmarkStart w:id="24" w:name="_Hlk519774797"/>
      <w:r w:rsidRPr="002F446E">
        <w:t>RÉSULTAT NORMALISÉ ET RÉSULTAT DILU</w:t>
      </w:r>
      <w:r w:rsidR="00794241" w:rsidRPr="002F446E">
        <w:t>É</w:t>
      </w:r>
      <w:r w:rsidRPr="002F446E">
        <w:t xml:space="preserve"> PAR ACTION </w:t>
      </w:r>
    </w:p>
    <w:tbl>
      <w:tblPr>
        <w:tblW w:w="0" w:type="auto"/>
        <w:jc w:val="center"/>
        <w:tblLook w:val="04A0" w:firstRow="1" w:lastRow="0" w:firstColumn="1" w:lastColumn="0" w:noHBand="0" w:noVBand="1"/>
      </w:tblPr>
      <w:tblGrid>
        <w:gridCol w:w="5998"/>
        <w:gridCol w:w="1474"/>
        <w:gridCol w:w="1474"/>
        <w:gridCol w:w="1134"/>
      </w:tblGrid>
      <w:tr w:rsidR="00745FC2" w:rsidRPr="002F446E" w14:paraId="3D3C4D19" w14:textId="77777777" w:rsidTr="00944C01">
        <w:trPr>
          <w:trHeight w:val="284"/>
          <w:jc w:val="center"/>
        </w:trPr>
        <w:tc>
          <w:tcPr>
            <w:tcW w:w="5998" w:type="dxa"/>
            <w:tcBorders>
              <w:bottom w:val="single" w:sz="8" w:space="0" w:color="0070AD" w:themeColor="accent1"/>
            </w:tcBorders>
            <w:vAlign w:val="center"/>
          </w:tcPr>
          <w:p w14:paraId="1F15F0E4" w14:textId="77777777" w:rsidR="00745FC2" w:rsidRPr="002F446E" w:rsidRDefault="00745FC2" w:rsidP="00745FC2">
            <w:pPr>
              <w:keepNext/>
              <w:widowControl w:val="0"/>
              <w:jc w:val="center"/>
              <w:rPr>
                <w:rFonts w:cs="Arial"/>
                <w:i/>
                <w:sz w:val="14"/>
                <w:szCs w:val="14"/>
              </w:rPr>
            </w:pPr>
            <w:r w:rsidRPr="002F446E">
              <w:rPr>
                <w:rFonts w:cs="Arial"/>
                <w:i/>
                <w:sz w:val="14"/>
                <w:szCs w:val="14"/>
              </w:rPr>
              <w:t>(</w:t>
            </w:r>
            <w:proofErr w:type="gramStart"/>
            <w:r w:rsidRPr="002F446E">
              <w:rPr>
                <w:rFonts w:cs="Arial"/>
                <w:i/>
                <w:sz w:val="14"/>
                <w:szCs w:val="14"/>
              </w:rPr>
              <w:t>en</w:t>
            </w:r>
            <w:proofErr w:type="gramEnd"/>
            <w:r w:rsidRPr="002F446E">
              <w:rPr>
                <w:rFonts w:cs="Arial"/>
                <w:i/>
                <w:sz w:val="14"/>
                <w:szCs w:val="14"/>
              </w:rPr>
              <w:t xml:space="preserve"> millions d’euros)</w:t>
            </w:r>
          </w:p>
        </w:tc>
        <w:tc>
          <w:tcPr>
            <w:tcW w:w="1474" w:type="dxa"/>
            <w:tcBorders>
              <w:bottom w:val="single" w:sz="8" w:space="0" w:color="0070AD" w:themeColor="accent1"/>
            </w:tcBorders>
            <w:vAlign w:val="center"/>
          </w:tcPr>
          <w:p w14:paraId="4AE02A2D" w14:textId="77777777" w:rsidR="00745FC2" w:rsidRPr="002F446E" w:rsidRDefault="00745FC2" w:rsidP="00745FC2">
            <w:pPr>
              <w:keepNext/>
              <w:jc w:val="center"/>
              <w:rPr>
                <w:rFonts w:ascii="Verdana" w:hAnsi="Verdana" w:cs="Arial"/>
                <w:b/>
                <w:sz w:val="14"/>
                <w:szCs w:val="16"/>
              </w:rPr>
            </w:pPr>
            <w:r w:rsidRPr="002F446E">
              <w:rPr>
                <w:rFonts w:ascii="Verdana" w:hAnsi="Verdana" w:cs="Arial"/>
                <w:b/>
                <w:sz w:val="14"/>
                <w:szCs w:val="16"/>
              </w:rPr>
              <w:t>1</w:t>
            </w:r>
            <w:r w:rsidRPr="002F446E">
              <w:rPr>
                <w:rFonts w:ascii="Verdana" w:hAnsi="Verdana" w:cs="Arial"/>
                <w:b/>
                <w:sz w:val="14"/>
                <w:szCs w:val="16"/>
                <w:vertAlign w:val="superscript"/>
              </w:rPr>
              <w:t>er</w:t>
            </w:r>
            <w:r w:rsidRPr="002F446E">
              <w:rPr>
                <w:rFonts w:ascii="Verdana" w:hAnsi="Verdana" w:cs="Arial"/>
                <w:b/>
                <w:sz w:val="14"/>
                <w:szCs w:val="16"/>
              </w:rPr>
              <w:t xml:space="preserve"> semestre</w:t>
            </w:r>
          </w:p>
          <w:p w14:paraId="27C71DD1" w14:textId="29F4E1A4" w:rsidR="00745FC2" w:rsidRPr="00A9758A" w:rsidRDefault="00580CAF" w:rsidP="00A9758A">
            <w:pPr>
              <w:keepNext/>
              <w:jc w:val="center"/>
              <w:rPr>
                <w:rFonts w:ascii="Verdana" w:hAnsi="Verdana" w:cs="Arial"/>
                <w:b/>
                <w:sz w:val="14"/>
                <w:szCs w:val="16"/>
              </w:rPr>
            </w:pPr>
            <w:r>
              <w:rPr>
                <w:rFonts w:ascii="Verdana" w:hAnsi="Verdana" w:cs="Arial"/>
                <w:b/>
                <w:sz w:val="14"/>
                <w:szCs w:val="16"/>
              </w:rPr>
              <w:t>2019</w:t>
            </w:r>
          </w:p>
        </w:tc>
        <w:tc>
          <w:tcPr>
            <w:tcW w:w="1474" w:type="dxa"/>
            <w:tcBorders>
              <w:bottom w:val="single" w:sz="8" w:space="0" w:color="0070AD" w:themeColor="accent1"/>
            </w:tcBorders>
            <w:shd w:val="clear" w:color="auto" w:fill="BBE7FF" w:themeFill="accent1" w:themeFillTint="33"/>
            <w:vAlign w:val="center"/>
          </w:tcPr>
          <w:p w14:paraId="3A622BF1" w14:textId="77777777" w:rsidR="00745FC2" w:rsidRPr="002F446E" w:rsidRDefault="00745FC2" w:rsidP="00745FC2">
            <w:pPr>
              <w:keepNext/>
              <w:jc w:val="center"/>
              <w:rPr>
                <w:rFonts w:ascii="Verdana" w:hAnsi="Verdana" w:cs="Arial"/>
                <w:b/>
                <w:sz w:val="14"/>
                <w:szCs w:val="16"/>
              </w:rPr>
            </w:pPr>
            <w:r w:rsidRPr="002F446E">
              <w:rPr>
                <w:rFonts w:ascii="Verdana" w:hAnsi="Verdana" w:cs="Arial"/>
                <w:b/>
                <w:sz w:val="14"/>
                <w:szCs w:val="16"/>
              </w:rPr>
              <w:t>1</w:t>
            </w:r>
            <w:r w:rsidRPr="002F446E">
              <w:rPr>
                <w:rFonts w:ascii="Verdana" w:hAnsi="Verdana" w:cs="Arial"/>
                <w:b/>
                <w:sz w:val="14"/>
                <w:szCs w:val="16"/>
                <w:vertAlign w:val="superscript"/>
              </w:rPr>
              <w:t>er</w:t>
            </w:r>
            <w:r w:rsidRPr="002F446E">
              <w:rPr>
                <w:rFonts w:ascii="Verdana" w:hAnsi="Verdana" w:cs="Arial"/>
                <w:b/>
                <w:sz w:val="14"/>
                <w:szCs w:val="16"/>
              </w:rPr>
              <w:t xml:space="preserve"> semestre</w:t>
            </w:r>
          </w:p>
          <w:p w14:paraId="1CCF9D3D" w14:textId="73B59E20" w:rsidR="00745FC2" w:rsidRPr="00A9758A" w:rsidRDefault="00580CAF" w:rsidP="00A9758A">
            <w:pPr>
              <w:keepNext/>
              <w:jc w:val="center"/>
              <w:rPr>
                <w:rFonts w:ascii="Verdana" w:hAnsi="Verdana" w:cs="Arial"/>
                <w:b/>
                <w:sz w:val="14"/>
                <w:szCs w:val="16"/>
              </w:rPr>
            </w:pPr>
            <w:r>
              <w:rPr>
                <w:rFonts w:ascii="Verdana" w:hAnsi="Verdana" w:cs="Arial"/>
                <w:b/>
                <w:sz w:val="14"/>
                <w:szCs w:val="16"/>
              </w:rPr>
              <w:t>2020</w:t>
            </w:r>
          </w:p>
        </w:tc>
        <w:tc>
          <w:tcPr>
            <w:tcW w:w="1134" w:type="dxa"/>
            <w:tcBorders>
              <w:bottom w:val="single" w:sz="8" w:space="0" w:color="0070AD" w:themeColor="accent1"/>
            </w:tcBorders>
            <w:shd w:val="clear" w:color="auto" w:fill="auto"/>
            <w:vAlign w:val="center"/>
          </w:tcPr>
          <w:p w14:paraId="63CFFD7B" w14:textId="77777777" w:rsidR="00745FC2" w:rsidRPr="002F446E" w:rsidRDefault="00745FC2" w:rsidP="00745FC2">
            <w:pPr>
              <w:keepNext/>
              <w:widowControl w:val="0"/>
              <w:jc w:val="center"/>
              <w:rPr>
                <w:rFonts w:cs="Arial"/>
                <w:b/>
                <w:i/>
                <w:sz w:val="14"/>
                <w:szCs w:val="14"/>
              </w:rPr>
            </w:pPr>
            <w:r w:rsidRPr="002F446E">
              <w:rPr>
                <w:rFonts w:cs="Arial"/>
                <w:b/>
                <w:i/>
                <w:sz w:val="14"/>
                <w:szCs w:val="14"/>
              </w:rPr>
              <w:t>Variation</w:t>
            </w:r>
          </w:p>
        </w:tc>
      </w:tr>
      <w:tr w:rsidR="00343205" w:rsidRPr="002F446E" w14:paraId="048863A2" w14:textId="77777777" w:rsidTr="00343205">
        <w:trPr>
          <w:trHeight w:val="227"/>
          <w:jc w:val="center"/>
        </w:trPr>
        <w:tc>
          <w:tcPr>
            <w:tcW w:w="5998" w:type="dxa"/>
            <w:tcBorders>
              <w:top w:val="single" w:sz="8" w:space="0" w:color="0070AD" w:themeColor="accent1"/>
              <w:bottom w:val="single" w:sz="8" w:space="0" w:color="0070AD" w:themeColor="accent1"/>
            </w:tcBorders>
            <w:vAlign w:val="center"/>
          </w:tcPr>
          <w:p w14:paraId="4D6683C2" w14:textId="77777777" w:rsidR="00343205" w:rsidRPr="002F446E" w:rsidRDefault="00343205" w:rsidP="00343205">
            <w:pPr>
              <w:keepNext/>
              <w:widowControl w:val="0"/>
              <w:ind w:left="149"/>
              <w:rPr>
                <w:rFonts w:cs="Arial"/>
                <w:sz w:val="14"/>
                <w:szCs w:val="14"/>
              </w:rPr>
            </w:pPr>
            <w:r w:rsidRPr="002F446E">
              <w:rPr>
                <w:rFonts w:cs="Arial"/>
                <w:sz w:val="14"/>
                <w:szCs w:val="14"/>
              </w:rPr>
              <w:t>Nombre moyen d’actions en circulation</w:t>
            </w:r>
          </w:p>
        </w:tc>
        <w:tc>
          <w:tcPr>
            <w:tcW w:w="1474" w:type="dxa"/>
            <w:tcBorders>
              <w:top w:val="single" w:sz="8" w:space="0" w:color="0070AD" w:themeColor="accent1"/>
              <w:bottom w:val="single" w:sz="8" w:space="0" w:color="0070AD" w:themeColor="accent1"/>
            </w:tcBorders>
            <w:shd w:val="clear" w:color="auto" w:fill="auto"/>
            <w:vAlign w:val="center"/>
          </w:tcPr>
          <w:p w14:paraId="70D994D9" w14:textId="18815DCD" w:rsidR="00343205" w:rsidRPr="002F446E" w:rsidRDefault="00343205" w:rsidP="00343205">
            <w:pPr>
              <w:keepNext/>
              <w:widowControl w:val="0"/>
              <w:jc w:val="center"/>
              <w:rPr>
                <w:rFonts w:cs="Arial"/>
                <w:sz w:val="14"/>
                <w:szCs w:val="14"/>
              </w:rPr>
            </w:pPr>
            <w:r w:rsidRPr="002F446E">
              <w:rPr>
                <w:rFonts w:cs="Arial"/>
                <w:sz w:val="14"/>
                <w:szCs w:val="14"/>
              </w:rPr>
              <w:t>165 843 357</w:t>
            </w:r>
          </w:p>
        </w:tc>
        <w:tc>
          <w:tcPr>
            <w:tcW w:w="1474" w:type="dxa"/>
            <w:tcBorders>
              <w:top w:val="nil"/>
              <w:left w:val="nil"/>
              <w:bottom w:val="nil"/>
              <w:right w:val="nil"/>
            </w:tcBorders>
            <w:shd w:val="clear" w:color="000000" w:fill="BBE7FF"/>
            <w:vAlign w:val="center"/>
          </w:tcPr>
          <w:p w14:paraId="66302DD5" w14:textId="497AE321" w:rsidR="00343205" w:rsidRPr="00343205" w:rsidRDefault="00343205" w:rsidP="00343205">
            <w:pPr>
              <w:keepNext/>
              <w:widowControl w:val="0"/>
              <w:jc w:val="center"/>
              <w:rPr>
                <w:rFonts w:cs="Arial"/>
                <w:sz w:val="14"/>
                <w:szCs w:val="14"/>
              </w:rPr>
            </w:pPr>
            <w:r w:rsidRPr="00343205">
              <w:rPr>
                <w:rFonts w:ascii="Verdana" w:hAnsi="Verdana" w:cs="Calibri"/>
                <w:color w:val="000000"/>
                <w:sz w:val="14"/>
                <w:szCs w:val="14"/>
              </w:rPr>
              <w:t>167</w:t>
            </w:r>
            <w:r>
              <w:rPr>
                <w:rFonts w:ascii="Verdana" w:hAnsi="Verdana" w:cs="Calibri"/>
                <w:color w:val="000000"/>
                <w:sz w:val="14"/>
                <w:szCs w:val="14"/>
              </w:rPr>
              <w:t> </w:t>
            </w:r>
            <w:r w:rsidRPr="00343205">
              <w:rPr>
                <w:rFonts w:ascii="Verdana" w:hAnsi="Verdana" w:cs="Calibri"/>
                <w:color w:val="000000"/>
                <w:sz w:val="14"/>
                <w:szCs w:val="14"/>
              </w:rPr>
              <w:t>646</w:t>
            </w:r>
            <w:r>
              <w:rPr>
                <w:rFonts w:ascii="Verdana" w:hAnsi="Verdana" w:cs="Calibri"/>
                <w:color w:val="000000"/>
                <w:sz w:val="14"/>
                <w:szCs w:val="14"/>
              </w:rPr>
              <w:t xml:space="preserve"> </w:t>
            </w:r>
            <w:r w:rsidRPr="00343205">
              <w:rPr>
                <w:rFonts w:ascii="Verdana" w:hAnsi="Verdana" w:cs="Calibri"/>
                <w:color w:val="000000"/>
                <w:sz w:val="14"/>
                <w:szCs w:val="14"/>
              </w:rPr>
              <w:t>025</w:t>
            </w:r>
          </w:p>
        </w:tc>
        <w:tc>
          <w:tcPr>
            <w:tcW w:w="1134" w:type="dxa"/>
            <w:tcBorders>
              <w:top w:val="nil"/>
              <w:left w:val="nil"/>
              <w:bottom w:val="nil"/>
              <w:right w:val="nil"/>
            </w:tcBorders>
            <w:shd w:val="clear" w:color="000000" w:fill="FFFFFF"/>
            <w:vAlign w:val="center"/>
          </w:tcPr>
          <w:p w14:paraId="615B3EE3" w14:textId="3FCDFC64" w:rsidR="00343205" w:rsidRPr="00343205" w:rsidRDefault="00343205" w:rsidP="00343205">
            <w:pPr>
              <w:keepNext/>
              <w:widowControl w:val="0"/>
              <w:jc w:val="center"/>
              <w:rPr>
                <w:rFonts w:cs="Arial"/>
                <w:sz w:val="14"/>
                <w:szCs w:val="14"/>
              </w:rPr>
            </w:pPr>
          </w:p>
        </w:tc>
      </w:tr>
      <w:tr w:rsidR="00343205" w:rsidRPr="002F446E" w14:paraId="28B5BF0F" w14:textId="77777777" w:rsidTr="00343205">
        <w:trPr>
          <w:trHeight w:val="227"/>
          <w:jc w:val="center"/>
        </w:trPr>
        <w:tc>
          <w:tcPr>
            <w:tcW w:w="5998" w:type="dxa"/>
            <w:tcBorders>
              <w:top w:val="single" w:sz="8" w:space="0" w:color="0070AD" w:themeColor="accent1"/>
              <w:bottom w:val="single" w:sz="8" w:space="0" w:color="0070AD" w:themeColor="accent1"/>
            </w:tcBorders>
            <w:vAlign w:val="center"/>
          </w:tcPr>
          <w:p w14:paraId="7F62F72B" w14:textId="273253DA" w:rsidR="00343205" w:rsidRPr="002F446E" w:rsidRDefault="00343205" w:rsidP="00343205">
            <w:pPr>
              <w:keepNext/>
              <w:widowControl w:val="0"/>
              <w:rPr>
                <w:rFonts w:cs="Arial"/>
                <w:b/>
                <w:caps/>
                <w:color w:val="0070AD" w:themeColor="accent1"/>
                <w:sz w:val="14"/>
                <w:szCs w:val="14"/>
              </w:rPr>
            </w:pPr>
            <w:r w:rsidRPr="002F446E">
              <w:rPr>
                <w:rFonts w:cs="Arial"/>
                <w:b/>
                <w:caps/>
                <w:color w:val="0070AD" w:themeColor="accent1"/>
                <w:sz w:val="14"/>
                <w:szCs w:val="14"/>
              </w:rPr>
              <w:t xml:space="preserve">RÉsultat de base par action </w:t>
            </w:r>
            <w:r w:rsidRPr="002F446E">
              <w:rPr>
                <w:rFonts w:cs="Arial"/>
                <w:b/>
                <w:color w:val="0070AD" w:themeColor="accent1"/>
                <w:sz w:val="14"/>
                <w:szCs w:val="14"/>
              </w:rPr>
              <w:t>(en euros)</w:t>
            </w:r>
          </w:p>
        </w:tc>
        <w:tc>
          <w:tcPr>
            <w:tcW w:w="1474" w:type="dxa"/>
            <w:tcBorders>
              <w:top w:val="single" w:sz="8" w:space="0" w:color="0070AD" w:themeColor="accent1"/>
              <w:bottom w:val="single" w:sz="8" w:space="0" w:color="0070AD" w:themeColor="accent1"/>
            </w:tcBorders>
            <w:shd w:val="clear" w:color="auto" w:fill="auto"/>
            <w:vAlign w:val="center"/>
          </w:tcPr>
          <w:p w14:paraId="12B12B1A" w14:textId="0EB518B6" w:rsidR="00343205" w:rsidRPr="002F446E" w:rsidRDefault="00343205" w:rsidP="00343205">
            <w:pPr>
              <w:keepNext/>
              <w:ind w:left="-170" w:right="397"/>
              <w:jc w:val="right"/>
              <w:rPr>
                <w:rFonts w:cs="Arial"/>
                <w:b/>
                <w:color w:val="0070AD" w:themeColor="accent1"/>
                <w:sz w:val="14"/>
                <w:szCs w:val="14"/>
              </w:rPr>
            </w:pPr>
            <w:r w:rsidRPr="002F446E">
              <w:rPr>
                <w:rFonts w:cs="Arial"/>
                <w:b/>
                <w:color w:val="0070AD" w:themeColor="accent1"/>
                <w:sz w:val="14"/>
                <w:szCs w:val="14"/>
              </w:rPr>
              <w:t>2,34</w:t>
            </w:r>
          </w:p>
        </w:tc>
        <w:tc>
          <w:tcPr>
            <w:tcW w:w="1474" w:type="dxa"/>
            <w:tcBorders>
              <w:top w:val="single" w:sz="8" w:space="0" w:color="0070AD"/>
              <w:left w:val="nil"/>
              <w:bottom w:val="single" w:sz="8" w:space="0" w:color="0070AD"/>
              <w:right w:val="nil"/>
            </w:tcBorders>
            <w:shd w:val="clear" w:color="000000" w:fill="BBE7FF"/>
            <w:vAlign w:val="center"/>
          </w:tcPr>
          <w:p w14:paraId="31CF4F4D" w14:textId="5FB58FB5" w:rsidR="00343205" w:rsidRPr="00343205" w:rsidRDefault="00343205" w:rsidP="00343205">
            <w:pPr>
              <w:keepNext/>
              <w:ind w:left="-170" w:right="397"/>
              <w:jc w:val="right"/>
              <w:rPr>
                <w:rFonts w:cs="Arial"/>
                <w:b/>
                <w:color w:val="0070AD" w:themeColor="accent1"/>
                <w:sz w:val="14"/>
                <w:szCs w:val="14"/>
              </w:rPr>
            </w:pPr>
            <w:r w:rsidRPr="00343205">
              <w:rPr>
                <w:rFonts w:ascii="Verdana" w:hAnsi="Verdana" w:cs="Calibri"/>
                <w:b/>
                <w:bCs/>
                <w:color w:val="0070AD"/>
                <w:sz w:val="14"/>
                <w:szCs w:val="14"/>
              </w:rPr>
              <w:t>1</w:t>
            </w:r>
            <w:r>
              <w:rPr>
                <w:rFonts w:ascii="Verdana" w:hAnsi="Verdana" w:cs="Calibri"/>
                <w:b/>
                <w:bCs/>
                <w:color w:val="0070AD"/>
                <w:sz w:val="14"/>
                <w:szCs w:val="14"/>
              </w:rPr>
              <w:t>,</w:t>
            </w:r>
            <w:r w:rsidRPr="00343205">
              <w:rPr>
                <w:rFonts w:ascii="Verdana" w:hAnsi="Verdana" w:cs="Calibri"/>
                <w:b/>
                <w:bCs/>
                <w:color w:val="0070AD"/>
                <w:sz w:val="14"/>
                <w:szCs w:val="14"/>
              </w:rPr>
              <w:t>86</w:t>
            </w:r>
          </w:p>
        </w:tc>
        <w:tc>
          <w:tcPr>
            <w:tcW w:w="1134" w:type="dxa"/>
            <w:tcBorders>
              <w:top w:val="single" w:sz="8" w:space="0" w:color="0070AD"/>
              <w:left w:val="nil"/>
              <w:bottom w:val="single" w:sz="8" w:space="0" w:color="0070AD"/>
              <w:right w:val="nil"/>
            </w:tcBorders>
            <w:shd w:val="clear" w:color="000000" w:fill="FFFFFF"/>
            <w:vAlign w:val="center"/>
          </w:tcPr>
          <w:p w14:paraId="7922020E" w14:textId="5D862FCD" w:rsidR="00343205" w:rsidRPr="00343205" w:rsidRDefault="00343205" w:rsidP="00343205">
            <w:pPr>
              <w:keepNext/>
              <w:widowControl w:val="0"/>
              <w:jc w:val="center"/>
              <w:rPr>
                <w:rFonts w:cs="Arial"/>
                <w:b/>
                <w:color w:val="0070AD" w:themeColor="accent1"/>
                <w:sz w:val="14"/>
                <w:szCs w:val="14"/>
              </w:rPr>
            </w:pPr>
            <w:r w:rsidRPr="00343205">
              <w:rPr>
                <w:rFonts w:ascii="Verdana" w:hAnsi="Verdana" w:cs="Calibri"/>
                <w:b/>
                <w:bCs/>
                <w:color w:val="0070AD"/>
                <w:sz w:val="14"/>
                <w:szCs w:val="14"/>
              </w:rPr>
              <w:t>-21%</w:t>
            </w:r>
          </w:p>
        </w:tc>
      </w:tr>
      <w:tr w:rsidR="00343205" w:rsidRPr="002F446E" w14:paraId="25ED2F25" w14:textId="77777777" w:rsidTr="00343205">
        <w:trPr>
          <w:trHeight w:val="227"/>
          <w:jc w:val="center"/>
        </w:trPr>
        <w:tc>
          <w:tcPr>
            <w:tcW w:w="5998" w:type="dxa"/>
            <w:tcBorders>
              <w:top w:val="single" w:sz="8" w:space="0" w:color="0070AD" w:themeColor="accent1"/>
              <w:bottom w:val="single" w:sz="8" w:space="0" w:color="0070AD" w:themeColor="accent1"/>
            </w:tcBorders>
            <w:vAlign w:val="center"/>
          </w:tcPr>
          <w:p w14:paraId="5F6F728C" w14:textId="77777777" w:rsidR="00343205" w:rsidRPr="002F446E" w:rsidRDefault="00343205" w:rsidP="00343205">
            <w:pPr>
              <w:keepNext/>
              <w:widowControl w:val="0"/>
              <w:ind w:left="149"/>
              <w:rPr>
                <w:rFonts w:cs="Arial"/>
                <w:sz w:val="14"/>
                <w:szCs w:val="14"/>
              </w:rPr>
            </w:pPr>
            <w:r w:rsidRPr="002F446E">
              <w:rPr>
                <w:rFonts w:cs="Arial"/>
                <w:sz w:val="14"/>
                <w:szCs w:val="14"/>
              </w:rPr>
              <w:t>Nombre moyen d’actions dilué</w:t>
            </w:r>
          </w:p>
        </w:tc>
        <w:tc>
          <w:tcPr>
            <w:tcW w:w="1474" w:type="dxa"/>
            <w:tcBorders>
              <w:top w:val="single" w:sz="8" w:space="0" w:color="0070AD" w:themeColor="accent1"/>
              <w:bottom w:val="single" w:sz="8" w:space="0" w:color="0070AD" w:themeColor="accent1"/>
            </w:tcBorders>
            <w:shd w:val="clear" w:color="auto" w:fill="auto"/>
            <w:vAlign w:val="center"/>
          </w:tcPr>
          <w:p w14:paraId="518A455E" w14:textId="0E5EA7B4" w:rsidR="00343205" w:rsidRPr="002F446E" w:rsidRDefault="00343205" w:rsidP="00343205">
            <w:pPr>
              <w:keepNext/>
              <w:widowControl w:val="0"/>
              <w:jc w:val="center"/>
              <w:rPr>
                <w:rFonts w:cs="Arial"/>
                <w:sz w:val="14"/>
                <w:szCs w:val="14"/>
              </w:rPr>
            </w:pPr>
            <w:r w:rsidRPr="002F446E">
              <w:rPr>
                <w:rFonts w:ascii="Verdana" w:hAnsi="Verdana" w:cs="Arial"/>
                <w:sz w:val="14"/>
              </w:rPr>
              <w:t>170 864 789</w:t>
            </w:r>
          </w:p>
        </w:tc>
        <w:tc>
          <w:tcPr>
            <w:tcW w:w="1474" w:type="dxa"/>
            <w:tcBorders>
              <w:top w:val="nil"/>
              <w:left w:val="nil"/>
              <w:bottom w:val="nil"/>
              <w:right w:val="nil"/>
            </w:tcBorders>
            <w:shd w:val="clear" w:color="000000" w:fill="BBE7FF"/>
            <w:vAlign w:val="center"/>
          </w:tcPr>
          <w:p w14:paraId="4093FF31" w14:textId="4F58B493" w:rsidR="00343205" w:rsidRPr="00343205" w:rsidRDefault="00343205" w:rsidP="00343205">
            <w:pPr>
              <w:keepNext/>
              <w:widowControl w:val="0"/>
              <w:jc w:val="center"/>
              <w:rPr>
                <w:rFonts w:cs="Arial"/>
                <w:sz w:val="14"/>
                <w:szCs w:val="14"/>
              </w:rPr>
            </w:pPr>
            <w:r w:rsidRPr="00343205">
              <w:rPr>
                <w:rFonts w:ascii="Verdana" w:hAnsi="Verdana" w:cs="Calibri"/>
                <w:color w:val="000000"/>
                <w:sz w:val="14"/>
                <w:szCs w:val="14"/>
              </w:rPr>
              <w:t>172</w:t>
            </w:r>
            <w:r>
              <w:rPr>
                <w:rFonts w:ascii="Verdana" w:hAnsi="Verdana" w:cs="Calibri"/>
                <w:color w:val="000000"/>
                <w:sz w:val="14"/>
                <w:szCs w:val="14"/>
              </w:rPr>
              <w:t> </w:t>
            </w:r>
            <w:r w:rsidRPr="00343205">
              <w:rPr>
                <w:rFonts w:ascii="Verdana" w:hAnsi="Verdana" w:cs="Calibri"/>
                <w:color w:val="000000"/>
                <w:sz w:val="14"/>
                <w:szCs w:val="14"/>
              </w:rPr>
              <w:t>704</w:t>
            </w:r>
            <w:r>
              <w:rPr>
                <w:rFonts w:ascii="Verdana" w:hAnsi="Verdana" w:cs="Calibri"/>
                <w:color w:val="000000"/>
                <w:sz w:val="14"/>
                <w:szCs w:val="14"/>
              </w:rPr>
              <w:t xml:space="preserve"> </w:t>
            </w:r>
            <w:r w:rsidRPr="00343205">
              <w:rPr>
                <w:rFonts w:ascii="Verdana" w:hAnsi="Verdana" w:cs="Calibri"/>
                <w:color w:val="000000"/>
                <w:sz w:val="14"/>
                <w:szCs w:val="14"/>
              </w:rPr>
              <w:t>349</w:t>
            </w:r>
          </w:p>
        </w:tc>
        <w:tc>
          <w:tcPr>
            <w:tcW w:w="1134" w:type="dxa"/>
            <w:tcBorders>
              <w:top w:val="nil"/>
              <w:left w:val="nil"/>
              <w:bottom w:val="nil"/>
              <w:right w:val="nil"/>
            </w:tcBorders>
            <w:shd w:val="clear" w:color="000000" w:fill="FFFFFF"/>
            <w:vAlign w:val="center"/>
          </w:tcPr>
          <w:p w14:paraId="08B1BEB1" w14:textId="77FFDF30" w:rsidR="00343205" w:rsidRPr="00343205" w:rsidRDefault="00343205" w:rsidP="00343205">
            <w:pPr>
              <w:keepNext/>
              <w:widowControl w:val="0"/>
              <w:jc w:val="center"/>
              <w:rPr>
                <w:rFonts w:cs="Arial"/>
                <w:sz w:val="14"/>
                <w:szCs w:val="14"/>
              </w:rPr>
            </w:pPr>
          </w:p>
        </w:tc>
      </w:tr>
      <w:tr w:rsidR="00343205" w:rsidRPr="002F446E" w14:paraId="4C6A1F14" w14:textId="77777777" w:rsidTr="00343205">
        <w:trPr>
          <w:trHeight w:val="227"/>
          <w:jc w:val="center"/>
        </w:trPr>
        <w:tc>
          <w:tcPr>
            <w:tcW w:w="5998" w:type="dxa"/>
            <w:tcBorders>
              <w:top w:val="single" w:sz="8" w:space="0" w:color="0070AD" w:themeColor="accent1"/>
              <w:bottom w:val="single" w:sz="8" w:space="0" w:color="0070AD" w:themeColor="accent1"/>
            </w:tcBorders>
            <w:vAlign w:val="center"/>
          </w:tcPr>
          <w:p w14:paraId="173663AE" w14:textId="133D13B1" w:rsidR="00343205" w:rsidRPr="002F446E" w:rsidRDefault="00343205" w:rsidP="00343205">
            <w:pPr>
              <w:widowControl w:val="0"/>
              <w:rPr>
                <w:rFonts w:cs="Arial"/>
                <w:b/>
                <w:caps/>
                <w:color w:val="0070AD" w:themeColor="accent1"/>
                <w:sz w:val="14"/>
                <w:szCs w:val="14"/>
              </w:rPr>
            </w:pPr>
            <w:r w:rsidRPr="002F446E">
              <w:rPr>
                <w:rFonts w:cs="Arial"/>
                <w:b/>
                <w:caps/>
                <w:color w:val="0070AD" w:themeColor="accent1"/>
                <w:sz w:val="14"/>
                <w:szCs w:val="14"/>
              </w:rPr>
              <w:t xml:space="preserve">RÉsultat diluÉ par action </w:t>
            </w:r>
            <w:r w:rsidRPr="002F446E">
              <w:rPr>
                <w:rFonts w:cs="Arial"/>
                <w:b/>
                <w:color w:val="0070AD" w:themeColor="accent1"/>
                <w:sz w:val="14"/>
                <w:szCs w:val="14"/>
              </w:rPr>
              <w:t>(en euros)</w:t>
            </w:r>
          </w:p>
        </w:tc>
        <w:tc>
          <w:tcPr>
            <w:tcW w:w="1474" w:type="dxa"/>
            <w:tcBorders>
              <w:top w:val="single" w:sz="8" w:space="0" w:color="0070AD" w:themeColor="accent1"/>
              <w:bottom w:val="single" w:sz="8" w:space="0" w:color="0070AD" w:themeColor="accent1"/>
            </w:tcBorders>
            <w:shd w:val="clear" w:color="auto" w:fill="auto"/>
            <w:vAlign w:val="center"/>
          </w:tcPr>
          <w:p w14:paraId="1C9AB765" w14:textId="219010BB" w:rsidR="00343205" w:rsidRPr="002F446E" w:rsidRDefault="00343205" w:rsidP="00343205">
            <w:pPr>
              <w:keepNext/>
              <w:ind w:left="-170" w:right="397"/>
              <w:jc w:val="right"/>
              <w:rPr>
                <w:rFonts w:cs="Arial"/>
                <w:b/>
                <w:color w:val="0070AD" w:themeColor="accent1"/>
                <w:sz w:val="14"/>
                <w:szCs w:val="14"/>
              </w:rPr>
            </w:pPr>
            <w:r w:rsidRPr="002F446E">
              <w:rPr>
                <w:rFonts w:cs="Arial"/>
                <w:b/>
                <w:color w:val="0070AD" w:themeColor="accent1"/>
                <w:sz w:val="14"/>
                <w:szCs w:val="14"/>
              </w:rPr>
              <w:t>2,27</w:t>
            </w:r>
          </w:p>
        </w:tc>
        <w:tc>
          <w:tcPr>
            <w:tcW w:w="1474" w:type="dxa"/>
            <w:tcBorders>
              <w:top w:val="single" w:sz="8" w:space="0" w:color="0070AD"/>
              <w:left w:val="nil"/>
              <w:bottom w:val="single" w:sz="8" w:space="0" w:color="0070AD"/>
              <w:right w:val="nil"/>
            </w:tcBorders>
            <w:shd w:val="clear" w:color="000000" w:fill="BBE7FF"/>
            <w:vAlign w:val="center"/>
          </w:tcPr>
          <w:p w14:paraId="767A6578" w14:textId="4C2C0D72" w:rsidR="00343205" w:rsidRPr="00343205" w:rsidRDefault="00343205" w:rsidP="00343205">
            <w:pPr>
              <w:keepNext/>
              <w:ind w:left="-170" w:right="397"/>
              <w:jc w:val="right"/>
              <w:rPr>
                <w:rFonts w:cs="Arial"/>
                <w:b/>
                <w:color w:val="0070AD" w:themeColor="accent1"/>
                <w:sz w:val="14"/>
                <w:szCs w:val="14"/>
              </w:rPr>
            </w:pPr>
            <w:r w:rsidRPr="00343205">
              <w:rPr>
                <w:rFonts w:ascii="Verdana" w:hAnsi="Verdana" w:cs="Calibri"/>
                <w:b/>
                <w:bCs/>
                <w:color w:val="0070AD"/>
                <w:sz w:val="14"/>
                <w:szCs w:val="14"/>
              </w:rPr>
              <w:t>1</w:t>
            </w:r>
            <w:r>
              <w:rPr>
                <w:rFonts w:ascii="Verdana" w:hAnsi="Verdana" w:cs="Calibri"/>
                <w:b/>
                <w:bCs/>
                <w:color w:val="0070AD"/>
                <w:sz w:val="14"/>
                <w:szCs w:val="14"/>
              </w:rPr>
              <w:t>,</w:t>
            </w:r>
            <w:r w:rsidRPr="00343205">
              <w:rPr>
                <w:rFonts w:ascii="Verdana" w:hAnsi="Verdana" w:cs="Calibri"/>
                <w:b/>
                <w:bCs/>
                <w:color w:val="0070AD"/>
                <w:sz w:val="14"/>
                <w:szCs w:val="14"/>
              </w:rPr>
              <w:t>80</w:t>
            </w:r>
          </w:p>
        </w:tc>
        <w:tc>
          <w:tcPr>
            <w:tcW w:w="1134" w:type="dxa"/>
            <w:tcBorders>
              <w:top w:val="single" w:sz="8" w:space="0" w:color="0070AD"/>
              <w:left w:val="nil"/>
              <w:bottom w:val="single" w:sz="8" w:space="0" w:color="0070AD"/>
              <w:right w:val="nil"/>
            </w:tcBorders>
            <w:shd w:val="clear" w:color="000000" w:fill="FFFFFF"/>
            <w:vAlign w:val="center"/>
          </w:tcPr>
          <w:p w14:paraId="5093AD3F" w14:textId="2E8EB9AB" w:rsidR="00343205" w:rsidRPr="00343205" w:rsidRDefault="00343205" w:rsidP="00343205">
            <w:pPr>
              <w:widowControl w:val="0"/>
              <w:jc w:val="center"/>
              <w:rPr>
                <w:rFonts w:cs="Arial"/>
                <w:b/>
                <w:color w:val="0070AD" w:themeColor="accent1"/>
                <w:sz w:val="14"/>
                <w:szCs w:val="14"/>
              </w:rPr>
            </w:pPr>
            <w:r w:rsidRPr="00343205">
              <w:rPr>
                <w:rFonts w:ascii="Verdana" w:hAnsi="Verdana" w:cs="Calibri"/>
                <w:b/>
                <w:bCs/>
                <w:color w:val="0070AD"/>
                <w:sz w:val="14"/>
                <w:szCs w:val="14"/>
              </w:rPr>
              <w:t>-21%</w:t>
            </w:r>
          </w:p>
        </w:tc>
      </w:tr>
      <w:tr w:rsidR="00170B33" w:rsidRPr="002F446E" w14:paraId="07836C01" w14:textId="77777777" w:rsidTr="00944C01">
        <w:trPr>
          <w:trHeight w:val="227"/>
          <w:jc w:val="center"/>
        </w:trPr>
        <w:tc>
          <w:tcPr>
            <w:tcW w:w="5998" w:type="dxa"/>
            <w:tcBorders>
              <w:top w:val="single" w:sz="8" w:space="0" w:color="0070AD" w:themeColor="accent1"/>
            </w:tcBorders>
            <w:shd w:val="clear" w:color="auto" w:fill="auto"/>
            <w:vAlign w:val="center"/>
          </w:tcPr>
          <w:p w14:paraId="1E373043" w14:textId="77777777" w:rsidR="00170B33" w:rsidRPr="002F446E" w:rsidRDefault="00170B33" w:rsidP="00E178EA">
            <w:pPr>
              <w:widowControl w:val="0"/>
              <w:rPr>
                <w:rFonts w:cs="Arial"/>
                <w:b/>
                <w:color w:val="0070AD" w:themeColor="accent1"/>
                <w:sz w:val="14"/>
                <w:szCs w:val="14"/>
              </w:rPr>
            </w:pPr>
          </w:p>
        </w:tc>
        <w:tc>
          <w:tcPr>
            <w:tcW w:w="1474" w:type="dxa"/>
            <w:tcBorders>
              <w:top w:val="single" w:sz="8" w:space="0" w:color="0070AD" w:themeColor="accent1"/>
            </w:tcBorders>
            <w:shd w:val="clear" w:color="auto" w:fill="auto"/>
            <w:vAlign w:val="center"/>
          </w:tcPr>
          <w:p w14:paraId="464346B1" w14:textId="77777777" w:rsidR="00170B33" w:rsidRPr="002F446E" w:rsidRDefault="00170B33" w:rsidP="00E178EA">
            <w:pPr>
              <w:widowControl w:val="0"/>
              <w:ind w:left="-170" w:right="567"/>
              <w:jc w:val="right"/>
              <w:rPr>
                <w:rFonts w:cs="Arial"/>
                <w:b/>
                <w:color w:val="0070AD" w:themeColor="accent1"/>
                <w:sz w:val="14"/>
                <w:szCs w:val="14"/>
              </w:rPr>
            </w:pPr>
          </w:p>
        </w:tc>
        <w:tc>
          <w:tcPr>
            <w:tcW w:w="1474" w:type="dxa"/>
            <w:tcBorders>
              <w:top w:val="single" w:sz="8" w:space="0" w:color="0070AD" w:themeColor="accent1"/>
            </w:tcBorders>
            <w:shd w:val="clear" w:color="auto" w:fill="auto"/>
            <w:vAlign w:val="center"/>
          </w:tcPr>
          <w:p w14:paraId="1DFBD1AA" w14:textId="77777777" w:rsidR="00170B33" w:rsidRPr="002F446E" w:rsidRDefault="00170B33" w:rsidP="00E178EA">
            <w:pPr>
              <w:widowControl w:val="0"/>
              <w:ind w:left="-170" w:right="567"/>
              <w:jc w:val="right"/>
              <w:rPr>
                <w:rFonts w:cs="Arial"/>
                <w:b/>
                <w:color w:val="0070AD" w:themeColor="accent1"/>
                <w:sz w:val="14"/>
                <w:szCs w:val="14"/>
              </w:rPr>
            </w:pPr>
          </w:p>
        </w:tc>
        <w:tc>
          <w:tcPr>
            <w:tcW w:w="1134" w:type="dxa"/>
            <w:tcBorders>
              <w:top w:val="single" w:sz="8" w:space="0" w:color="0070AD" w:themeColor="accent1"/>
            </w:tcBorders>
            <w:shd w:val="clear" w:color="auto" w:fill="auto"/>
            <w:vAlign w:val="center"/>
          </w:tcPr>
          <w:p w14:paraId="60A726AC" w14:textId="77777777" w:rsidR="00170B33" w:rsidRPr="002F446E" w:rsidRDefault="00170B33" w:rsidP="00E178EA">
            <w:pPr>
              <w:widowControl w:val="0"/>
              <w:jc w:val="center"/>
              <w:rPr>
                <w:rFonts w:cs="Arial"/>
                <w:b/>
                <w:color w:val="0070AD" w:themeColor="accent1"/>
                <w:sz w:val="14"/>
                <w:szCs w:val="14"/>
              </w:rPr>
            </w:pPr>
          </w:p>
        </w:tc>
      </w:tr>
      <w:tr w:rsidR="00745FC2" w:rsidRPr="002F446E" w14:paraId="2215F1BF" w14:textId="77777777" w:rsidTr="00A9758A">
        <w:trPr>
          <w:trHeight w:val="284"/>
          <w:jc w:val="center"/>
        </w:trPr>
        <w:tc>
          <w:tcPr>
            <w:tcW w:w="5998" w:type="dxa"/>
            <w:tcBorders>
              <w:bottom w:val="single" w:sz="8" w:space="0" w:color="0070AD" w:themeColor="accent1"/>
            </w:tcBorders>
            <w:vAlign w:val="center"/>
          </w:tcPr>
          <w:p w14:paraId="57D31BD5" w14:textId="77777777" w:rsidR="00745FC2" w:rsidRPr="002F446E" w:rsidRDefault="00745FC2" w:rsidP="00745FC2">
            <w:pPr>
              <w:keepNext/>
              <w:widowControl w:val="0"/>
              <w:jc w:val="center"/>
              <w:rPr>
                <w:rFonts w:cs="Arial"/>
                <w:i/>
                <w:sz w:val="14"/>
                <w:szCs w:val="14"/>
              </w:rPr>
            </w:pPr>
            <w:r w:rsidRPr="002F446E">
              <w:rPr>
                <w:rFonts w:cs="Arial"/>
                <w:i/>
                <w:sz w:val="14"/>
                <w:szCs w:val="14"/>
              </w:rPr>
              <w:t>(</w:t>
            </w:r>
            <w:proofErr w:type="gramStart"/>
            <w:r w:rsidRPr="002F446E">
              <w:rPr>
                <w:rFonts w:cs="Arial"/>
                <w:i/>
                <w:sz w:val="14"/>
                <w:szCs w:val="14"/>
              </w:rPr>
              <w:t>en</w:t>
            </w:r>
            <w:proofErr w:type="gramEnd"/>
            <w:r w:rsidRPr="002F446E">
              <w:rPr>
                <w:rFonts w:cs="Arial"/>
                <w:i/>
                <w:sz w:val="14"/>
                <w:szCs w:val="14"/>
              </w:rPr>
              <w:t xml:space="preserve"> millions d’euros)</w:t>
            </w:r>
          </w:p>
        </w:tc>
        <w:tc>
          <w:tcPr>
            <w:tcW w:w="1474" w:type="dxa"/>
            <w:tcBorders>
              <w:bottom w:val="single" w:sz="8" w:space="0" w:color="0070AD" w:themeColor="accent1"/>
            </w:tcBorders>
            <w:shd w:val="clear" w:color="auto" w:fill="auto"/>
            <w:vAlign w:val="center"/>
          </w:tcPr>
          <w:p w14:paraId="64594845" w14:textId="77777777" w:rsidR="00745FC2" w:rsidRPr="002F446E" w:rsidRDefault="00745FC2" w:rsidP="00745FC2">
            <w:pPr>
              <w:keepNext/>
              <w:jc w:val="center"/>
              <w:rPr>
                <w:rFonts w:ascii="Verdana" w:hAnsi="Verdana" w:cs="Arial"/>
                <w:b/>
                <w:sz w:val="14"/>
                <w:szCs w:val="16"/>
              </w:rPr>
            </w:pPr>
            <w:r w:rsidRPr="002F446E">
              <w:rPr>
                <w:rFonts w:ascii="Verdana" w:hAnsi="Verdana" w:cs="Arial"/>
                <w:b/>
                <w:sz w:val="14"/>
                <w:szCs w:val="16"/>
              </w:rPr>
              <w:t>1</w:t>
            </w:r>
            <w:r w:rsidRPr="002F446E">
              <w:rPr>
                <w:rFonts w:ascii="Verdana" w:hAnsi="Verdana" w:cs="Arial"/>
                <w:b/>
                <w:sz w:val="14"/>
                <w:szCs w:val="16"/>
                <w:vertAlign w:val="superscript"/>
              </w:rPr>
              <w:t>er</w:t>
            </w:r>
            <w:r w:rsidRPr="002F446E">
              <w:rPr>
                <w:rFonts w:ascii="Verdana" w:hAnsi="Verdana" w:cs="Arial"/>
                <w:b/>
                <w:sz w:val="14"/>
                <w:szCs w:val="16"/>
              </w:rPr>
              <w:t xml:space="preserve"> semestre</w:t>
            </w:r>
          </w:p>
          <w:p w14:paraId="58DFA06E" w14:textId="60CF3565" w:rsidR="00745FC2" w:rsidRPr="00A9758A" w:rsidRDefault="00580CAF" w:rsidP="00A9758A">
            <w:pPr>
              <w:keepNext/>
              <w:jc w:val="center"/>
              <w:rPr>
                <w:rFonts w:ascii="Verdana" w:hAnsi="Verdana" w:cs="Arial"/>
                <w:b/>
                <w:sz w:val="14"/>
                <w:szCs w:val="16"/>
              </w:rPr>
            </w:pPr>
            <w:r>
              <w:rPr>
                <w:rFonts w:ascii="Verdana" w:hAnsi="Verdana" w:cs="Arial"/>
                <w:b/>
                <w:sz w:val="14"/>
                <w:szCs w:val="16"/>
              </w:rPr>
              <w:t>2019</w:t>
            </w:r>
          </w:p>
        </w:tc>
        <w:tc>
          <w:tcPr>
            <w:tcW w:w="1474" w:type="dxa"/>
            <w:tcBorders>
              <w:bottom w:val="single" w:sz="8" w:space="0" w:color="0070AD" w:themeColor="accent1"/>
            </w:tcBorders>
            <w:shd w:val="clear" w:color="auto" w:fill="BBE7FF" w:themeFill="accent1" w:themeFillTint="33"/>
            <w:vAlign w:val="center"/>
          </w:tcPr>
          <w:p w14:paraId="07DED757" w14:textId="77777777" w:rsidR="00745FC2" w:rsidRPr="002F446E" w:rsidRDefault="00745FC2" w:rsidP="00745FC2">
            <w:pPr>
              <w:keepNext/>
              <w:jc w:val="center"/>
              <w:rPr>
                <w:rFonts w:ascii="Verdana" w:hAnsi="Verdana" w:cs="Arial"/>
                <w:b/>
                <w:sz w:val="14"/>
                <w:szCs w:val="16"/>
              </w:rPr>
            </w:pPr>
            <w:r w:rsidRPr="002F446E">
              <w:rPr>
                <w:rFonts w:ascii="Verdana" w:hAnsi="Verdana" w:cs="Arial"/>
                <w:b/>
                <w:sz w:val="14"/>
                <w:szCs w:val="16"/>
              </w:rPr>
              <w:t>1</w:t>
            </w:r>
            <w:r w:rsidRPr="002F446E">
              <w:rPr>
                <w:rFonts w:ascii="Verdana" w:hAnsi="Verdana" w:cs="Arial"/>
                <w:b/>
                <w:sz w:val="14"/>
                <w:szCs w:val="16"/>
                <w:vertAlign w:val="superscript"/>
              </w:rPr>
              <w:t>er</w:t>
            </w:r>
            <w:r w:rsidRPr="002F446E">
              <w:rPr>
                <w:rFonts w:ascii="Verdana" w:hAnsi="Verdana" w:cs="Arial"/>
                <w:b/>
                <w:sz w:val="14"/>
                <w:szCs w:val="16"/>
              </w:rPr>
              <w:t xml:space="preserve"> semestre</w:t>
            </w:r>
          </w:p>
          <w:p w14:paraId="161A84F0" w14:textId="4DF4E143" w:rsidR="00745FC2" w:rsidRPr="00A9758A" w:rsidRDefault="00580CAF" w:rsidP="00A9758A">
            <w:pPr>
              <w:keepNext/>
              <w:jc w:val="center"/>
              <w:rPr>
                <w:rFonts w:ascii="Verdana" w:hAnsi="Verdana" w:cs="Arial"/>
                <w:b/>
                <w:sz w:val="14"/>
                <w:szCs w:val="16"/>
              </w:rPr>
            </w:pPr>
            <w:r>
              <w:rPr>
                <w:rFonts w:ascii="Verdana" w:hAnsi="Verdana" w:cs="Arial"/>
                <w:b/>
                <w:sz w:val="14"/>
                <w:szCs w:val="16"/>
              </w:rPr>
              <w:t>2020</w:t>
            </w:r>
          </w:p>
        </w:tc>
        <w:tc>
          <w:tcPr>
            <w:tcW w:w="1134" w:type="dxa"/>
            <w:tcBorders>
              <w:bottom w:val="single" w:sz="8" w:space="0" w:color="0070AD" w:themeColor="accent1"/>
            </w:tcBorders>
            <w:shd w:val="clear" w:color="auto" w:fill="auto"/>
            <w:vAlign w:val="center"/>
          </w:tcPr>
          <w:p w14:paraId="126AB106" w14:textId="77777777" w:rsidR="00745FC2" w:rsidRPr="002F446E" w:rsidRDefault="00745FC2" w:rsidP="00745FC2">
            <w:pPr>
              <w:keepNext/>
              <w:widowControl w:val="0"/>
              <w:jc w:val="center"/>
              <w:rPr>
                <w:rFonts w:cs="Arial"/>
                <w:b/>
                <w:i/>
                <w:sz w:val="14"/>
                <w:szCs w:val="14"/>
              </w:rPr>
            </w:pPr>
            <w:r w:rsidRPr="002F446E">
              <w:rPr>
                <w:rFonts w:cs="Arial"/>
                <w:b/>
                <w:i/>
                <w:sz w:val="14"/>
                <w:szCs w:val="14"/>
              </w:rPr>
              <w:t>Variation</w:t>
            </w:r>
          </w:p>
        </w:tc>
      </w:tr>
      <w:tr w:rsidR="00343205" w:rsidRPr="002F446E" w14:paraId="4A548CB1" w14:textId="77777777" w:rsidTr="00343205">
        <w:trPr>
          <w:trHeight w:val="227"/>
          <w:jc w:val="center"/>
        </w:trPr>
        <w:tc>
          <w:tcPr>
            <w:tcW w:w="5998" w:type="dxa"/>
            <w:tcBorders>
              <w:top w:val="single" w:sz="8" w:space="0" w:color="0070AD" w:themeColor="accent1"/>
              <w:bottom w:val="single" w:sz="8" w:space="0" w:color="0070AD" w:themeColor="accent1"/>
            </w:tcBorders>
            <w:vAlign w:val="center"/>
          </w:tcPr>
          <w:p w14:paraId="3EE7F990" w14:textId="77777777" w:rsidR="00343205" w:rsidRPr="002F446E" w:rsidRDefault="00343205" w:rsidP="00343205">
            <w:pPr>
              <w:keepNext/>
              <w:widowControl w:val="0"/>
              <w:rPr>
                <w:rFonts w:cs="Arial"/>
                <w:b/>
                <w:color w:val="0070AD" w:themeColor="accent1"/>
                <w:sz w:val="14"/>
                <w:szCs w:val="14"/>
              </w:rPr>
            </w:pPr>
            <w:r w:rsidRPr="002F446E">
              <w:rPr>
                <w:rFonts w:cs="Arial"/>
                <w:b/>
                <w:color w:val="0070AD" w:themeColor="accent1"/>
                <w:sz w:val="14"/>
                <w:szCs w:val="14"/>
              </w:rPr>
              <w:t>Résultat net, part du Groupe</w:t>
            </w:r>
          </w:p>
        </w:tc>
        <w:tc>
          <w:tcPr>
            <w:tcW w:w="1474" w:type="dxa"/>
            <w:tcBorders>
              <w:top w:val="single" w:sz="8" w:space="0" w:color="0070AD" w:themeColor="accent1"/>
              <w:bottom w:val="single" w:sz="8" w:space="0" w:color="0070AD" w:themeColor="accent1"/>
            </w:tcBorders>
            <w:shd w:val="clear" w:color="auto" w:fill="auto"/>
            <w:vAlign w:val="center"/>
          </w:tcPr>
          <w:p w14:paraId="645DE699" w14:textId="60C1987B" w:rsidR="00343205" w:rsidRPr="002F446E" w:rsidRDefault="00343205" w:rsidP="00343205">
            <w:pPr>
              <w:keepNext/>
              <w:ind w:left="-170" w:right="397"/>
              <w:jc w:val="right"/>
              <w:rPr>
                <w:rFonts w:cs="Arial"/>
                <w:b/>
                <w:color w:val="0070AD" w:themeColor="accent1"/>
                <w:sz w:val="14"/>
                <w:szCs w:val="14"/>
              </w:rPr>
            </w:pPr>
            <w:r w:rsidRPr="002F446E">
              <w:rPr>
                <w:rFonts w:ascii="Verdana" w:hAnsi="Verdana" w:cs="Arial"/>
                <w:b/>
                <w:color w:val="0070AD" w:themeColor="accent1"/>
                <w:sz w:val="14"/>
              </w:rPr>
              <w:t>388</w:t>
            </w:r>
          </w:p>
        </w:tc>
        <w:tc>
          <w:tcPr>
            <w:tcW w:w="1474" w:type="dxa"/>
            <w:tcBorders>
              <w:top w:val="single" w:sz="8" w:space="0" w:color="0070AD"/>
              <w:left w:val="nil"/>
              <w:bottom w:val="single" w:sz="8" w:space="0" w:color="0070AD"/>
              <w:right w:val="nil"/>
            </w:tcBorders>
            <w:shd w:val="clear" w:color="000000" w:fill="BBE7FF"/>
            <w:vAlign w:val="center"/>
          </w:tcPr>
          <w:p w14:paraId="01645AE5" w14:textId="1E83F2B0" w:rsidR="00343205" w:rsidRPr="00343205" w:rsidRDefault="00343205" w:rsidP="00343205">
            <w:pPr>
              <w:keepNext/>
              <w:ind w:left="-170" w:right="397"/>
              <w:jc w:val="right"/>
              <w:rPr>
                <w:rFonts w:cs="Arial"/>
                <w:b/>
                <w:color w:val="0070AD" w:themeColor="accent1"/>
                <w:sz w:val="14"/>
                <w:szCs w:val="14"/>
              </w:rPr>
            </w:pPr>
            <w:r w:rsidRPr="00343205">
              <w:rPr>
                <w:rFonts w:ascii="Verdana" w:hAnsi="Verdana" w:cs="Calibri"/>
                <w:b/>
                <w:bCs/>
                <w:color w:val="0070AD"/>
                <w:sz w:val="14"/>
                <w:szCs w:val="14"/>
              </w:rPr>
              <w:t xml:space="preserve">           311 </w:t>
            </w:r>
          </w:p>
        </w:tc>
        <w:tc>
          <w:tcPr>
            <w:tcW w:w="1134" w:type="dxa"/>
            <w:tcBorders>
              <w:top w:val="single" w:sz="8" w:space="0" w:color="0070AD"/>
              <w:left w:val="nil"/>
              <w:bottom w:val="single" w:sz="8" w:space="0" w:color="0070AD"/>
              <w:right w:val="nil"/>
            </w:tcBorders>
            <w:shd w:val="clear" w:color="000000" w:fill="FFFFFF"/>
            <w:vAlign w:val="center"/>
          </w:tcPr>
          <w:p w14:paraId="01FFB878" w14:textId="4701FA1E" w:rsidR="00343205" w:rsidRPr="00343205" w:rsidRDefault="00343205" w:rsidP="00343205">
            <w:pPr>
              <w:keepNext/>
              <w:widowControl w:val="0"/>
              <w:jc w:val="center"/>
              <w:rPr>
                <w:rFonts w:cs="Arial"/>
                <w:b/>
                <w:color w:val="0070AD" w:themeColor="accent1"/>
                <w:sz w:val="14"/>
                <w:szCs w:val="14"/>
              </w:rPr>
            </w:pPr>
            <w:r w:rsidRPr="00343205">
              <w:rPr>
                <w:rFonts w:ascii="Verdana" w:hAnsi="Verdana" w:cs="Calibri"/>
                <w:b/>
                <w:bCs/>
                <w:color w:val="0070AD"/>
                <w:sz w:val="14"/>
                <w:szCs w:val="14"/>
              </w:rPr>
              <w:t>-20%</w:t>
            </w:r>
          </w:p>
        </w:tc>
      </w:tr>
      <w:tr w:rsidR="00343205" w:rsidRPr="002F446E" w14:paraId="1D92EFA6" w14:textId="77777777" w:rsidTr="00343205">
        <w:trPr>
          <w:trHeight w:val="227"/>
          <w:jc w:val="center"/>
        </w:trPr>
        <w:tc>
          <w:tcPr>
            <w:tcW w:w="5998" w:type="dxa"/>
            <w:tcBorders>
              <w:top w:val="single" w:sz="8" w:space="0" w:color="0070AD" w:themeColor="accent1"/>
            </w:tcBorders>
            <w:vAlign w:val="center"/>
          </w:tcPr>
          <w:p w14:paraId="28A63103" w14:textId="4A33D528" w:rsidR="00343205" w:rsidRPr="002F446E" w:rsidRDefault="00343205" w:rsidP="00343205">
            <w:pPr>
              <w:keepNext/>
              <w:widowControl w:val="0"/>
              <w:ind w:left="149"/>
              <w:rPr>
                <w:rFonts w:cs="Arial"/>
                <w:sz w:val="14"/>
                <w:szCs w:val="14"/>
              </w:rPr>
            </w:pPr>
            <w:r w:rsidRPr="002F446E">
              <w:rPr>
                <w:rFonts w:cs="Arial"/>
                <w:sz w:val="14"/>
                <w:szCs w:val="14"/>
              </w:rPr>
              <w:t>Taux effectif d’impôt, hors charge transitoire d’impôt</w:t>
            </w:r>
          </w:p>
        </w:tc>
        <w:tc>
          <w:tcPr>
            <w:tcW w:w="1474" w:type="dxa"/>
            <w:tcBorders>
              <w:top w:val="single" w:sz="8" w:space="0" w:color="0070AD" w:themeColor="accent1"/>
            </w:tcBorders>
            <w:shd w:val="clear" w:color="auto" w:fill="auto"/>
            <w:vAlign w:val="center"/>
          </w:tcPr>
          <w:p w14:paraId="0AB30EFE" w14:textId="6A74432C" w:rsidR="00343205" w:rsidRPr="002F446E" w:rsidRDefault="00343205" w:rsidP="00343205">
            <w:pPr>
              <w:keepNext/>
              <w:ind w:left="-170" w:right="397"/>
              <w:jc w:val="right"/>
              <w:rPr>
                <w:rFonts w:cs="Arial"/>
                <w:sz w:val="14"/>
                <w:szCs w:val="14"/>
              </w:rPr>
            </w:pPr>
            <w:r w:rsidRPr="002F446E">
              <w:rPr>
                <w:rFonts w:ascii="Verdana" w:hAnsi="Verdana" w:cs="Arial"/>
                <w:sz w:val="14"/>
              </w:rPr>
              <w:t>32,6%</w:t>
            </w:r>
          </w:p>
        </w:tc>
        <w:tc>
          <w:tcPr>
            <w:tcW w:w="1474" w:type="dxa"/>
            <w:tcBorders>
              <w:top w:val="nil"/>
              <w:left w:val="nil"/>
              <w:bottom w:val="nil"/>
              <w:right w:val="nil"/>
            </w:tcBorders>
            <w:shd w:val="clear" w:color="000000" w:fill="BBE7FF"/>
            <w:vAlign w:val="center"/>
          </w:tcPr>
          <w:p w14:paraId="1252E404" w14:textId="25C26859" w:rsidR="00343205" w:rsidRPr="00343205" w:rsidRDefault="00343205" w:rsidP="00343205">
            <w:pPr>
              <w:keepNext/>
              <w:ind w:left="-170" w:right="397"/>
              <w:jc w:val="right"/>
              <w:rPr>
                <w:rFonts w:cs="Arial"/>
                <w:sz w:val="14"/>
                <w:szCs w:val="14"/>
              </w:rPr>
            </w:pPr>
            <w:r w:rsidRPr="00343205">
              <w:rPr>
                <w:rFonts w:ascii="Verdana" w:hAnsi="Verdana" w:cs="Calibri"/>
                <w:color w:val="000000"/>
                <w:sz w:val="14"/>
                <w:szCs w:val="14"/>
              </w:rPr>
              <w:t>34</w:t>
            </w:r>
            <w:r>
              <w:rPr>
                <w:rFonts w:ascii="Verdana" w:hAnsi="Verdana" w:cs="Calibri"/>
                <w:color w:val="000000"/>
                <w:sz w:val="14"/>
                <w:szCs w:val="14"/>
              </w:rPr>
              <w:t>,</w:t>
            </w:r>
            <w:r w:rsidRPr="00343205">
              <w:rPr>
                <w:rFonts w:ascii="Verdana" w:hAnsi="Verdana" w:cs="Calibri"/>
                <w:color w:val="000000"/>
                <w:sz w:val="14"/>
                <w:szCs w:val="14"/>
              </w:rPr>
              <w:t>6%</w:t>
            </w:r>
          </w:p>
        </w:tc>
        <w:tc>
          <w:tcPr>
            <w:tcW w:w="1134" w:type="dxa"/>
            <w:tcBorders>
              <w:top w:val="nil"/>
              <w:left w:val="nil"/>
              <w:bottom w:val="nil"/>
              <w:right w:val="nil"/>
            </w:tcBorders>
            <w:shd w:val="clear" w:color="000000" w:fill="FFFFFF"/>
            <w:vAlign w:val="center"/>
          </w:tcPr>
          <w:p w14:paraId="11023AB5" w14:textId="5A33DCEB" w:rsidR="00343205" w:rsidRPr="00343205" w:rsidRDefault="00343205" w:rsidP="00343205">
            <w:pPr>
              <w:keepNext/>
              <w:widowControl w:val="0"/>
              <w:jc w:val="center"/>
              <w:rPr>
                <w:rFonts w:cs="Arial"/>
                <w:sz w:val="14"/>
                <w:szCs w:val="14"/>
              </w:rPr>
            </w:pPr>
            <w:r w:rsidRPr="00343205">
              <w:rPr>
                <w:rFonts w:ascii="Verdana" w:hAnsi="Verdana" w:cs="Calibri"/>
                <w:i/>
                <w:iCs/>
                <w:color w:val="000000"/>
                <w:sz w:val="14"/>
                <w:szCs w:val="14"/>
              </w:rPr>
              <w:t>+200</w:t>
            </w:r>
            <w:r>
              <w:rPr>
                <w:rFonts w:ascii="Verdana" w:hAnsi="Verdana" w:cs="Calibri"/>
                <w:i/>
                <w:iCs/>
                <w:color w:val="000000"/>
                <w:sz w:val="14"/>
                <w:szCs w:val="14"/>
              </w:rPr>
              <w:t xml:space="preserve"> pb</w:t>
            </w:r>
          </w:p>
        </w:tc>
      </w:tr>
      <w:tr w:rsidR="00343205" w:rsidRPr="002F446E" w14:paraId="3751D49F" w14:textId="77777777" w:rsidTr="00343205">
        <w:trPr>
          <w:trHeight w:val="227"/>
          <w:jc w:val="center"/>
        </w:trPr>
        <w:tc>
          <w:tcPr>
            <w:tcW w:w="5998" w:type="dxa"/>
            <w:tcBorders>
              <w:bottom w:val="single" w:sz="8" w:space="0" w:color="0070AD" w:themeColor="accent1"/>
            </w:tcBorders>
            <w:vAlign w:val="center"/>
          </w:tcPr>
          <w:p w14:paraId="29006822" w14:textId="77777777" w:rsidR="00343205" w:rsidRPr="002F446E" w:rsidRDefault="00343205" w:rsidP="00343205">
            <w:pPr>
              <w:keepNext/>
              <w:widowControl w:val="0"/>
              <w:ind w:left="149"/>
              <w:rPr>
                <w:rFonts w:cs="Arial"/>
                <w:sz w:val="14"/>
                <w:szCs w:val="14"/>
              </w:rPr>
            </w:pPr>
            <w:r w:rsidRPr="002F446E">
              <w:rPr>
                <w:rFonts w:cs="Arial"/>
                <w:sz w:val="14"/>
                <w:szCs w:val="14"/>
              </w:rPr>
              <w:t>(-) Autres charges et produits opérationnels, net d’impôts</w:t>
            </w:r>
          </w:p>
        </w:tc>
        <w:tc>
          <w:tcPr>
            <w:tcW w:w="1474" w:type="dxa"/>
            <w:tcBorders>
              <w:bottom w:val="single" w:sz="8" w:space="0" w:color="0070AD" w:themeColor="accent1"/>
            </w:tcBorders>
            <w:shd w:val="clear" w:color="auto" w:fill="auto"/>
            <w:vAlign w:val="center"/>
          </w:tcPr>
          <w:p w14:paraId="0FA79601" w14:textId="4034651D" w:rsidR="00343205" w:rsidRPr="002F446E" w:rsidRDefault="00343205" w:rsidP="00343205">
            <w:pPr>
              <w:keepNext/>
              <w:ind w:left="-170" w:right="397"/>
              <w:jc w:val="right"/>
              <w:rPr>
                <w:rFonts w:cs="Arial"/>
                <w:sz w:val="14"/>
                <w:szCs w:val="14"/>
              </w:rPr>
            </w:pPr>
            <w:r w:rsidRPr="002F446E">
              <w:rPr>
                <w:rFonts w:ascii="Verdana" w:hAnsi="Verdana" w:cs="Arial"/>
                <w:sz w:val="14"/>
              </w:rPr>
              <w:t>93</w:t>
            </w:r>
          </w:p>
        </w:tc>
        <w:tc>
          <w:tcPr>
            <w:tcW w:w="1474" w:type="dxa"/>
            <w:tcBorders>
              <w:top w:val="nil"/>
              <w:left w:val="nil"/>
              <w:bottom w:val="single" w:sz="8" w:space="0" w:color="0070AD"/>
              <w:right w:val="nil"/>
            </w:tcBorders>
            <w:shd w:val="clear" w:color="000000" w:fill="BBE7FF"/>
            <w:vAlign w:val="center"/>
          </w:tcPr>
          <w:p w14:paraId="2B3259F0" w14:textId="3D49E12B" w:rsidR="00343205" w:rsidRPr="00343205" w:rsidRDefault="00343205" w:rsidP="00343205">
            <w:pPr>
              <w:keepNext/>
              <w:ind w:right="397"/>
              <w:jc w:val="right"/>
              <w:rPr>
                <w:rFonts w:cs="Arial"/>
                <w:sz w:val="14"/>
                <w:szCs w:val="14"/>
              </w:rPr>
            </w:pPr>
            <w:r w:rsidRPr="00343205">
              <w:rPr>
                <w:rFonts w:ascii="Verdana" w:hAnsi="Verdana" w:cs="Calibri"/>
                <w:color w:val="000000"/>
                <w:sz w:val="14"/>
                <w:szCs w:val="14"/>
              </w:rPr>
              <w:t xml:space="preserve">    </w:t>
            </w:r>
            <w:r w:rsidR="009407C6" w:rsidRPr="00343205">
              <w:rPr>
                <w:rFonts w:ascii="Verdana" w:hAnsi="Verdana" w:cs="Calibri"/>
                <w:color w:val="000000"/>
                <w:sz w:val="14"/>
                <w:szCs w:val="14"/>
              </w:rPr>
              <w:t>15</w:t>
            </w:r>
            <w:r w:rsidR="009407C6">
              <w:rPr>
                <w:rFonts w:ascii="Verdana" w:hAnsi="Verdana" w:cs="Calibri"/>
                <w:color w:val="000000"/>
                <w:sz w:val="14"/>
                <w:szCs w:val="14"/>
              </w:rPr>
              <w:t>8</w:t>
            </w:r>
            <w:r w:rsidR="009407C6" w:rsidRPr="00343205">
              <w:rPr>
                <w:rFonts w:ascii="Verdana" w:hAnsi="Verdana" w:cs="Calibri"/>
                <w:color w:val="000000"/>
                <w:sz w:val="14"/>
                <w:szCs w:val="14"/>
              </w:rPr>
              <w:t xml:space="preserve"> </w:t>
            </w:r>
          </w:p>
        </w:tc>
        <w:tc>
          <w:tcPr>
            <w:tcW w:w="1134" w:type="dxa"/>
            <w:tcBorders>
              <w:top w:val="nil"/>
              <w:left w:val="nil"/>
              <w:bottom w:val="single" w:sz="8" w:space="0" w:color="0070AD"/>
              <w:right w:val="nil"/>
            </w:tcBorders>
            <w:shd w:val="clear" w:color="000000" w:fill="FFFFFF"/>
            <w:vAlign w:val="center"/>
          </w:tcPr>
          <w:p w14:paraId="45B12128" w14:textId="2E222727" w:rsidR="00343205" w:rsidRPr="00343205" w:rsidRDefault="00343205" w:rsidP="00343205">
            <w:pPr>
              <w:keepNext/>
              <w:widowControl w:val="0"/>
              <w:jc w:val="center"/>
              <w:rPr>
                <w:rFonts w:cs="Arial"/>
                <w:sz w:val="14"/>
                <w:szCs w:val="14"/>
              </w:rPr>
            </w:pPr>
          </w:p>
        </w:tc>
      </w:tr>
      <w:tr w:rsidR="00343205" w:rsidRPr="002F446E" w14:paraId="7E6964A1" w14:textId="77777777" w:rsidTr="00343205">
        <w:trPr>
          <w:trHeight w:val="227"/>
          <w:jc w:val="center"/>
        </w:trPr>
        <w:tc>
          <w:tcPr>
            <w:tcW w:w="5998" w:type="dxa"/>
            <w:tcBorders>
              <w:top w:val="single" w:sz="8" w:space="0" w:color="0070AD" w:themeColor="accent1"/>
              <w:bottom w:val="single" w:sz="8" w:space="0" w:color="0070AD" w:themeColor="accent1"/>
            </w:tcBorders>
            <w:vAlign w:val="center"/>
          </w:tcPr>
          <w:p w14:paraId="5956B07A" w14:textId="77777777" w:rsidR="00343205" w:rsidRPr="002F446E" w:rsidRDefault="00343205" w:rsidP="00343205">
            <w:pPr>
              <w:keepNext/>
              <w:widowControl w:val="0"/>
              <w:rPr>
                <w:rFonts w:cs="Arial"/>
                <w:b/>
                <w:color w:val="0070AD" w:themeColor="accent1"/>
                <w:sz w:val="14"/>
                <w:szCs w:val="14"/>
              </w:rPr>
            </w:pPr>
            <w:r w:rsidRPr="002F446E">
              <w:rPr>
                <w:rFonts w:cs="Arial"/>
                <w:b/>
                <w:color w:val="0070AD" w:themeColor="accent1"/>
                <w:sz w:val="14"/>
                <w:szCs w:val="14"/>
              </w:rPr>
              <w:t>Résultat net normalisé</w:t>
            </w:r>
          </w:p>
        </w:tc>
        <w:tc>
          <w:tcPr>
            <w:tcW w:w="1474" w:type="dxa"/>
            <w:tcBorders>
              <w:top w:val="single" w:sz="8" w:space="0" w:color="0070AD" w:themeColor="accent1"/>
              <w:bottom w:val="single" w:sz="8" w:space="0" w:color="0070AD" w:themeColor="accent1"/>
            </w:tcBorders>
            <w:shd w:val="clear" w:color="auto" w:fill="auto"/>
            <w:vAlign w:val="center"/>
          </w:tcPr>
          <w:p w14:paraId="6DBD148E" w14:textId="6D501004" w:rsidR="00343205" w:rsidRPr="002F446E" w:rsidRDefault="00343205" w:rsidP="00343205">
            <w:pPr>
              <w:keepNext/>
              <w:ind w:left="-170" w:right="397"/>
              <w:jc w:val="right"/>
              <w:rPr>
                <w:rFonts w:cs="Arial"/>
                <w:b/>
                <w:color w:val="0070AD" w:themeColor="accent1"/>
                <w:sz w:val="14"/>
                <w:szCs w:val="14"/>
              </w:rPr>
            </w:pPr>
            <w:r w:rsidRPr="002F446E">
              <w:rPr>
                <w:rFonts w:ascii="Verdana" w:hAnsi="Verdana" w:cs="Arial"/>
                <w:b/>
                <w:color w:val="0070AD" w:themeColor="accent1"/>
                <w:sz w:val="14"/>
              </w:rPr>
              <w:t>481</w:t>
            </w:r>
          </w:p>
        </w:tc>
        <w:tc>
          <w:tcPr>
            <w:tcW w:w="1474" w:type="dxa"/>
            <w:tcBorders>
              <w:top w:val="nil"/>
              <w:left w:val="nil"/>
              <w:bottom w:val="single" w:sz="8" w:space="0" w:color="0070AD"/>
              <w:right w:val="nil"/>
            </w:tcBorders>
            <w:shd w:val="clear" w:color="000000" w:fill="BBE7FF"/>
            <w:vAlign w:val="center"/>
          </w:tcPr>
          <w:p w14:paraId="09CA7C6E" w14:textId="596F70DF" w:rsidR="00343205" w:rsidRPr="00343205" w:rsidRDefault="00343205" w:rsidP="00343205">
            <w:pPr>
              <w:keepNext/>
              <w:ind w:left="-170" w:right="397"/>
              <w:jc w:val="right"/>
              <w:rPr>
                <w:rFonts w:cs="Arial"/>
                <w:b/>
                <w:color w:val="0070AD" w:themeColor="accent1"/>
                <w:sz w:val="14"/>
                <w:szCs w:val="14"/>
              </w:rPr>
            </w:pPr>
            <w:r w:rsidRPr="00343205">
              <w:rPr>
                <w:rFonts w:ascii="Verdana" w:hAnsi="Verdana" w:cs="Calibri"/>
                <w:b/>
                <w:bCs/>
                <w:color w:val="0070AD"/>
                <w:sz w:val="14"/>
                <w:szCs w:val="14"/>
              </w:rPr>
              <w:t xml:space="preserve">         </w:t>
            </w:r>
            <w:r w:rsidR="009407C6">
              <w:rPr>
                <w:rFonts w:ascii="Verdana" w:hAnsi="Verdana" w:cs="Calibri"/>
                <w:b/>
                <w:bCs/>
                <w:color w:val="0070AD"/>
                <w:sz w:val="14"/>
                <w:szCs w:val="14"/>
              </w:rPr>
              <w:t>469</w:t>
            </w:r>
          </w:p>
        </w:tc>
        <w:tc>
          <w:tcPr>
            <w:tcW w:w="1134" w:type="dxa"/>
            <w:tcBorders>
              <w:top w:val="nil"/>
              <w:left w:val="nil"/>
              <w:bottom w:val="single" w:sz="8" w:space="0" w:color="0070AD"/>
              <w:right w:val="nil"/>
            </w:tcBorders>
            <w:shd w:val="clear" w:color="000000" w:fill="FFFFFF"/>
            <w:vAlign w:val="center"/>
          </w:tcPr>
          <w:p w14:paraId="381450B8" w14:textId="316BE0CD" w:rsidR="00343205" w:rsidRPr="00343205" w:rsidRDefault="00343205" w:rsidP="00343205">
            <w:pPr>
              <w:keepNext/>
              <w:widowControl w:val="0"/>
              <w:jc w:val="center"/>
              <w:rPr>
                <w:rFonts w:cs="Arial"/>
                <w:b/>
                <w:color w:val="0070AD" w:themeColor="accent1"/>
                <w:sz w:val="14"/>
                <w:szCs w:val="14"/>
              </w:rPr>
            </w:pPr>
            <w:r w:rsidRPr="00343205">
              <w:rPr>
                <w:rFonts w:ascii="Verdana" w:hAnsi="Verdana" w:cs="Calibri"/>
                <w:b/>
                <w:bCs/>
                <w:color w:val="0070AD"/>
                <w:sz w:val="14"/>
                <w:szCs w:val="14"/>
              </w:rPr>
              <w:t>-3%</w:t>
            </w:r>
          </w:p>
        </w:tc>
      </w:tr>
      <w:tr w:rsidR="00343205" w:rsidRPr="002F446E" w14:paraId="45995240" w14:textId="77777777" w:rsidTr="00343205">
        <w:trPr>
          <w:trHeight w:val="227"/>
          <w:jc w:val="center"/>
        </w:trPr>
        <w:tc>
          <w:tcPr>
            <w:tcW w:w="5998" w:type="dxa"/>
            <w:tcBorders>
              <w:top w:val="single" w:sz="8" w:space="0" w:color="0070AD" w:themeColor="accent1"/>
              <w:bottom w:val="single" w:sz="8" w:space="0" w:color="0070AD" w:themeColor="accent1"/>
            </w:tcBorders>
            <w:vAlign w:val="center"/>
          </w:tcPr>
          <w:p w14:paraId="2C4660C3" w14:textId="77777777" w:rsidR="00343205" w:rsidRPr="002F446E" w:rsidRDefault="00343205" w:rsidP="00343205">
            <w:pPr>
              <w:keepNext/>
              <w:widowControl w:val="0"/>
              <w:ind w:left="149"/>
              <w:rPr>
                <w:rFonts w:cs="Arial"/>
                <w:sz w:val="14"/>
                <w:szCs w:val="14"/>
              </w:rPr>
            </w:pPr>
            <w:r w:rsidRPr="002F446E">
              <w:rPr>
                <w:rFonts w:cs="Arial"/>
                <w:sz w:val="14"/>
                <w:szCs w:val="14"/>
              </w:rPr>
              <w:t>Nombre moyen d’actions en circulation</w:t>
            </w:r>
          </w:p>
        </w:tc>
        <w:tc>
          <w:tcPr>
            <w:tcW w:w="1474" w:type="dxa"/>
            <w:tcBorders>
              <w:top w:val="single" w:sz="8" w:space="0" w:color="0070AD" w:themeColor="accent1"/>
              <w:bottom w:val="single" w:sz="8" w:space="0" w:color="0070AD" w:themeColor="accent1"/>
            </w:tcBorders>
            <w:shd w:val="clear" w:color="auto" w:fill="auto"/>
            <w:vAlign w:val="center"/>
          </w:tcPr>
          <w:p w14:paraId="22FADE73" w14:textId="4F57535F" w:rsidR="00343205" w:rsidRPr="002F446E" w:rsidRDefault="00343205" w:rsidP="00343205">
            <w:pPr>
              <w:keepNext/>
              <w:widowControl w:val="0"/>
              <w:jc w:val="center"/>
              <w:rPr>
                <w:rFonts w:cs="Arial"/>
                <w:sz w:val="14"/>
                <w:szCs w:val="14"/>
              </w:rPr>
            </w:pPr>
            <w:r w:rsidRPr="002F446E">
              <w:rPr>
                <w:rFonts w:cs="Arial"/>
                <w:sz w:val="14"/>
                <w:szCs w:val="14"/>
              </w:rPr>
              <w:t>165 843 357</w:t>
            </w:r>
          </w:p>
        </w:tc>
        <w:tc>
          <w:tcPr>
            <w:tcW w:w="1474" w:type="dxa"/>
            <w:tcBorders>
              <w:top w:val="nil"/>
              <w:left w:val="nil"/>
              <w:bottom w:val="nil"/>
              <w:right w:val="nil"/>
            </w:tcBorders>
            <w:shd w:val="clear" w:color="000000" w:fill="BBE7FF"/>
            <w:vAlign w:val="center"/>
          </w:tcPr>
          <w:p w14:paraId="0D34B1CE" w14:textId="1E1A094A" w:rsidR="00343205" w:rsidRPr="00343205" w:rsidRDefault="00343205" w:rsidP="00343205">
            <w:pPr>
              <w:keepNext/>
              <w:widowControl w:val="0"/>
              <w:jc w:val="center"/>
              <w:rPr>
                <w:rFonts w:cs="Arial"/>
                <w:sz w:val="14"/>
                <w:szCs w:val="14"/>
              </w:rPr>
            </w:pPr>
            <w:r w:rsidRPr="00343205">
              <w:rPr>
                <w:rFonts w:ascii="Verdana" w:hAnsi="Verdana" w:cs="Calibri"/>
                <w:color w:val="000000"/>
                <w:sz w:val="14"/>
                <w:szCs w:val="14"/>
              </w:rPr>
              <w:t>167</w:t>
            </w:r>
            <w:r>
              <w:rPr>
                <w:rFonts w:ascii="Verdana" w:hAnsi="Verdana" w:cs="Calibri"/>
                <w:color w:val="000000"/>
                <w:sz w:val="14"/>
                <w:szCs w:val="14"/>
              </w:rPr>
              <w:t> </w:t>
            </w:r>
            <w:r w:rsidRPr="00343205">
              <w:rPr>
                <w:rFonts w:ascii="Verdana" w:hAnsi="Verdana" w:cs="Calibri"/>
                <w:color w:val="000000"/>
                <w:sz w:val="14"/>
                <w:szCs w:val="14"/>
              </w:rPr>
              <w:t>646</w:t>
            </w:r>
            <w:r>
              <w:rPr>
                <w:rFonts w:ascii="Verdana" w:hAnsi="Verdana" w:cs="Calibri"/>
                <w:color w:val="000000"/>
                <w:sz w:val="14"/>
                <w:szCs w:val="14"/>
              </w:rPr>
              <w:t xml:space="preserve"> </w:t>
            </w:r>
            <w:r w:rsidRPr="00343205">
              <w:rPr>
                <w:rFonts w:ascii="Verdana" w:hAnsi="Verdana" w:cs="Calibri"/>
                <w:color w:val="000000"/>
                <w:sz w:val="14"/>
                <w:szCs w:val="14"/>
              </w:rPr>
              <w:t>025</w:t>
            </w:r>
          </w:p>
        </w:tc>
        <w:tc>
          <w:tcPr>
            <w:tcW w:w="1134" w:type="dxa"/>
            <w:tcBorders>
              <w:top w:val="nil"/>
              <w:left w:val="nil"/>
              <w:bottom w:val="nil"/>
              <w:right w:val="nil"/>
            </w:tcBorders>
            <w:shd w:val="clear" w:color="000000" w:fill="FFFFFF"/>
            <w:vAlign w:val="center"/>
          </w:tcPr>
          <w:p w14:paraId="3995DF03" w14:textId="6F44E09A" w:rsidR="00343205" w:rsidRPr="00343205" w:rsidRDefault="00343205" w:rsidP="00343205">
            <w:pPr>
              <w:keepNext/>
              <w:widowControl w:val="0"/>
              <w:jc w:val="center"/>
              <w:rPr>
                <w:rFonts w:cs="Arial"/>
                <w:sz w:val="14"/>
                <w:szCs w:val="14"/>
              </w:rPr>
            </w:pPr>
          </w:p>
        </w:tc>
      </w:tr>
      <w:tr w:rsidR="00343205" w:rsidRPr="002F446E" w14:paraId="6923D670" w14:textId="77777777" w:rsidTr="00343205">
        <w:trPr>
          <w:trHeight w:val="227"/>
          <w:jc w:val="center"/>
        </w:trPr>
        <w:tc>
          <w:tcPr>
            <w:tcW w:w="5998" w:type="dxa"/>
            <w:tcBorders>
              <w:top w:val="single" w:sz="8" w:space="0" w:color="0070AD" w:themeColor="accent1"/>
              <w:bottom w:val="single" w:sz="8" w:space="0" w:color="0070AD" w:themeColor="accent1"/>
            </w:tcBorders>
            <w:vAlign w:val="center"/>
          </w:tcPr>
          <w:p w14:paraId="25F54B20" w14:textId="2AC1399F" w:rsidR="00343205" w:rsidRPr="002F446E" w:rsidRDefault="00343205" w:rsidP="00343205">
            <w:pPr>
              <w:widowControl w:val="0"/>
              <w:rPr>
                <w:rFonts w:cs="Arial"/>
                <w:b/>
                <w:caps/>
                <w:color w:val="0070AD" w:themeColor="accent1"/>
                <w:sz w:val="14"/>
                <w:szCs w:val="14"/>
              </w:rPr>
            </w:pPr>
            <w:r w:rsidRPr="002F446E">
              <w:rPr>
                <w:rFonts w:cs="Arial"/>
                <w:b/>
                <w:caps/>
                <w:color w:val="0070AD" w:themeColor="accent1"/>
                <w:sz w:val="14"/>
                <w:szCs w:val="14"/>
              </w:rPr>
              <w:t xml:space="preserve">RÉsultat normalisÉ par action </w:t>
            </w:r>
            <w:r w:rsidRPr="002F446E">
              <w:rPr>
                <w:rFonts w:cs="Arial"/>
                <w:i/>
                <w:color w:val="0070AD" w:themeColor="accent1"/>
                <w:sz w:val="14"/>
                <w:szCs w:val="14"/>
              </w:rPr>
              <w:t>(en euros)</w:t>
            </w:r>
          </w:p>
        </w:tc>
        <w:tc>
          <w:tcPr>
            <w:tcW w:w="1474" w:type="dxa"/>
            <w:tcBorders>
              <w:top w:val="single" w:sz="8" w:space="0" w:color="0070AD" w:themeColor="accent1"/>
              <w:bottom w:val="single" w:sz="8" w:space="0" w:color="0070AD" w:themeColor="accent1"/>
            </w:tcBorders>
            <w:shd w:val="clear" w:color="auto" w:fill="auto"/>
            <w:vAlign w:val="center"/>
          </w:tcPr>
          <w:p w14:paraId="4E4FD75A" w14:textId="2854AB28" w:rsidR="00343205" w:rsidRPr="002F446E" w:rsidRDefault="00343205" w:rsidP="00343205">
            <w:pPr>
              <w:keepNext/>
              <w:ind w:left="-170" w:right="397"/>
              <w:jc w:val="right"/>
              <w:rPr>
                <w:rFonts w:cs="Arial"/>
                <w:b/>
                <w:color w:val="0070AD" w:themeColor="accent1"/>
                <w:sz w:val="14"/>
                <w:szCs w:val="14"/>
              </w:rPr>
            </w:pPr>
            <w:r w:rsidRPr="002F446E">
              <w:rPr>
                <w:rFonts w:ascii="Verdana" w:hAnsi="Verdana" w:cs="Arial"/>
                <w:b/>
                <w:color w:val="0070AD" w:themeColor="accent1"/>
                <w:sz w:val="14"/>
              </w:rPr>
              <w:t>2,90</w:t>
            </w:r>
          </w:p>
        </w:tc>
        <w:tc>
          <w:tcPr>
            <w:tcW w:w="1474" w:type="dxa"/>
            <w:tcBorders>
              <w:top w:val="single" w:sz="8" w:space="0" w:color="0070AD"/>
              <w:left w:val="nil"/>
              <w:bottom w:val="single" w:sz="8" w:space="0" w:color="0070AD"/>
              <w:right w:val="nil"/>
            </w:tcBorders>
            <w:shd w:val="clear" w:color="000000" w:fill="BBE7FF"/>
            <w:vAlign w:val="center"/>
          </w:tcPr>
          <w:p w14:paraId="68057188" w14:textId="7F81EB26" w:rsidR="00343205" w:rsidRPr="00343205" w:rsidRDefault="00343205" w:rsidP="00343205">
            <w:pPr>
              <w:keepNext/>
              <w:ind w:left="-170" w:right="397"/>
              <w:jc w:val="right"/>
              <w:rPr>
                <w:rFonts w:cs="Arial"/>
                <w:b/>
                <w:color w:val="0070AD" w:themeColor="accent1"/>
                <w:sz w:val="14"/>
                <w:szCs w:val="14"/>
              </w:rPr>
            </w:pPr>
            <w:r w:rsidRPr="00343205">
              <w:rPr>
                <w:rFonts w:ascii="Verdana" w:hAnsi="Verdana" w:cs="Calibri"/>
                <w:b/>
                <w:bCs/>
                <w:color w:val="0070AD"/>
                <w:sz w:val="14"/>
                <w:szCs w:val="14"/>
              </w:rPr>
              <w:t>2</w:t>
            </w:r>
            <w:r>
              <w:rPr>
                <w:rFonts w:ascii="Verdana" w:hAnsi="Verdana" w:cs="Calibri"/>
                <w:b/>
                <w:bCs/>
                <w:color w:val="0070AD"/>
                <w:sz w:val="14"/>
                <w:szCs w:val="14"/>
              </w:rPr>
              <w:t>,</w:t>
            </w:r>
            <w:r w:rsidR="008664B6">
              <w:rPr>
                <w:rFonts w:ascii="Verdana" w:hAnsi="Verdana" w:cs="Calibri"/>
                <w:b/>
                <w:bCs/>
                <w:color w:val="0070AD"/>
                <w:sz w:val="14"/>
                <w:szCs w:val="14"/>
              </w:rPr>
              <w:t>80</w:t>
            </w:r>
          </w:p>
        </w:tc>
        <w:tc>
          <w:tcPr>
            <w:tcW w:w="1134" w:type="dxa"/>
            <w:tcBorders>
              <w:top w:val="single" w:sz="8" w:space="0" w:color="0070AD"/>
              <w:left w:val="nil"/>
              <w:bottom w:val="single" w:sz="8" w:space="0" w:color="0070AD"/>
              <w:right w:val="nil"/>
            </w:tcBorders>
            <w:shd w:val="clear" w:color="000000" w:fill="FFFFFF"/>
            <w:vAlign w:val="center"/>
          </w:tcPr>
          <w:p w14:paraId="33E16671" w14:textId="601C8D0B" w:rsidR="00343205" w:rsidRPr="00343205" w:rsidRDefault="00343205" w:rsidP="00343205">
            <w:pPr>
              <w:widowControl w:val="0"/>
              <w:jc w:val="center"/>
              <w:rPr>
                <w:rFonts w:cs="Arial"/>
                <w:b/>
                <w:color w:val="0070AD" w:themeColor="accent1"/>
                <w:sz w:val="14"/>
                <w:szCs w:val="14"/>
              </w:rPr>
            </w:pPr>
            <w:r w:rsidRPr="00343205">
              <w:rPr>
                <w:rFonts w:ascii="Verdana" w:hAnsi="Verdana" w:cs="Calibri"/>
                <w:b/>
                <w:bCs/>
                <w:color w:val="0070AD"/>
                <w:sz w:val="14"/>
                <w:szCs w:val="14"/>
              </w:rPr>
              <w:t>-4%</w:t>
            </w:r>
          </w:p>
        </w:tc>
      </w:tr>
    </w:tbl>
    <w:p w14:paraId="74265745" w14:textId="77777777" w:rsidR="005C76A8" w:rsidRDefault="005C76A8" w:rsidP="004D0F0D">
      <w:pPr>
        <w:spacing w:before="120" w:after="120"/>
      </w:pPr>
    </w:p>
    <w:p w14:paraId="02811A2C" w14:textId="6928EB02" w:rsidR="00170B33" w:rsidRPr="002F446E" w:rsidRDefault="00170B33" w:rsidP="004D0F0D">
      <w:pPr>
        <w:spacing w:before="120" w:after="120"/>
        <w:rPr>
          <w:rFonts w:ascii="Verdana" w:hAnsi="Verdana" w:cs="Arial"/>
        </w:rPr>
      </w:pPr>
      <w:r w:rsidRPr="002F446E">
        <w:t xml:space="preserve">Le Groupe a reconnu sur </w:t>
      </w:r>
      <w:r w:rsidR="006866C7" w:rsidRPr="002F446E">
        <w:t xml:space="preserve">le </w:t>
      </w:r>
      <w:r w:rsidR="004D0F0D" w:rsidRPr="002F446E">
        <w:t>1</w:t>
      </w:r>
      <w:r w:rsidR="004D0F0D" w:rsidRPr="002F446E">
        <w:rPr>
          <w:vertAlign w:val="superscript"/>
        </w:rPr>
        <w:t>er</w:t>
      </w:r>
      <w:r w:rsidR="004D0F0D" w:rsidRPr="002F446E">
        <w:t xml:space="preserve"> </w:t>
      </w:r>
      <w:r w:rsidR="006866C7" w:rsidRPr="002F446E">
        <w:t>semestre une</w:t>
      </w:r>
      <w:r w:rsidRPr="002F446E">
        <w:t xml:space="preserve"> </w:t>
      </w:r>
      <w:r w:rsidR="006866C7" w:rsidRPr="002F446E">
        <w:t xml:space="preserve">charge </w:t>
      </w:r>
      <w:r w:rsidRPr="002F446E">
        <w:t xml:space="preserve">d’impôt </w:t>
      </w:r>
      <w:r w:rsidR="006866C7" w:rsidRPr="002F446E">
        <w:t>lié</w:t>
      </w:r>
      <w:r w:rsidR="00E66C1E" w:rsidRPr="002F446E">
        <w:t>e</w:t>
      </w:r>
      <w:r w:rsidR="006866C7" w:rsidRPr="002F446E">
        <w:t xml:space="preserve"> à l’effet transitoire </w:t>
      </w:r>
      <w:r w:rsidR="00F0763C" w:rsidRPr="002F446E">
        <w:t>de la réforme fiscale</w:t>
      </w:r>
      <w:r w:rsidR="006866C7" w:rsidRPr="002F446E">
        <w:t xml:space="preserve"> aux Etats-Unis </w:t>
      </w:r>
      <w:r w:rsidR="000163CF" w:rsidRPr="002F446E">
        <w:t xml:space="preserve">de </w:t>
      </w:r>
      <w:r w:rsidR="00343205">
        <w:t>30</w:t>
      </w:r>
      <w:r w:rsidR="000163CF" w:rsidRPr="002F446E">
        <w:t xml:space="preserve"> millions d’euros en </w:t>
      </w:r>
      <w:r w:rsidR="00580CAF">
        <w:t>2019</w:t>
      </w:r>
      <w:r w:rsidR="000163CF" w:rsidRPr="002F446E">
        <w:t xml:space="preserve"> et </w:t>
      </w:r>
      <w:r w:rsidR="00343205">
        <w:t xml:space="preserve">26 </w:t>
      </w:r>
      <w:r w:rsidR="000163CF" w:rsidRPr="002F446E">
        <w:t xml:space="preserve">millions d’euros en </w:t>
      </w:r>
      <w:r w:rsidR="00580CAF">
        <w:t>2020</w:t>
      </w:r>
      <w:r w:rsidR="00343205">
        <w:t>.</w:t>
      </w:r>
      <w:r w:rsidR="000163CF" w:rsidRPr="002F446E">
        <w:t xml:space="preserve"> Sur le </w:t>
      </w:r>
      <w:r w:rsidR="00EF185B" w:rsidRPr="002F446E">
        <w:t>1</w:t>
      </w:r>
      <w:r w:rsidR="00EF185B" w:rsidRPr="002F446E">
        <w:rPr>
          <w:vertAlign w:val="superscript"/>
        </w:rPr>
        <w:t>er</w:t>
      </w:r>
      <w:r w:rsidR="00EF185B" w:rsidRPr="002F446E">
        <w:t xml:space="preserve"> </w:t>
      </w:r>
      <w:r w:rsidR="000163CF" w:rsidRPr="002F446E">
        <w:t xml:space="preserve">semestre </w:t>
      </w:r>
      <w:r w:rsidR="00580CAF">
        <w:t>2020</w:t>
      </w:r>
      <w:r w:rsidR="000163CF" w:rsidRPr="002F446E">
        <w:t>, cel</w:t>
      </w:r>
      <w:r w:rsidRPr="002F446E">
        <w:t xml:space="preserve">a </w:t>
      </w:r>
      <w:r w:rsidR="000163CF" w:rsidRPr="002F446E">
        <w:t xml:space="preserve">a </w:t>
      </w:r>
      <w:r w:rsidR="004D0F0D" w:rsidRPr="002F446E">
        <w:t>réduit</w:t>
      </w:r>
      <w:r w:rsidRPr="002F446E">
        <w:t xml:space="preserve"> </w:t>
      </w:r>
      <w:r w:rsidR="00343205" w:rsidRPr="002F446E">
        <w:t xml:space="preserve">de </w:t>
      </w:r>
      <w:r w:rsidR="000969E4" w:rsidRPr="000969E4">
        <w:t>0,</w:t>
      </w:r>
      <w:r w:rsidR="00E75D2A" w:rsidRPr="000969E4">
        <w:t>1</w:t>
      </w:r>
      <w:r w:rsidR="00E75D2A">
        <w:t>5</w:t>
      </w:r>
      <w:r w:rsidR="00E75D2A" w:rsidRPr="000969E4">
        <w:t xml:space="preserve"> </w:t>
      </w:r>
      <w:r w:rsidR="00343205" w:rsidRPr="000969E4">
        <w:t xml:space="preserve">euro </w:t>
      </w:r>
      <w:r w:rsidRPr="002F446E">
        <w:t>le</w:t>
      </w:r>
      <w:r w:rsidR="000163CF" w:rsidRPr="002F446E">
        <w:t>s</w:t>
      </w:r>
      <w:r w:rsidRPr="002F446E">
        <w:t xml:space="preserve"> résultat</w:t>
      </w:r>
      <w:r w:rsidR="000163CF" w:rsidRPr="002F446E">
        <w:t>s</w:t>
      </w:r>
      <w:r w:rsidRPr="002F446E">
        <w:t xml:space="preserve"> de base </w:t>
      </w:r>
      <w:r w:rsidR="000163CF" w:rsidRPr="002F446E">
        <w:t xml:space="preserve">et dilués </w:t>
      </w:r>
      <w:r w:rsidRPr="002F446E">
        <w:t xml:space="preserve">par action </w:t>
      </w:r>
      <w:r w:rsidR="000163CF" w:rsidRPr="002F446E">
        <w:t xml:space="preserve">ainsi que </w:t>
      </w:r>
      <w:r w:rsidRPr="002F446E">
        <w:t>le résultat normalisé par action</w:t>
      </w:r>
      <w:r w:rsidR="00343205">
        <w:t>.</w:t>
      </w:r>
    </w:p>
    <w:p w14:paraId="1EE67B47" w14:textId="13E5A419" w:rsidR="00170B33" w:rsidRPr="002F446E" w:rsidRDefault="00170B33" w:rsidP="00170B33">
      <w:pPr>
        <w:pStyle w:val="BodyText"/>
        <w:keepLines/>
        <w:spacing w:line="240" w:lineRule="auto"/>
        <w:rPr>
          <w:b/>
          <w:caps/>
        </w:rPr>
      </w:pPr>
      <w:r w:rsidRPr="002F446E">
        <w:rPr>
          <w:rFonts w:ascii="Verdana" w:hAnsi="Verdana"/>
        </w:rPr>
        <w:t xml:space="preserve">Hors </w:t>
      </w:r>
      <w:r w:rsidR="000E6BB7" w:rsidRPr="002F446E">
        <w:rPr>
          <w:rFonts w:ascii="Verdana" w:hAnsi="Verdana"/>
        </w:rPr>
        <w:t xml:space="preserve">comptabilisation de cette </w:t>
      </w:r>
      <w:r w:rsidR="004D0F0D" w:rsidRPr="002F446E">
        <w:rPr>
          <w:rFonts w:ascii="Verdana" w:hAnsi="Verdana"/>
        </w:rPr>
        <w:t>charge</w:t>
      </w:r>
      <w:r w:rsidRPr="002F446E">
        <w:rPr>
          <w:rFonts w:ascii="Verdana" w:hAnsi="Verdana"/>
        </w:rPr>
        <w:t xml:space="preserve"> d’impôt, le résultat normalisé par action aurait été de </w:t>
      </w:r>
      <w:r w:rsidR="00E32006" w:rsidRPr="00E32006">
        <w:rPr>
          <w:rFonts w:ascii="Verdana" w:hAnsi="Verdana"/>
        </w:rPr>
        <w:t>2,95</w:t>
      </w:r>
      <w:r w:rsidRPr="00E32006">
        <w:rPr>
          <w:rFonts w:ascii="Verdana" w:hAnsi="Verdana"/>
        </w:rPr>
        <w:t xml:space="preserve"> euros</w:t>
      </w:r>
      <w:r w:rsidRPr="002F446E">
        <w:rPr>
          <w:rFonts w:ascii="Verdana" w:hAnsi="Verdana"/>
        </w:rPr>
        <w:t xml:space="preserve"> pour le 1</w:t>
      </w:r>
      <w:r w:rsidRPr="002F446E">
        <w:rPr>
          <w:rFonts w:ascii="Verdana" w:hAnsi="Verdana"/>
          <w:vertAlign w:val="superscript"/>
        </w:rPr>
        <w:t>er</w:t>
      </w:r>
      <w:r w:rsidRPr="002F446E">
        <w:rPr>
          <w:rFonts w:ascii="Verdana" w:hAnsi="Verdana"/>
        </w:rPr>
        <w:t xml:space="preserve"> semestre </w:t>
      </w:r>
      <w:r w:rsidR="00580CAF">
        <w:rPr>
          <w:rFonts w:ascii="Verdana" w:hAnsi="Verdana"/>
        </w:rPr>
        <w:t>2020</w:t>
      </w:r>
      <w:r w:rsidRPr="002F446E">
        <w:rPr>
          <w:rFonts w:ascii="Verdana" w:hAnsi="Verdana"/>
        </w:rPr>
        <w:t> :</w:t>
      </w:r>
    </w:p>
    <w:tbl>
      <w:tblPr>
        <w:tblW w:w="0" w:type="auto"/>
        <w:jc w:val="center"/>
        <w:tblLook w:val="04A0" w:firstRow="1" w:lastRow="0" w:firstColumn="1" w:lastColumn="0" w:noHBand="0" w:noVBand="1"/>
      </w:tblPr>
      <w:tblGrid>
        <w:gridCol w:w="5998"/>
        <w:gridCol w:w="1474"/>
        <w:gridCol w:w="1474"/>
        <w:gridCol w:w="1134"/>
      </w:tblGrid>
      <w:tr w:rsidR="00745FC2" w:rsidRPr="002F446E" w14:paraId="00E3C397" w14:textId="77777777" w:rsidTr="2C79DB7B">
        <w:trPr>
          <w:trHeight w:val="284"/>
          <w:jc w:val="center"/>
        </w:trPr>
        <w:tc>
          <w:tcPr>
            <w:tcW w:w="5998" w:type="dxa"/>
            <w:tcBorders>
              <w:bottom w:val="single" w:sz="8" w:space="0" w:color="0070AD" w:themeColor="accent1"/>
            </w:tcBorders>
            <w:vAlign w:val="center"/>
          </w:tcPr>
          <w:p w14:paraId="0B141E8D" w14:textId="77777777" w:rsidR="00745FC2" w:rsidRPr="002F446E" w:rsidRDefault="00745FC2" w:rsidP="00745FC2">
            <w:pPr>
              <w:keepNext/>
              <w:jc w:val="center"/>
              <w:rPr>
                <w:rFonts w:cs="Arial"/>
                <w:i/>
                <w:sz w:val="14"/>
                <w:szCs w:val="14"/>
              </w:rPr>
            </w:pPr>
            <w:r w:rsidRPr="002F446E">
              <w:rPr>
                <w:rFonts w:cs="Arial"/>
                <w:i/>
                <w:sz w:val="14"/>
                <w:szCs w:val="14"/>
              </w:rPr>
              <w:t>(</w:t>
            </w:r>
            <w:proofErr w:type="gramStart"/>
            <w:r w:rsidRPr="002F446E">
              <w:rPr>
                <w:rFonts w:cs="Arial"/>
                <w:i/>
                <w:sz w:val="14"/>
                <w:szCs w:val="14"/>
              </w:rPr>
              <w:t>en</w:t>
            </w:r>
            <w:proofErr w:type="gramEnd"/>
            <w:r w:rsidRPr="002F446E">
              <w:rPr>
                <w:rFonts w:cs="Arial"/>
                <w:i/>
                <w:sz w:val="14"/>
                <w:szCs w:val="14"/>
              </w:rPr>
              <w:t xml:space="preserve"> millions d’euros)</w:t>
            </w:r>
          </w:p>
        </w:tc>
        <w:tc>
          <w:tcPr>
            <w:tcW w:w="1474" w:type="dxa"/>
            <w:tcBorders>
              <w:bottom w:val="single" w:sz="8" w:space="0" w:color="0070AD" w:themeColor="accent1"/>
            </w:tcBorders>
            <w:vAlign w:val="center"/>
          </w:tcPr>
          <w:p w14:paraId="7734AE6F" w14:textId="77777777" w:rsidR="00745FC2" w:rsidRPr="002F446E" w:rsidRDefault="00745FC2" w:rsidP="00745FC2">
            <w:pPr>
              <w:keepNext/>
              <w:jc w:val="center"/>
              <w:rPr>
                <w:rFonts w:ascii="Verdana" w:hAnsi="Verdana" w:cs="Arial"/>
                <w:b/>
                <w:sz w:val="14"/>
                <w:szCs w:val="16"/>
              </w:rPr>
            </w:pPr>
            <w:r w:rsidRPr="002F446E">
              <w:rPr>
                <w:rFonts w:ascii="Verdana" w:hAnsi="Verdana" w:cs="Arial"/>
                <w:b/>
                <w:sz w:val="14"/>
                <w:szCs w:val="16"/>
              </w:rPr>
              <w:t>1</w:t>
            </w:r>
            <w:r w:rsidRPr="002F446E">
              <w:rPr>
                <w:rFonts w:ascii="Verdana" w:hAnsi="Verdana" w:cs="Arial"/>
                <w:b/>
                <w:sz w:val="14"/>
                <w:szCs w:val="16"/>
                <w:vertAlign w:val="superscript"/>
              </w:rPr>
              <w:t>er</w:t>
            </w:r>
            <w:r w:rsidRPr="002F446E">
              <w:rPr>
                <w:rFonts w:ascii="Verdana" w:hAnsi="Verdana" w:cs="Arial"/>
                <w:b/>
                <w:sz w:val="14"/>
                <w:szCs w:val="16"/>
              </w:rPr>
              <w:t xml:space="preserve"> semestre</w:t>
            </w:r>
          </w:p>
          <w:p w14:paraId="1DE4ACD7" w14:textId="43538716" w:rsidR="00745FC2" w:rsidRPr="00A9758A" w:rsidRDefault="00580CAF" w:rsidP="00A9758A">
            <w:pPr>
              <w:keepNext/>
              <w:jc w:val="center"/>
              <w:rPr>
                <w:rFonts w:ascii="Verdana" w:hAnsi="Verdana" w:cs="Arial"/>
                <w:b/>
                <w:sz w:val="14"/>
                <w:szCs w:val="16"/>
              </w:rPr>
            </w:pPr>
            <w:r>
              <w:rPr>
                <w:rFonts w:ascii="Verdana" w:hAnsi="Verdana" w:cs="Arial"/>
                <w:b/>
                <w:sz w:val="14"/>
                <w:szCs w:val="16"/>
              </w:rPr>
              <w:t>2019</w:t>
            </w:r>
          </w:p>
        </w:tc>
        <w:tc>
          <w:tcPr>
            <w:tcW w:w="1474" w:type="dxa"/>
            <w:tcBorders>
              <w:bottom w:val="single" w:sz="8" w:space="0" w:color="0070AD" w:themeColor="accent1"/>
            </w:tcBorders>
            <w:shd w:val="clear" w:color="auto" w:fill="BBE7FF" w:themeFill="accent1" w:themeFillTint="33"/>
            <w:vAlign w:val="center"/>
          </w:tcPr>
          <w:p w14:paraId="5114564C" w14:textId="77777777" w:rsidR="00745FC2" w:rsidRPr="002F446E" w:rsidRDefault="00745FC2" w:rsidP="00745FC2">
            <w:pPr>
              <w:keepNext/>
              <w:jc w:val="center"/>
              <w:rPr>
                <w:rFonts w:ascii="Verdana" w:hAnsi="Verdana" w:cs="Arial"/>
                <w:b/>
                <w:sz w:val="14"/>
                <w:szCs w:val="16"/>
              </w:rPr>
            </w:pPr>
            <w:r w:rsidRPr="002F446E">
              <w:rPr>
                <w:rFonts w:ascii="Verdana" w:hAnsi="Verdana" w:cs="Arial"/>
                <w:b/>
                <w:sz w:val="14"/>
                <w:szCs w:val="16"/>
              </w:rPr>
              <w:t>1</w:t>
            </w:r>
            <w:r w:rsidRPr="002F446E">
              <w:rPr>
                <w:rFonts w:ascii="Verdana" w:hAnsi="Verdana" w:cs="Arial"/>
                <w:b/>
                <w:sz w:val="14"/>
                <w:szCs w:val="16"/>
                <w:vertAlign w:val="superscript"/>
              </w:rPr>
              <w:t>er</w:t>
            </w:r>
            <w:r w:rsidRPr="002F446E">
              <w:rPr>
                <w:rFonts w:ascii="Verdana" w:hAnsi="Verdana" w:cs="Arial"/>
                <w:b/>
                <w:sz w:val="14"/>
                <w:szCs w:val="16"/>
              </w:rPr>
              <w:t xml:space="preserve"> semestre</w:t>
            </w:r>
          </w:p>
          <w:p w14:paraId="68C76E9F" w14:textId="2871E6A1" w:rsidR="00745FC2" w:rsidRPr="00A9758A" w:rsidRDefault="00580CAF" w:rsidP="00A9758A">
            <w:pPr>
              <w:keepNext/>
              <w:jc w:val="center"/>
              <w:rPr>
                <w:rFonts w:ascii="Verdana" w:hAnsi="Verdana" w:cs="Arial"/>
                <w:b/>
                <w:sz w:val="14"/>
                <w:szCs w:val="16"/>
              </w:rPr>
            </w:pPr>
            <w:r>
              <w:rPr>
                <w:rFonts w:ascii="Verdana" w:hAnsi="Verdana" w:cs="Arial"/>
                <w:b/>
                <w:sz w:val="14"/>
                <w:szCs w:val="16"/>
              </w:rPr>
              <w:t>2020</w:t>
            </w:r>
          </w:p>
        </w:tc>
        <w:tc>
          <w:tcPr>
            <w:tcW w:w="1134" w:type="dxa"/>
            <w:tcBorders>
              <w:bottom w:val="single" w:sz="8" w:space="0" w:color="0070AD" w:themeColor="accent1"/>
            </w:tcBorders>
            <w:shd w:val="clear" w:color="auto" w:fill="auto"/>
            <w:vAlign w:val="center"/>
          </w:tcPr>
          <w:p w14:paraId="45EBC4A5" w14:textId="77777777" w:rsidR="00745FC2" w:rsidRPr="002F446E" w:rsidRDefault="00745FC2" w:rsidP="00745FC2">
            <w:pPr>
              <w:keepNext/>
              <w:jc w:val="center"/>
              <w:rPr>
                <w:rFonts w:cs="Arial"/>
                <w:b/>
                <w:i/>
                <w:sz w:val="14"/>
                <w:szCs w:val="14"/>
              </w:rPr>
            </w:pPr>
            <w:r w:rsidRPr="002F446E">
              <w:rPr>
                <w:rFonts w:cs="Arial"/>
                <w:b/>
                <w:i/>
                <w:sz w:val="14"/>
                <w:szCs w:val="14"/>
              </w:rPr>
              <w:t>Variation</w:t>
            </w:r>
          </w:p>
        </w:tc>
      </w:tr>
      <w:tr w:rsidR="001047E0" w:rsidRPr="002F446E" w14:paraId="1A996FAD" w14:textId="77777777" w:rsidTr="2C79DB7B">
        <w:trPr>
          <w:trHeight w:val="227"/>
          <w:jc w:val="center"/>
        </w:trPr>
        <w:tc>
          <w:tcPr>
            <w:tcW w:w="5998" w:type="dxa"/>
            <w:tcBorders>
              <w:top w:val="single" w:sz="8" w:space="0" w:color="0070AD" w:themeColor="accent1"/>
              <w:bottom w:val="single" w:sz="8" w:space="0" w:color="0070AD" w:themeColor="accent1"/>
            </w:tcBorders>
            <w:vAlign w:val="center"/>
          </w:tcPr>
          <w:p w14:paraId="3CD31C92" w14:textId="77777777" w:rsidR="001047E0" w:rsidRPr="002F446E" w:rsidRDefault="001047E0" w:rsidP="001047E0">
            <w:pPr>
              <w:keepNext/>
              <w:rPr>
                <w:rFonts w:cs="Arial"/>
                <w:b/>
                <w:color w:val="0070AD" w:themeColor="accent1"/>
                <w:sz w:val="14"/>
                <w:szCs w:val="14"/>
              </w:rPr>
            </w:pPr>
            <w:r w:rsidRPr="002F446E">
              <w:rPr>
                <w:rFonts w:cs="Arial"/>
                <w:b/>
                <w:color w:val="0070AD" w:themeColor="accent1"/>
                <w:sz w:val="14"/>
                <w:szCs w:val="14"/>
              </w:rPr>
              <w:t xml:space="preserve">Résultat normalisé par action </w:t>
            </w:r>
            <w:r w:rsidRPr="002F446E">
              <w:rPr>
                <w:rFonts w:cs="Arial"/>
                <w:i/>
                <w:color w:val="0070AD" w:themeColor="accent1"/>
                <w:sz w:val="14"/>
                <w:szCs w:val="14"/>
              </w:rPr>
              <w:t>(en euros)</w:t>
            </w:r>
          </w:p>
        </w:tc>
        <w:tc>
          <w:tcPr>
            <w:tcW w:w="1474" w:type="dxa"/>
            <w:tcBorders>
              <w:top w:val="single" w:sz="8" w:space="0" w:color="0070AD" w:themeColor="accent1"/>
              <w:bottom w:val="single" w:sz="8" w:space="0" w:color="0070AD" w:themeColor="accent1"/>
            </w:tcBorders>
            <w:shd w:val="clear" w:color="auto" w:fill="auto"/>
            <w:vAlign w:val="center"/>
          </w:tcPr>
          <w:p w14:paraId="09FBE708" w14:textId="4A7FC54B" w:rsidR="001047E0" w:rsidRPr="002F446E" w:rsidRDefault="001047E0" w:rsidP="001047E0">
            <w:pPr>
              <w:keepNext/>
              <w:ind w:left="-170" w:right="397"/>
              <w:jc w:val="right"/>
              <w:rPr>
                <w:rFonts w:cs="Arial"/>
                <w:b/>
                <w:color w:val="0070AD" w:themeColor="accent1"/>
                <w:sz w:val="14"/>
                <w:szCs w:val="14"/>
              </w:rPr>
            </w:pPr>
            <w:r w:rsidRPr="002F446E">
              <w:rPr>
                <w:rFonts w:cs="Arial"/>
                <w:b/>
                <w:color w:val="0070AD" w:themeColor="accent1"/>
                <w:sz w:val="14"/>
                <w:szCs w:val="14"/>
              </w:rPr>
              <w:t>2,90</w:t>
            </w:r>
          </w:p>
        </w:tc>
        <w:tc>
          <w:tcPr>
            <w:tcW w:w="1474" w:type="dxa"/>
            <w:tcBorders>
              <w:top w:val="single" w:sz="8" w:space="0" w:color="0070AD" w:themeColor="accent1"/>
              <w:left w:val="nil"/>
              <w:bottom w:val="single" w:sz="8" w:space="0" w:color="0070AD" w:themeColor="accent1"/>
              <w:right w:val="nil"/>
            </w:tcBorders>
            <w:shd w:val="clear" w:color="auto" w:fill="BBE7FF" w:themeFill="accent1" w:themeFillTint="33"/>
            <w:vAlign w:val="center"/>
          </w:tcPr>
          <w:p w14:paraId="1FDAE29E" w14:textId="5A7953E2" w:rsidR="001047E0" w:rsidRPr="001047E0" w:rsidRDefault="3361FADE" w:rsidP="2C79DB7B">
            <w:pPr>
              <w:keepNext/>
              <w:ind w:left="-170" w:right="397"/>
              <w:jc w:val="right"/>
              <w:rPr>
                <w:rFonts w:cs="Arial"/>
                <w:b/>
                <w:bCs/>
                <w:color w:val="0070AD" w:themeColor="accent1"/>
                <w:sz w:val="14"/>
                <w:szCs w:val="14"/>
              </w:rPr>
            </w:pPr>
            <w:r w:rsidRPr="2C79DB7B">
              <w:rPr>
                <w:rFonts w:ascii="Verdana" w:hAnsi="Verdana" w:cs="Calibri"/>
                <w:b/>
                <w:bCs/>
                <w:color w:val="0070AD" w:themeColor="accent1"/>
                <w:sz w:val="14"/>
                <w:szCs w:val="14"/>
              </w:rPr>
              <w:t>2</w:t>
            </w:r>
            <w:r w:rsidR="33EFEF43" w:rsidRPr="2C79DB7B">
              <w:rPr>
                <w:rFonts w:ascii="Verdana" w:hAnsi="Verdana" w:cs="Calibri"/>
                <w:b/>
                <w:bCs/>
                <w:color w:val="0070AD" w:themeColor="accent1"/>
                <w:sz w:val="14"/>
                <w:szCs w:val="14"/>
              </w:rPr>
              <w:t>,</w:t>
            </w:r>
            <w:r w:rsidR="00E745E5">
              <w:rPr>
                <w:rFonts w:ascii="Verdana" w:hAnsi="Verdana" w:cs="Calibri"/>
                <w:b/>
                <w:bCs/>
                <w:color w:val="0070AD" w:themeColor="accent1"/>
                <w:sz w:val="14"/>
                <w:szCs w:val="14"/>
              </w:rPr>
              <w:t>80</w:t>
            </w:r>
            <w:r w:rsidR="00E745E5" w:rsidRPr="2C79DB7B">
              <w:rPr>
                <w:rFonts w:ascii="Verdana" w:hAnsi="Verdana" w:cs="Calibri"/>
                <w:b/>
                <w:bCs/>
                <w:color w:val="0070AD" w:themeColor="accent1"/>
                <w:sz w:val="14"/>
                <w:szCs w:val="14"/>
              </w:rPr>
              <w:t xml:space="preserve"> </w:t>
            </w:r>
          </w:p>
        </w:tc>
        <w:tc>
          <w:tcPr>
            <w:tcW w:w="1134" w:type="dxa"/>
            <w:tcBorders>
              <w:top w:val="single" w:sz="8" w:space="0" w:color="0070AD" w:themeColor="accent1"/>
              <w:left w:val="nil"/>
              <w:bottom w:val="single" w:sz="8" w:space="0" w:color="0070AD" w:themeColor="accent1"/>
              <w:right w:val="nil"/>
            </w:tcBorders>
            <w:shd w:val="clear" w:color="auto" w:fill="FFFFFF" w:themeFill="background1"/>
            <w:vAlign w:val="center"/>
          </w:tcPr>
          <w:p w14:paraId="2B349088" w14:textId="177BE171" w:rsidR="001047E0" w:rsidRPr="001047E0" w:rsidRDefault="001047E0" w:rsidP="001047E0">
            <w:pPr>
              <w:keepNext/>
              <w:jc w:val="center"/>
              <w:rPr>
                <w:rFonts w:cs="Arial"/>
                <w:b/>
                <w:color w:val="0070AD" w:themeColor="accent1"/>
                <w:sz w:val="14"/>
                <w:szCs w:val="14"/>
              </w:rPr>
            </w:pPr>
            <w:r w:rsidRPr="001047E0">
              <w:rPr>
                <w:rFonts w:ascii="Verdana" w:hAnsi="Verdana" w:cs="Calibri"/>
                <w:b/>
                <w:bCs/>
                <w:color w:val="0070AD"/>
                <w:sz w:val="14"/>
                <w:szCs w:val="14"/>
              </w:rPr>
              <w:t>-4%</w:t>
            </w:r>
          </w:p>
        </w:tc>
      </w:tr>
      <w:tr w:rsidR="001047E0" w:rsidRPr="002F446E" w14:paraId="5095F4C2" w14:textId="77777777" w:rsidTr="2C79DB7B">
        <w:trPr>
          <w:trHeight w:val="227"/>
          <w:jc w:val="center"/>
        </w:trPr>
        <w:tc>
          <w:tcPr>
            <w:tcW w:w="5998" w:type="dxa"/>
            <w:tcBorders>
              <w:top w:val="single" w:sz="8" w:space="0" w:color="0070AD" w:themeColor="accent1"/>
              <w:bottom w:val="single" w:sz="8" w:space="0" w:color="0070AD" w:themeColor="accent1"/>
            </w:tcBorders>
            <w:vAlign w:val="center"/>
          </w:tcPr>
          <w:p w14:paraId="0B5DF127" w14:textId="0F1221C6" w:rsidR="001047E0" w:rsidRPr="002F446E" w:rsidRDefault="001047E0" w:rsidP="001047E0">
            <w:pPr>
              <w:keepNext/>
              <w:ind w:left="149"/>
              <w:rPr>
                <w:rFonts w:cs="Arial"/>
                <w:sz w:val="14"/>
                <w:szCs w:val="14"/>
              </w:rPr>
            </w:pPr>
            <w:r w:rsidRPr="002F446E">
              <w:rPr>
                <w:rFonts w:cs="Arial"/>
                <w:sz w:val="14"/>
                <w:szCs w:val="14"/>
              </w:rPr>
              <w:t xml:space="preserve">Charge transitoire d’impôt </w:t>
            </w:r>
          </w:p>
        </w:tc>
        <w:tc>
          <w:tcPr>
            <w:tcW w:w="1474" w:type="dxa"/>
            <w:tcBorders>
              <w:top w:val="single" w:sz="8" w:space="0" w:color="0070AD" w:themeColor="accent1"/>
              <w:bottom w:val="single" w:sz="8" w:space="0" w:color="0070AD" w:themeColor="accent1"/>
            </w:tcBorders>
            <w:shd w:val="clear" w:color="auto" w:fill="auto"/>
            <w:vAlign w:val="center"/>
          </w:tcPr>
          <w:p w14:paraId="2DF92C93" w14:textId="55225879" w:rsidR="001047E0" w:rsidRPr="002F446E" w:rsidRDefault="001047E0" w:rsidP="001047E0">
            <w:pPr>
              <w:keepNext/>
              <w:ind w:left="-170" w:right="397"/>
              <w:jc w:val="right"/>
              <w:rPr>
                <w:rFonts w:cs="Arial"/>
                <w:sz w:val="14"/>
                <w:szCs w:val="14"/>
              </w:rPr>
            </w:pPr>
            <w:r w:rsidRPr="002F446E">
              <w:rPr>
                <w:rFonts w:cs="Arial"/>
                <w:sz w:val="14"/>
                <w:szCs w:val="14"/>
              </w:rPr>
              <w:t>30</w:t>
            </w:r>
          </w:p>
        </w:tc>
        <w:tc>
          <w:tcPr>
            <w:tcW w:w="1474" w:type="dxa"/>
            <w:tcBorders>
              <w:top w:val="nil"/>
              <w:left w:val="nil"/>
              <w:bottom w:val="single" w:sz="8" w:space="0" w:color="0070AD" w:themeColor="accent1"/>
              <w:right w:val="nil"/>
            </w:tcBorders>
            <w:shd w:val="clear" w:color="auto" w:fill="BBE7FF" w:themeFill="accent1" w:themeFillTint="33"/>
            <w:vAlign w:val="center"/>
          </w:tcPr>
          <w:p w14:paraId="4B2FE136" w14:textId="71E6772D" w:rsidR="001047E0" w:rsidRPr="001047E0" w:rsidRDefault="00E930E6" w:rsidP="001047E0">
            <w:pPr>
              <w:keepNext/>
              <w:ind w:right="397"/>
              <w:jc w:val="right"/>
              <w:rPr>
                <w:rFonts w:cs="Arial"/>
                <w:sz w:val="14"/>
                <w:szCs w:val="14"/>
                <w:highlight w:val="yellow"/>
              </w:rPr>
            </w:pPr>
            <w:r w:rsidRPr="00E930E6">
              <w:rPr>
                <w:rFonts w:cs="Arial"/>
                <w:sz w:val="14"/>
                <w:szCs w:val="14"/>
              </w:rPr>
              <w:t>26</w:t>
            </w:r>
          </w:p>
        </w:tc>
        <w:tc>
          <w:tcPr>
            <w:tcW w:w="1134" w:type="dxa"/>
            <w:tcBorders>
              <w:top w:val="nil"/>
              <w:left w:val="nil"/>
              <w:bottom w:val="single" w:sz="8" w:space="0" w:color="0070AD" w:themeColor="accent1"/>
              <w:right w:val="nil"/>
            </w:tcBorders>
            <w:shd w:val="clear" w:color="auto" w:fill="FFFFFF" w:themeFill="background1"/>
            <w:vAlign w:val="center"/>
          </w:tcPr>
          <w:p w14:paraId="06DFBE58" w14:textId="3176E758" w:rsidR="001047E0" w:rsidRPr="001047E0" w:rsidRDefault="3361FADE" w:rsidP="001047E0">
            <w:pPr>
              <w:keepNext/>
              <w:jc w:val="center"/>
              <w:rPr>
                <w:rFonts w:cs="Arial"/>
                <w:sz w:val="14"/>
                <w:szCs w:val="14"/>
                <w:highlight w:val="yellow"/>
              </w:rPr>
            </w:pPr>
            <w:r w:rsidRPr="2C79DB7B">
              <w:rPr>
                <w:rFonts w:ascii="Verdana" w:hAnsi="Verdana" w:cs="Calibri"/>
                <w:color w:val="000000" w:themeColor="text1"/>
                <w:sz w:val="14"/>
                <w:szCs w:val="14"/>
                <w:highlight w:val="yellow"/>
              </w:rPr>
              <w:t xml:space="preserve"> </w:t>
            </w:r>
            <w:r w:rsidRPr="006B1196">
              <w:rPr>
                <w:rFonts w:ascii="Verdana" w:hAnsi="Verdana" w:cs="Calibri"/>
                <w:sz w:val="14"/>
                <w:szCs w:val="14"/>
                <w:highlight w:val="yellow"/>
              </w:rPr>
              <w:t xml:space="preserve">                              </w:t>
            </w:r>
            <w:r w:rsidRPr="2C79DB7B">
              <w:rPr>
                <w:rFonts w:ascii="Verdana" w:hAnsi="Verdana" w:cs="Calibri"/>
                <w:color w:val="000000" w:themeColor="text1"/>
                <w:sz w:val="14"/>
                <w:szCs w:val="14"/>
                <w:highlight w:val="yellow"/>
              </w:rPr>
              <w:t xml:space="preserve"> </w:t>
            </w:r>
          </w:p>
        </w:tc>
      </w:tr>
      <w:tr w:rsidR="001047E0" w:rsidRPr="002F446E" w14:paraId="6162426A" w14:textId="77777777" w:rsidTr="2C79DB7B">
        <w:trPr>
          <w:trHeight w:val="227"/>
          <w:jc w:val="center"/>
        </w:trPr>
        <w:tc>
          <w:tcPr>
            <w:tcW w:w="5998" w:type="dxa"/>
            <w:tcBorders>
              <w:top w:val="single" w:sz="8" w:space="0" w:color="0070AD" w:themeColor="accent1"/>
              <w:bottom w:val="single" w:sz="8" w:space="0" w:color="0070AD" w:themeColor="accent1"/>
            </w:tcBorders>
            <w:vAlign w:val="center"/>
          </w:tcPr>
          <w:p w14:paraId="23DB988F" w14:textId="77777777" w:rsidR="001047E0" w:rsidRPr="002F446E" w:rsidRDefault="001047E0" w:rsidP="001047E0">
            <w:pPr>
              <w:keepNext/>
              <w:ind w:left="149"/>
              <w:rPr>
                <w:rFonts w:cs="Arial"/>
                <w:sz w:val="14"/>
                <w:szCs w:val="14"/>
              </w:rPr>
            </w:pPr>
            <w:r w:rsidRPr="002F446E">
              <w:rPr>
                <w:rFonts w:cs="Arial"/>
                <w:sz w:val="14"/>
                <w:szCs w:val="14"/>
              </w:rPr>
              <w:t>Nombre moyen d’actions en circulation</w:t>
            </w:r>
          </w:p>
        </w:tc>
        <w:tc>
          <w:tcPr>
            <w:tcW w:w="1474" w:type="dxa"/>
            <w:tcBorders>
              <w:top w:val="single" w:sz="8" w:space="0" w:color="0070AD" w:themeColor="accent1"/>
              <w:bottom w:val="single" w:sz="8" w:space="0" w:color="0070AD" w:themeColor="accent1"/>
            </w:tcBorders>
            <w:shd w:val="clear" w:color="auto" w:fill="auto"/>
            <w:vAlign w:val="center"/>
          </w:tcPr>
          <w:p w14:paraId="3A7876DF" w14:textId="69CBA8B6" w:rsidR="001047E0" w:rsidRPr="002F446E" w:rsidRDefault="001047E0" w:rsidP="001047E0">
            <w:pPr>
              <w:keepNext/>
              <w:jc w:val="center"/>
              <w:rPr>
                <w:rFonts w:cs="Arial"/>
                <w:sz w:val="14"/>
                <w:szCs w:val="14"/>
              </w:rPr>
            </w:pPr>
            <w:r w:rsidRPr="002F446E">
              <w:rPr>
                <w:rFonts w:cs="Arial"/>
                <w:sz w:val="14"/>
                <w:szCs w:val="14"/>
              </w:rPr>
              <w:t>165 843 357</w:t>
            </w:r>
          </w:p>
        </w:tc>
        <w:tc>
          <w:tcPr>
            <w:tcW w:w="1474" w:type="dxa"/>
            <w:tcBorders>
              <w:top w:val="nil"/>
              <w:left w:val="nil"/>
              <w:bottom w:val="single" w:sz="8" w:space="0" w:color="0070AD" w:themeColor="accent1"/>
              <w:right w:val="nil"/>
            </w:tcBorders>
            <w:shd w:val="clear" w:color="auto" w:fill="BBE7FF" w:themeFill="accent1" w:themeFillTint="33"/>
            <w:vAlign w:val="center"/>
          </w:tcPr>
          <w:p w14:paraId="3A752972" w14:textId="4589FF7E" w:rsidR="001047E0" w:rsidRPr="001047E0" w:rsidRDefault="001047E0" w:rsidP="001047E0">
            <w:pPr>
              <w:keepNext/>
              <w:jc w:val="center"/>
              <w:rPr>
                <w:rFonts w:cs="Arial"/>
                <w:sz w:val="14"/>
                <w:szCs w:val="14"/>
              </w:rPr>
            </w:pPr>
            <w:r w:rsidRPr="001047E0">
              <w:rPr>
                <w:rFonts w:ascii="Verdana" w:hAnsi="Verdana" w:cs="Calibri"/>
                <w:color w:val="000000"/>
                <w:sz w:val="14"/>
                <w:szCs w:val="14"/>
              </w:rPr>
              <w:t>167</w:t>
            </w:r>
            <w:r w:rsidR="00453389">
              <w:rPr>
                <w:rFonts w:ascii="Verdana" w:hAnsi="Verdana" w:cs="Calibri"/>
                <w:color w:val="000000"/>
                <w:sz w:val="14"/>
                <w:szCs w:val="14"/>
              </w:rPr>
              <w:t xml:space="preserve"> </w:t>
            </w:r>
            <w:r w:rsidRPr="001047E0">
              <w:rPr>
                <w:rFonts w:ascii="Verdana" w:hAnsi="Verdana" w:cs="Calibri"/>
                <w:color w:val="000000"/>
                <w:sz w:val="14"/>
                <w:szCs w:val="14"/>
              </w:rPr>
              <w:t>646</w:t>
            </w:r>
            <w:r w:rsidR="00453389">
              <w:rPr>
                <w:rFonts w:ascii="Verdana" w:hAnsi="Verdana" w:cs="Calibri"/>
                <w:color w:val="000000"/>
                <w:sz w:val="14"/>
                <w:szCs w:val="14"/>
              </w:rPr>
              <w:t xml:space="preserve"> </w:t>
            </w:r>
            <w:r w:rsidRPr="001047E0">
              <w:rPr>
                <w:rFonts w:ascii="Verdana" w:hAnsi="Verdana" w:cs="Calibri"/>
                <w:color w:val="000000"/>
                <w:sz w:val="14"/>
                <w:szCs w:val="14"/>
              </w:rPr>
              <w:t>025</w:t>
            </w:r>
          </w:p>
        </w:tc>
        <w:tc>
          <w:tcPr>
            <w:tcW w:w="1134" w:type="dxa"/>
            <w:tcBorders>
              <w:top w:val="nil"/>
              <w:left w:val="nil"/>
              <w:bottom w:val="single" w:sz="8" w:space="0" w:color="0070AD" w:themeColor="accent1"/>
              <w:right w:val="nil"/>
            </w:tcBorders>
            <w:shd w:val="clear" w:color="auto" w:fill="FFFFFF" w:themeFill="background1"/>
            <w:vAlign w:val="center"/>
          </w:tcPr>
          <w:p w14:paraId="3BC3CB7D" w14:textId="4FC168AC" w:rsidR="001047E0" w:rsidRPr="001047E0" w:rsidRDefault="001047E0" w:rsidP="001047E0">
            <w:pPr>
              <w:keepNext/>
              <w:jc w:val="center"/>
              <w:rPr>
                <w:rFonts w:cs="Arial"/>
                <w:sz w:val="14"/>
                <w:szCs w:val="14"/>
              </w:rPr>
            </w:pPr>
            <w:r w:rsidRPr="001047E0">
              <w:rPr>
                <w:rFonts w:ascii="Verdana" w:hAnsi="Verdana" w:cs="Calibri"/>
                <w:color w:val="000000"/>
                <w:sz w:val="14"/>
                <w:szCs w:val="14"/>
              </w:rPr>
              <w:t xml:space="preserve">                                  </w:t>
            </w:r>
          </w:p>
        </w:tc>
      </w:tr>
      <w:tr w:rsidR="001047E0" w:rsidRPr="002F446E" w14:paraId="6FB68056" w14:textId="77777777" w:rsidTr="2C79DB7B">
        <w:trPr>
          <w:trHeight w:val="227"/>
          <w:jc w:val="center"/>
        </w:trPr>
        <w:tc>
          <w:tcPr>
            <w:tcW w:w="5998" w:type="dxa"/>
            <w:tcBorders>
              <w:top w:val="single" w:sz="8" w:space="0" w:color="0070AD" w:themeColor="accent1"/>
              <w:bottom w:val="single" w:sz="8" w:space="0" w:color="0070AD" w:themeColor="accent1"/>
            </w:tcBorders>
            <w:vAlign w:val="center"/>
          </w:tcPr>
          <w:p w14:paraId="119ACBB4" w14:textId="5F952BBF" w:rsidR="001047E0" w:rsidRPr="002F446E" w:rsidRDefault="001047E0" w:rsidP="001047E0">
            <w:pPr>
              <w:keepNext/>
              <w:ind w:left="175"/>
              <w:rPr>
                <w:rFonts w:cs="Arial"/>
                <w:b/>
                <w:color w:val="0070AD" w:themeColor="accent1"/>
                <w:sz w:val="14"/>
                <w:szCs w:val="14"/>
              </w:rPr>
            </w:pPr>
            <w:r w:rsidRPr="002F446E">
              <w:rPr>
                <w:rFonts w:cs="Arial"/>
                <w:b/>
                <w:color w:val="0070AD" w:themeColor="accent1"/>
                <w:sz w:val="14"/>
                <w:szCs w:val="14"/>
              </w:rPr>
              <w:t xml:space="preserve">Impact de la charge transitoire d’impôt </w:t>
            </w:r>
            <w:r w:rsidRPr="002F446E">
              <w:rPr>
                <w:rFonts w:cs="Arial"/>
                <w:i/>
                <w:color w:val="0070AD" w:themeColor="accent1"/>
                <w:sz w:val="14"/>
                <w:szCs w:val="14"/>
              </w:rPr>
              <w:t>(en euros)</w:t>
            </w:r>
          </w:p>
        </w:tc>
        <w:tc>
          <w:tcPr>
            <w:tcW w:w="1474" w:type="dxa"/>
            <w:tcBorders>
              <w:top w:val="single" w:sz="8" w:space="0" w:color="0070AD" w:themeColor="accent1"/>
              <w:bottom w:val="single" w:sz="8" w:space="0" w:color="0070AD" w:themeColor="accent1"/>
            </w:tcBorders>
            <w:shd w:val="clear" w:color="auto" w:fill="auto"/>
            <w:vAlign w:val="center"/>
          </w:tcPr>
          <w:p w14:paraId="7A858125" w14:textId="32DA61D4" w:rsidR="001047E0" w:rsidRPr="002F446E" w:rsidRDefault="001047E0" w:rsidP="001047E0">
            <w:pPr>
              <w:keepNext/>
              <w:ind w:left="-170" w:right="397"/>
              <w:jc w:val="right"/>
              <w:rPr>
                <w:rFonts w:cs="Arial"/>
                <w:b/>
                <w:color w:val="0070AD" w:themeColor="accent1"/>
                <w:sz w:val="14"/>
                <w:szCs w:val="14"/>
              </w:rPr>
            </w:pPr>
            <w:r w:rsidRPr="002F446E">
              <w:rPr>
                <w:rFonts w:cs="Arial"/>
                <w:b/>
                <w:color w:val="0070AD" w:themeColor="accent1"/>
                <w:sz w:val="14"/>
                <w:szCs w:val="14"/>
              </w:rPr>
              <w:t>0,18</w:t>
            </w:r>
          </w:p>
        </w:tc>
        <w:tc>
          <w:tcPr>
            <w:tcW w:w="1474" w:type="dxa"/>
            <w:tcBorders>
              <w:top w:val="nil"/>
              <w:left w:val="nil"/>
              <w:bottom w:val="single" w:sz="8" w:space="0" w:color="0070AD" w:themeColor="accent1"/>
              <w:right w:val="nil"/>
            </w:tcBorders>
            <w:shd w:val="clear" w:color="auto" w:fill="BBE7FF" w:themeFill="accent1" w:themeFillTint="33"/>
            <w:vAlign w:val="center"/>
          </w:tcPr>
          <w:p w14:paraId="6EB85097" w14:textId="7B93F245" w:rsidR="001047E0" w:rsidRPr="001047E0" w:rsidRDefault="008321CE" w:rsidP="001047E0">
            <w:pPr>
              <w:keepNext/>
              <w:ind w:left="-170" w:right="397"/>
              <w:jc w:val="right"/>
              <w:rPr>
                <w:rFonts w:cs="Arial"/>
                <w:b/>
                <w:color w:val="0070AD" w:themeColor="accent1"/>
                <w:sz w:val="14"/>
                <w:szCs w:val="14"/>
                <w:highlight w:val="yellow"/>
              </w:rPr>
            </w:pPr>
            <w:r w:rsidRPr="001B6201">
              <w:rPr>
                <w:rFonts w:cs="Arial"/>
                <w:b/>
                <w:color w:val="0070AD" w:themeColor="accent1"/>
                <w:sz w:val="14"/>
                <w:szCs w:val="14"/>
              </w:rPr>
              <w:t>0</w:t>
            </w:r>
            <w:r w:rsidR="001B6201" w:rsidRPr="001B6201">
              <w:rPr>
                <w:rFonts w:cs="Arial"/>
                <w:b/>
                <w:color w:val="0070AD" w:themeColor="accent1"/>
                <w:sz w:val="14"/>
                <w:szCs w:val="14"/>
              </w:rPr>
              <w:t>,</w:t>
            </w:r>
            <w:r w:rsidR="00B27B61" w:rsidRPr="001B6201">
              <w:rPr>
                <w:rFonts w:cs="Arial"/>
                <w:b/>
                <w:color w:val="0070AD" w:themeColor="accent1"/>
                <w:sz w:val="14"/>
                <w:szCs w:val="14"/>
              </w:rPr>
              <w:t>1</w:t>
            </w:r>
            <w:r w:rsidR="00B27B61">
              <w:rPr>
                <w:rFonts w:cs="Arial"/>
                <w:b/>
                <w:color w:val="0070AD" w:themeColor="accent1"/>
                <w:sz w:val="14"/>
                <w:szCs w:val="14"/>
              </w:rPr>
              <w:t>5</w:t>
            </w:r>
          </w:p>
        </w:tc>
        <w:tc>
          <w:tcPr>
            <w:tcW w:w="1134" w:type="dxa"/>
            <w:tcBorders>
              <w:top w:val="nil"/>
              <w:left w:val="nil"/>
              <w:bottom w:val="single" w:sz="8" w:space="0" w:color="0070AD" w:themeColor="accent1"/>
              <w:right w:val="nil"/>
            </w:tcBorders>
            <w:shd w:val="clear" w:color="auto" w:fill="FFFFFF" w:themeFill="background1"/>
            <w:vAlign w:val="center"/>
          </w:tcPr>
          <w:p w14:paraId="2FF89D47" w14:textId="1BA5E8B8" w:rsidR="001047E0" w:rsidRPr="001047E0" w:rsidRDefault="001047E0" w:rsidP="001047E0">
            <w:pPr>
              <w:keepNext/>
              <w:jc w:val="center"/>
              <w:rPr>
                <w:rFonts w:cs="Arial"/>
                <w:b/>
                <w:color w:val="0070AD" w:themeColor="accent1"/>
                <w:sz w:val="14"/>
                <w:szCs w:val="14"/>
                <w:highlight w:val="yellow"/>
              </w:rPr>
            </w:pPr>
          </w:p>
        </w:tc>
      </w:tr>
      <w:tr w:rsidR="001047E0" w:rsidRPr="002F446E" w14:paraId="3D5C3D3F" w14:textId="77777777" w:rsidTr="2C79DB7B">
        <w:trPr>
          <w:trHeight w:val="227"/>
          <w:jc w:val="center"/>
        </w:trPr>
        <w:tc>
          <w:tcPr>
            <w:tcW w:w="5998" w:type="dxa"/>
            <w:tcBorders>
              <w:top w:val="single" w:sz="8" w:space="0" w:color="0070AD" w:themeColor="accent1"/>
              <w:bottom w:val="single" w:sz="8" w:space="0" w:color="0070AD" w:themeColor="accent1"/>
            </w:tcBorders>
            <w:vAlign w:val="center"/>
          </w:tcPr>
          <w:p w14:paraId="47665163" w14:textId="1CEC5050" w:rsidR="001047E0" w:rsidRPr="002F446E" w:rsidRDefault="001047E0" w:rsidP="001047E0">
            <w:pPr>
              <w:keepNext/>
              <w:jc w:val="left"/>
              <w:rPr>
                <w:rFonts w:cs="Arial"/>
                <w:b/>
                <w:color w:val="0070AD" w:themeColor="accent1"/>
                <w:sz w:val="14"/>
                <w:szCs w:val="14"/>
              </w:rPr>
            </w:pPr>
            <w:r w:rsidRPr="002F446E">
              <w:rPr>
                <w:rFonts w:cs="Arial"/>
                <w:b/>
                <w:color w:val="0070AD" w:themeColor="accent1"/>
                <w:sz w:val="14"/>
                <w:szCs w:val="14"/>
              </w:rPr>
              <w:t xml:space="preserve">Résultat normalisé par action – hors charge transitoire d’impôt </w:t>
            </w:r>
            <w:r w:rsidRPr="002F446E">
              <w:rPr>
                <w:rFonts w:cs="Arial"/>
                <w:i/>
                <w:color w:val="0070AD" w:themeColor="accent1"/>
                <w:sz w:val="14"/>
                <w:szCs w:val="14"/>
              </w:rPr>
              <w:t>(en euros)</w:t>
            </w:r>
          </w:p>
        </w:tc>
        <w:tc>
          <w:tcPr>
            <w:tcW w:w="1474" w:type="dxa"/>
            <w:tcBorders>
              <w:top w:val="single" w:sz="8" w:space="0" w:color="0070AD" w:themeColor="accent1"/>
              <w:bottom w:val="single" w:sz="8" w:space="0" w:color="0070AD" w:themeColor="accent1"/>
            </w:tcBorders>
            <w:shd w:val="clear" w:color="auto" w:fill="auto"/>
            <w:vAlign w:val="center"/>
          </w:tcPr>
          <w:p w14:paraId="3B4D1D67" w14:textId="20DBA75F" w:rsidR="001047E0" w:rsidRPr="002F446E" w:rsidRDefault="001047E0" w:rsidP="001047E0">
            <w:pPr>
              <w:keepNext/>
              <w:ind w:left="-170" w:right="397"/>
              <w:jc w:val="right"/>
              <w:rPr>
                <w:rFonts w:cs="Arial"/>
                <w:b/>
                <w:color w:val="0070AD" w:themeColor="accent1"/>
                <w:sz w:val="14"/>
                <w:szCs w:val="14"/>
              </w:rPr>
            </w:pPr>
            <w:r w:rsidRPr="002F446E">
              <w:rPr>
                <w:rFonts w:cs="Arial"/>
                <w:b/>
                <w:color w:val="0070AD" w:themeColor="accent1"/>
                <w:sz w:val="14"/>
                <w:szCs w:val="14"/>
              </w:rPr>
              <w:t>3,08</w:t>
            </w:r>
          </w:p>
        </w:tc>
        <w:tc>
          <w:tcPr>
            <w:tcW w:w="1474" w:type="dxa"/>
            <w:tcBorders>
              <w:top w:val="nil"/>
              <w:left w:val="nil"/>
              <w:bottom w:val="single" w:sz="8" w:space="0" w:color="0070AD" w:themeColor="accent1"/>
              <w:right w:val="nil"/>
            </w:tcBorders>
            <w:shd w:val="clear" w:color="auto" w:fill="BBE7FF" w:themeFill="accent1" w:themeFillTint="33"/>
            <w:vAlign w:val="center"/>
          </w:tcPr>
          <w:p w14:paraId="186DDB7A" w14:textId="378DCF00" w:rsidR="001047E0" w:rsidRPr="001047E0" w:rsidRDefault="00E930E6" w:rsidP="001047E0">
            <w:pPr>
              <w:keepNext/>
              <w:ind w:left="-170" w:right="397"/>
              <w:jc w:val="right"/>
              <w:rPr>
                <w:rFonts w:cs="Arial"/>
                <w:b/>
                <w:color w:val="0070AD" w:themeColor="accent1"/>
                <w:sz w:val="14"/>
                <w:szCs w:val="14"/>
                <w:highlight w:val="yellow"/>
              </w:rPr>
            </w:pPr>
            <w:r w:rsidRPr="00E930E6">
              <w:rPr>
                <w:rFonts w:cs="Arial"/>
                <w:b/>
                <w:color w:val="0070AD" w:themeColor="accent1"/>
                <w:sz w:val="14"/>
                <w:szCs w:val="14"/>
              </w:rPr>
              <w:t>2,95</w:t>
            </w:r>
          </w:p>
        </w:tc>
        <w:tc>
          <w:tcPr>
            <w:tcW w:w="1134" w:type="dxa"/>
            <w:tcBorders>
              <w:top w:val="nil"/>
              <w:left w:val="nil"/>
              <w:bottom w:val="single" w:sz="8" w:space="0" w:color="0070AD" w:themeColor="accent1"/>
              <w:right w:val="nil"/>
            </w:tcBorders>
            <w:shd w:val="clear" w:color="auto" w:fill="FFFFFF" w:themeFill="background1"/>
            <w:vAlign w:val="center"/>
          </w:tcPr>
          <w:p w14:paraId="49898FBE" w14:textId="4945F3C7" w:rsidR="001047E0" w:rsidRPr="001047E0" w:rsidRDefault="008321CE" w:rsidP="001047E0">
            <w:pPr>
              <w:keepNext/>
              <w:jc w:val="center"/>
              <w:rPr>
                <w:rFonts w:cs="Arial"/>
                <w:b/>
                <w:color w:val="0070AD" w:themeColor="accent1"/>
                <w:sz w:val="14"/>
                <w:szCs w:val="14"/>
                <w:highlight w:val="yellow"/>
              </w:rPr>
            </w:pPr>
            <w:r>
              <w:rPr>
                <w:rFonts w:cs="Arial"/>
                <w:b/>
                <w:color w:val="0070AD" w:themeColor="accent1"/>
                <w:sz w:val="14"/>
                <w:szCs w:val="14"/>
              </w:rPr>
              <w:t>-</w:t>
            </w:r>
            <w:r w:rsidR="00E930E6" w:rsidRPr="008321CE">
              <w:rPr>
                <w:rFonts w:cs="Arial"/>
                <w:b/>
                <w:color w:val="0070AD" w:themeColor="accent1"/>
                <w:sz w:val="14"/>
                <w:szCs w:val="14"/>
              </w:rPr>
              <w:t>4</w:t>
            </w:r>
            <w:r w:rsidRPr="008321CE">
              <w:rPr>
                <w:rFonts w:cs="Arial"/>
                <w:b/>
                <w:color w:val="0070AD" w:themeColor="accent1"/>
                <w:sz w:val="14"/>
                <w:szCs w:val="14"/>
              </w:rPr>
              <w:t>%</w:t>
            </w:r>
          </w:p>
        </w:tc>
      </w:tr>
    </w:tbl>
    <w:p w14:paraId="622F129C" w14:textId="77777777" w:rsidR="00170B33" w:rsidRPr="002F446E" w:rsidRDefault="00170B33" w:rsidP="00B00202">
      <w:pPr>
        <w:spacing w:before="120" w:after="120"/>
        <w:rPr>
          <w:rFonts w:ascii="Verdana" w:hAnsi="Verdana" w:cs="Arial"/>
        </w:rPr>
      </w:pPr>
    </w:p>
    <w:bookmarkEnd w:id="24"/>
    <w:p w14:paraId="1E760410" w14:textId="0D702C1F" w:rsidR="006866C7" w:rsidRPr="002F446E" w:rsidRDefault="006866C7" w:rsidP="006866C7">
      <w:pPr>
        <w:pStyle w:val="Heading1"/>
      </w:pPr>
      <w:r w:rsidRPr="002F446E">
        <w:t xml:space="preserve">VARIATION DE TRÉSORERIE ET </w:t>
      </w:r>
      <w:r w:rsidRPr="002F446E">
        <w:rPr>
          <w:i/>
        </w:rPr>
        <w:t>FREE CASH-FLOW</w:t>
      </w:r>
      <w:r w:rsidRPr="002F446E">
        <w:t xml:space="preserve"> ORGANIQUE </w:t>
      </w:r>
    </w:p>
    <w:tbl>
      <w:tblPr>
        <w:tblW w:w="4948" w:type="pct"/>
        <w:jc w:val="center"/>
        <w:tblCellMar>
          <w:left w:w="0" w:type="dxa"/>
          <w:right w:w="0" w:type="dxa"/>
        </w:tblCellMar>
        <w:tblLook w:val="04A0" w:firstRow="1" w:lastRow="0" w:firstColumn="1" w:lastColumn="0" w:noHBand="0" w:noVBand="1"/>
      </w:tblPr>
      <w:tblGrid>
        <w:gridCol w:w="6338"/>
        <w:gridCol w:w="1870"/>
        <w:gridCol w:w="1868"/>
      </w:tblGrid>
      <w:tr w:rsidR="006866C7" w:rsidRPr="002F446E" w14:paraId="4575A58E" w14:textId="77777777" w:rsidTr="00944C01">
        <w:trPr>
          <w:trHeight w:val="227"/>
          <w:jc w:val="center"/>
        </w:trPr>
        <w:tc>
          <w:tcPr>
            <w:tcW w:w="3145" w:type="pct"/>
            <w:tcBorders>
              <w:top w:val="nil"/>
              <w:left w:val="nil"/>
              <w:bottom w:val="single" w:sz="8" w:space="0" w:color="0070AD" w:themeColor="accent1"/>
              <w:right w:val="nil"/>
            </w:tcBorders>
            <w:tcMar>
              <w:top w:w="28" w:type="dxa"/>
              <w:left w:w="28" w:type="dxa"/>
              <w:bottom w:w="28" w:type="dxa"/>
              <w:right w:w="28" w:type="dxa"/>
            </w:tcMar>
            <w:vAlign w:val="center"/>
            <w:hideMark/>
          </w:tcPr>
          <w:p w14:paraId="30869E13" w14:textId="77777777" w:rsidR="006866C7" w:rsidRPr="002F446E" w:rsidRDefault="006866C7" w:rsidP="00E178EA">
            <w:pPr>
              <w:keepNext/>
              <w:jc w:val="center"/>
              <w:rPr>
                <w:rFonts w:cs="Arial"/>
                <w:sz w:val="14"/>
                <w:szCs w:val="12"/>
              </w:rPr>
            </w:pPr>
            <w:r w:rsidRPr="002F446E">
              <w:rPr>
                <w:rFonts w:cs="Arial"/>
                <w:i/>
                <w:iCs/>
                <w:sz w:val="14"/>
                <w:szCs w:val="12"/>
              </w:rPr>
              <w:t>(</w:t>
            </w:r>
            <w:proofErr w:type="gramStart"/>
            <w:r w:rsidRPr="002F446E">
              <w:rPr>
                <w:rFonts w:cs="Arial"/>
                <w:i/>
                <w:iCs/>
                <w:sz w:val="14"/>
                <w:szCs w:val="12"/>
              </w:rPr>
              <w:t>en</w:t>
            </w:r>
            <w:proofErr w:type="gramEnd"/>
            <w:r w:rsidRPr="002F446E">
              <w:rPr>
                <w:rFonts w:cs="Arial"/>
                <w:i/>
                <w:iCs/>
                <w:sz w:val="14"/>
                <w:szCs w:val="12"/>
              </w:rPr>
              <w:t xml:space="preserve"> millions d’euros)</w:t>
            </w:r>
          </w:p>
        </w:tc>
        <w:tc>
          <w:tcPr>
            <w:tcW w:w="928" w:type="pct"/>
            <w:tcBorders>
              <w:top w:val="nil"/>
              <w:left w:val="nil"/>
              <w:bottom w:val="single" w:sz="8" w:space="0" w:color="0070AD" w:themeColor="accent1"/>
              <w:right w:val="nil"/>
            </w:tcBorders>
            <w:tcMar>
              <w:top w:w="28" w:type="dxa"/>
              <w:left w:w="28" w:type="dxa"/>
              <w:bottom w:w="28" w:type="dxa"/>
              <w:right w:w="28" w:type="dxa"/>
            </w:tcMar>
            <w:vAlign w:val="center"/>
            <w:hideMark/>
          </w:tcPr>
          <w:p w14:paraId="376B0496" w14:textId="77777777" w:rsidR="006866C7" w:rsidRPr="002F446E" w:rsidRDefault="006866C7" w:rsidP="00E178EA">
            <w:pPr>
              <w:keepNext/>
              <w:jc w:val="center"/>
              <w:rPr>
                <w:rFonts w:ascii="Verdana" w:hAnsi="Verdana" w:cs="Arial"/>
                <w:b/>
                <w:sz w:val="14"/>
                <w:szCs w:val="16"/>
              </w:rPr>
            </w:pPr>
            <w:r w:rsidRPr="002F446E">
              <w:rPr>
                <w:rFonts w:ascii="Verdana" w:hAnsi="Verdana" w:cs="Arial"/>
                <w:b/>
                <w:sz w:val="14"/>
                <w:szCs w:val="16"/>
              </w:rPr>
              <w:t>1</w:t>
            </w:r>
            <w:r w:rsidRPr="002F446E">
              <w:rPr>
                <w:rFonts w:ascii="Verdana" w:hAnsi="Verdana" w:cs="Arial"/>
                <w:b/>
                <w:sz w:val="14"/>
                <w:szCs w:val="16"/>
                <w:vertAlign w:val="superscript"/>
              </w:rPr>
              <w:t>er</w:t>
            </w:r>
            <w:r w:rsidRPr="002F446E">
              <w:rPr>
                <w:rFonts w:ascii="Verdana" w:hAnsi="Verdana" w:cs="Arial"/>
                <w:b/>
                <w:sz w:val="14"/>
                <w:szCs w:val="16"/>
              </w:rPr>
              <w:t xml:space="preserve"> semestre</w:t>
            </w:r>
          </w:p>
          <w:p w14:paraId="06BC4C0A" w14:textId="419F2275" w:rsidR="00CE401A" w:rsidRPr="002F446E" w:rsidRDefault="00580CAF" w:rsidP="00A9758A">
            <w:pPr>
              <w:keepNext/>
              <w:jc w:val="center"/>
              <w:rPr>
                <w:rFonts w:ascii="Verdana" w:hAnsi="Verdana" w:cs="Arial"/>
                <w:b/>
                <w:sz w:val="14"/>
                <w:szCs w:val="16"/>
              </w:rPr>
            </w:pPr>
            <w:r>
              <w:rPr>
                <w:rFonts w:ascii="Verdana" w:hAnsi="Verdana" w:cs="Arial"/>
                <w:b/>
                <w:sz w:val="14"/>
                <w:szCs w:val="16"/>
              </w:rPr>
              <w:t>2019</w:t>
            </w:r>
          </w:p>
          <w:p w14:paraId="1F9BC57C" w14:textId="4B5275E0" w:rsidR="00041C5B" w:rsidRPr="002F446E" w:rsidRDefault="00041C5B" w:rsidP="00E178EA">
            <w:pPr>
              <w:keepNext/>
              <w:jc w:val="center"/>
              <w:rPr>
                <w:rFonts w:cs="Arial"/>
                <w:b/>
                <w:bCs/>
                <w:sz w:val="14"/>
                <w:szCs w:val="12"/>
              </w:rPr>
            </w:pPr>
          </w:p>
        </w:tc>
        <w:tc>
          <w:tcPr>
            <w:tcW w:w="927" w:type="pct"/>
            <w:tcBorders>
              <w:top w:val="nil"/>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hideMark/>
          </w:tcPr>
          <w:p w14:paraId="35F3FB77" w14:textId="77777777" w:rsidR="006866C7" w:rsidRPr="002F446E" w:rsidRDefault="006866C7" w:rsidP="00E178EA">
            <w:pPr>
              <w:keepNext/>
              <w:jc w:val="center"/>
              <w:rPr>
                <w:rFonts w:ascii="Verdana" w:hAnsi="Verdana" w:cs="Arial"/>
                <w:b/>
                <w:sz w:val="14"/>
                <w:szCs w:val="16"/>
              </w:rPr>
            </w:pPr>
            <w:r w:rsidRPr="002F446E">
              <w:rPr>
                <w:rFonts w:ascii="Verdana" w:hAnsi="Verdana" w:cs="Arial"/>
                <w:b/>
                <w:sz w:val="14"/>
                <w:szCs w:val="16"/>
              </w:rPr>
              <w:t>1</w:t>
            </w:r>
            <w:r w:rsidRPr="002F446E">
              <w:rPr>
                <w:rFonts w:ascii="Verdana" w:hAnsi="Verdana" w:cs="Arial"/>
                <w:b/>
                <w:sz w:val="14"/>
                <w:szCs w:val="16"/>
                <w:vertAlign w:val="superscript"/>
              </w:rPr>
              <w:t>er</w:t>
            </w:r>
            <w:r w:rsidRPr="002F446E">
              <w:rPr>
                <w:rFonts w:ascii="Verdana" w:hAnsi="Verdana" w:cs="Arial"/>
                <w:b/>
                <w:sz w:val="14"/>
                <w:szCs w:val="16"/>
              </w:rPr>
              <w:t xml:space="preserve"> semestre</w:t>
            </w:r>
          </w:p>
          <w:p w14:paraId="6C02E0C4" w14:textId="6F7E5795" w:rsidR="00041C5B" w:rsidRPr="00A9758A" w:rsidRDefault="00580CAF" w:rsidP="00A9758A">
            <w:pPr>
              <w:keepNext/>
              <w:jc w:val="center"/>
              <w:rPr>
                <w:rFonts w:ascii="Verdana" w:hAnsi="Verdana" w:cs="Arial"/>
                <w:b/>
                <w:sz w:val="14"/>
                <w:szCs w:val="16"/>
              </w:rPr>
            </w:pPr>
            <w:r>
              <w:rPr>
                <w:rFonts w:ascii="Verdana" w:hAnsi="Verdana" w:cs="Arial"/>
                <w:b/>
                <w:sz w:val="14"/>
                <w:szCs w:val="16"/>
              </w:rPr>
              <w:t>2020</w:t>
            </w:r>
          </w:p>
        </w:tc>
      </w:tr>
      <w:tr w:rsidR="001047E0" w:rsidRPr="002F446E" w14:paraId="2E4ECCB5" w14:textId="77777777" w:rsidTr="00391FBA">
        <w:trPr>
          <w:trHeight w:val="170"/>
          <w:jc w:val="center"/>
        </w:trPr>
        <w:tc>
          <w:tcPr>
            <w:tcW w:w="3145" w:type="pct"/>
            <w:tcBorders>
              <w:top w:val="single" w:sz="8" w:space="0" w:color="0070AD" w:themeColor="accent1"/>
              <w:left w:val="nil"/>
              <w:bottom w:val="single" w:sz="8" w:space="0" w:color="0070AD" w:themeColor="accent1"/>
              <w:right w:val="nil"/>
            </w:tcBorders>
            <w:tcMar>
              <w:top w:w="28" w:type="dxa"/>
              <w:left w:w="28" w:type="dxa"/>
              <w:bottom w:w="28" w:type="dxa"/>
              <w:right w:w="28" w:type="dxa"/>
            </w:tcMar>
            <w:vAlign w:val="center"/>
            <w:hideMark/>
          </w:tcPr>
          <w:p w14:paraId="4D5D1738" w14:textId="77777777" w:rsidR="001047E0" w:rsidRPr="002F446E" w:rsidRDefault="001047E0" w:rsidP="001047E0">
            <w:pPr>
              <w:keepNext/>
              <w:ind w:left="114"/>
              <w:rPr>
                <w:rFonts w:cs="Arial"/>
                <w:b/>
                <w:bCs/>
                <w:iCs/>
                <w:color w:val="0070AD" w:themeColor="accent1"/>
                <w:sz w:val="14"/>
                <w:szCs w:val="12"/>
              </w:rPr>
            </w:pPr>
            <w:r w:rsidRPr="002F446E">
              <w:rPr>
                <w:rFonts w:cs="Arial"/>
                <w:b/>
                <w:bCs/>
                <w:iCs/>
                <w:color w:val="0070AD" w:themeColor="accent1"/>
                <w:sz w:val="14"/>
                <w:szCs w:val="12"/>
              </w:rPr>
              <w:t>Flux de trésorerie liés à l’activité</w:t>
            </w:r>
          </w:p>
        </w:tc>
        <w:tc>
          <w:tcPr>
            <w:tcW w:w="928"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0750A8FF" w14:textId="47603277" w:rsidR="001047E0" w:rsidRPr="002F446E" w:rsidRDefault="001047E0" w:rsidP="001047E0">
            <w:pPr>
              <w:keepNext/>
              <w:ind w:right="538"/>
              <w:jc w:val="right"/>
              <w:rPr>
                <w:rFonts w:cs="Arial"/>
                <w:b/>
                <w:bCs/>
                <w:color w:val="0070AD" w:themeColor="accent1"/>
                <w:sz w:val="14"/>
                <w:szCs w:val="12"/>
              </w:rPr>
            </w:pPr>
            <w:r w:rsidRPr="002F446E">
              <w:rPr>
                <w:rFonts w:ascii="Verdana" w:hAnsi="Verdana" w:cs="Arial"/>
                <w:b/>
                <w:bCs/>
                <w:color w:val="0070AD" w:themeColor="accent1"/>
                <w:sz w:val="14"/>
                <w:szCs w:val="18"/>
              </w:rPr>
              <w:t>337</w:t>
            </w:r>
          </w:p>
        </w:tc>
        <w:tc>
          <w:tcPr>
            <w:tcW w:w="927" w:type="pct"/>
            <w:tcBorders>
              <w:top w:val="nil"/>
              <w:left w:val="nil"/>
              <w:bottom w:val="single" w:sz="8" w:space="0" w:color="0070AD"/>
              <w:right w:val="nil"/>
            </w:tcBorders>
            <w:shd w:val="clear" w:color="000000" w:fill="BBE7FF"/>
            <w:tcMar>
              <w:top w:w="28" w:type="dxa"/>
              <w:left w:w="28" w:type="dxa"/>
              <w:bottom w:w="28" w:type="dxa"/>
              <w:right w:w="28" w:type="dxa"/>
            </w:tcMar>
            <w:vAlign w:val="center"/>
          </w:tcPr>
          <w:p w14:paraId="3C6FF675" w14:textId="139723FC" w:rsidR="001047E0" w:rsidRPr="001047E0" w:rsidRDefault="001047E0" w:rsidP="001047E0">
            <w:pPr>
              <w:keepNext/>
              <w:ind w:right="538"/>
              <w:jc w:val="right"/>
              <w:rPr>
                <w:rFonts w:cs="Arial"/>
                <w:b/>
                <w:bCs/>
                <w:color w:val="0070AD" w:themeColor="accent1"/>
                <w:sz w:val="14"/>
                <w:szCs w:val="14"/>
              </w:rPr>
            </w:pPr>
            <w:r w:rsidRPr="001047E0">
              <w:rPr>
                <w:rFonts w:ascii="Verdana" w:hAnsi="Verdana" w:cs="Calibri"/>
                <w:b/>
                <w:bCs/>
                <w:color w:val="0070AD"/>
                <w:sz w:val="14"/>
                <w:szCs w:val="14"/>
              </w:rPr>
              <w:t xml:space="preserve">         362 </w:t>
            </w:r>
          </w:p>
        </w:tc>
      </w:tr>
      <w:tr w:rsidR="001047E0" w:rsidRPr="002F446E" w14:paraId="5AAD8E6D" w14:textId="77777777" w:rsidTr="00391FBA">
        <w:trPr>
          <w:trHeight w:val="170"/>
          <w:jc w:val="center"/>
        </w:trPr>
        <w:tc>
          <w:tcPr>
            <w:tcW w:w="3145" w:type="pct"/>
            <w:tcBorders>
              <w:top w:val="single" w:sz="8" w:space="0" w:color="0070AD" w:themeColor="accent1"/>
              <w:left w:val="nil"/>
              <w:right w:val="nil"/>
            </w:tcBorders>
            <w:tcMar>
              <w:top w:w="28" w:type="dxa"/>
              <w:left w:w="28" w:type="dxa"/>
              <w:bottom w:w="28" w:type="dxa"/>
              <w:right w:w="28" w:type="dxa"/>
            </w:tcMar>
            <w:vAlign w:val="center"/>
            <w:hideMark/>
          </w:tcPr>
          <w:p w14:paraId="20100C4E" w14:textId="77777777" w:rsidR="001047E0" w:rsidRPr="002F446E" w:rsidRDefault="001047E0" w:rsidP="001047E0">
            <w:pPr>
              <w:keepNext/>
              <w:ind w:left="256"/>
              <w:rPr>
                <w:rFonts w:cs="Arial"/>
                <w:bCs/>
                <w:sz w:val="14"/>
                <w:szCs w:val="12"/>
              </w:rPr>
            </w:pPr>
            <w:r w:rsidRPr="002F446E">
              <w:rPr>
                <w:rFonts w:cs="Arial"/>
                <w:bCs/>
                <w:sz w:val="14"/>
                <w:szCs w:val="12"/>
              </w:rPr>
              <w:t>Investissements (nets de cession) en immobilisations corporelles et incorporelles</w:t>
            </w:r>
          </w:p>
        </w:tc>
        <w:tc>
          <w:tcPr>
            <w:tcW w:w="928" w:type="pct"/>
            <w:tcBorders>
              <w:top w:val="single" w:sz="8" w:space="0" w:color="0070AD" w:themeColor="accent1"/>
              <w:left w:val="nil"/>
              <w:right w:val="nil"/>
            </w:tcBorders>
            <w:shd w:val="clear" w:color="auto" w:fill="auto"/>
            <w:tcMar>
              <w:top w:w="28" w:type="dxa"/>
              <w:left w:w="28" w:type="dxa"/>
              <w:bottom w:w="28" w:type="dxa"/>
              <w:right w:w="28" w:type="dxa"/>
            </w:tcMar>
            <w:vAlign w:val="center"/>
            <w:hideMark/>
          </w:tcPr>
          <w:p w14:paraId="22B4C9EE" w14:textId="62E21F37" w:rsidR="001047E0" w:rsidRPr="002F446E" w:rsidRDefault="001047E0" w:rsidP="001047E0">
            <w:pPr>
              <w:keepNext/>
              <w:ind w:right="538"/>
              <w:jc w:val="right"/>
              <w:rPr>
                <w:rFonts w:cs="Arial"/>
                <w:sz w:val="14"/>
                <w:szCs w:val="12"/>
              </w:rPr>
            </w:pPr>
            <w:r w:rsidRPr="002F446E">
              <w:rPr>
                <w:rFonts w:ascii="Verdana" w:hAnsi="Verdana" w:cs="Arial"/>
                <w:bCs/>
                <w:sz w:val="14"/>
                <w:szCs w:val="18"/>
              </w:rPr>
              <w:t>(118)</w:t>
            </w:r>
          </w:p>
        </w:tc>
        <w:tc>
          <w:tcPr>
            <w:tcW w:w="927" w:type="pct"/>
            <w:tcBorders>
              <w:top w:val="nil"/>
              <w:left w:val="nil"/>
              <w:bottom w:val="nil"/>
              <w:right w:val="nil"/>
            </w:tcBorders>
            <w:shd w:val="clear" w:color="000000" w:fill="BBE7FF"/>
            <w:tcMar>
              <w:top w:w="28" w:type="dxa"/>
              <w:left w:w="28" w:type="dxa"/>
              <w:bottom w:w="28" w:type="dxa"/>
              <w:right w:w="28" w:type="dxa"/>
            </w:tcMar>
            <w:vAlign w:val="center"/>
          </w:tcPr>
          <w:p w14:paraId="0CB36EC7" w14:textId="284C397D" w:rsidR="001047E0" w:rsidRPr="001047E0" w:rsidRDefault="001047E0" w:rsidP="001047E0">
            <w:pPr>
              <w:keepNext/>
              <w:ind w:right="538"/>
              <w:jc w:val="right"/>
              <w:rPr>
                <w:rFonts w:cs="Arial"/>
                <w:sz w:val="14"/>
                <w:szCs w:val="14"/>
              </w:rPr>
            </w:pPr>
            <w:r w:rsidRPr="001047E0">
              <w:rPr>
                <w:rFonts w:ascii="Verdana" w:hAnsi="Verdana" w:cs="Calibri"/>
                <w:color w:val="000000"/>
                <w:sz w:val="14"/>
                <w:szCs w:val="14"/>
              </w:rPr>
              <w:t xml:space="preserve">                 (98)</w:t>
            </w:r>
          </w:p>
        </w:tc>
      </w:tr>
      <w:tr w:rsidR="001047E0" w:rsidRPr="002F446E" w14:paraId="3A541869" w14:textId="77777777" w:rsidTr="00391FBA">
        <w:trPr>
          <w:trHeight w:val="170"/>
          <w:jc w:val="center"/>
        </w:trPr>
        <w:tc>
          <w:tcPr>
            <w:tcW w:w="3145" w:type="pct"/>
            <w:tcBorders>
              <w:top w:val="nil"/>
              <w:left w:val="nil"/>
              <w:right w:val="nil"/>
            </w:tcBorders>
            <w:tcMar>
              <w:top w:w="28" w:type="dxa"/>
              <w:left w:w="28" w:type="dxa"/>
              <w:bottom w:w="28" w:type="dxa"/>
              <w:right w:w="28" w:type="dxa"/>
            </w:tcMar>
            <w:vAlign w:val="center"/>
            <w:hideMark/>
          </w:tcPr>
          <w:p w14:paraId="4F3DC609" w14:textId="77777777" w:rsidR="001047E0" w:rsidRPr="002F446E" w:rsidRDefault="001047E0" w:rsidP="001047E0">
            <w:pPr>
              <w:keepNext/>
              <w:ind w:left="256"/>
              <w:rPr>
                <w:rFonts w:cs="Arial"/>
                <w:sz w:val="14"/>
                <w:szCs w:val="12"/>
              </w:rPr>
            </w:pPr>
            <w:r w:rsidRPr="002F446E">
              <w:rPr>
                <w:rFonts w:cs="Arial"/>
                <w:bCs/>
                <w:sz w:val="14"/>
                <w:szCs w:val="12"/>
              </w:rPr>
              <w:t>Intérêts financiers nets</w:t>
            </w:r>
          </w:p>
        </w:tc>
        <w:tc>
          <w:tcPr>
            <w:tcW w:w="928" w:type="pct"/>
            <w:tcBorders>
              <w:top w:val="nil"/>
              <w:left w:val="nil"/>
              <w:right w:val="nil"/>
            </w:tcBorders>
            <w:shd w:val="clear" w:color="auto" w:fill="auto"/>
            <w:tcMar>
              <w:top w:w="28" w:type="dxa"/>
              <w:left w:w="28" w:type="dxa"/>
              <w:bottom w:w="28" w:type="dxa"/>
              <w:right w:w="28" w:type="dxa"/>
            </w:tcMar>
            <w:vAlign w:val="center"/>
            <w:hideMark/>
          </w:tcPr>
          <w:p w14:paraId="0FE32A54" w14:textId="4AF481B5" w:rsidR="001047E0" w:rsidRPr="002F446E" w:rsidRDefault="001047E0" w:rsidP="001047E0">
            <w:pPr>
              <w:keepNext/>
              <w:ind w:right="538"/>
              <w:jc w:val="right"/>
              <w:rPr>
                <w:rFonts w:cs="Arial"/>
                <w:sz w:val="14"/>
                <w:szCs w:val="12"/>
              </w:rPr>
            </w:pPr>
            <w:r w:rsidRPr="002F446E">
              <w:rPr>
                <w:rFonts w:ascii="Verdana" w:hAnsi="Verdana" w:cs="Arial"/>
                <w:bCs/>
                <w:sz w:val="14"/>
                <w:szCs w:val="18"/>
              </w:rPr>
              <w:t>13</w:t>
            </w:r>
          </w:p>
        </w:tc>
        <w:tc>
          <w:tcPr>
            <w:tcW w:w="927" w:type="pct"/>
            <w:tcBorders>
              <w:top w:val="nil"/>
              <w:left w:val="nil"/>
              <w:bottom w:val="nil"/>
              <w:right w:val="nil"/>
            </w:tcBorders>
            <w:shd w:val="clear" w:color="000000" w:fill="BBE7FF"/>
            <w:tcMar>
              <w:top w:w="28" w:type="dxa"/>
              <w:left w:w="28" w:type="dxa"/>
              <w:bottom w:w="28" w:type="dxa"/>
              <w:right w:w="28" w:type="dxa"/>
            </w:tcMar>
            <w:vAlign w:val="center"/>
          </w:tcPr>
          <w:p w14:paraId="18DB90F0" w14:textId="0F463A11" w:rsidR="001047E0" w:rsidRPr="001047E0" w:rsidRDefault="001047E0" w:rsidP="001047E0">
            <w:pPr>
              <w:keepNext/>
              <w:ind w:right="538"/>
              <w:jc w:val="right"/>
              <w:rPr>
                <w:rFonts w:cs="Arial"/>
                <w:sz w:val="14"/>
                <w:szCs w:val="14"/>
              </w:rPr>
            </w:pPr>
            <w:r w:rsidRPr="001047E0">
              <w:rPr>
                <w:rFonts w:ascii="Verdana" w:hAnsi="Verdana" w:cs="Calibri"/>
                <w:color w:val="000000"/>
                <w:sz w:val="14"/>
                <w:szCs w:val="14"/>
              </w:rPr>
              <w:t xml:space="preserve">                  (19)</w:t>
            </w:r>
          </w:p>
        </w:tc>
      </w:tr>
      <w:tr w:rsidR="001047E0" w:rsidRPr="002F446E" w14:paraId="7C380B15" w14:textId="77777777" w:rsidTr="00391FBA">
        <w:trPr>
          <w:trHeight w:val="170"/>
          <w:jc w:val="center"/>
        </w:trPr>
        <w:tc>
          <w:tcPr>
            <w:tcW w:w="3145" w:type="pct"/>
            <w:tcBorders>
              <w:left w:val="nil"/>
              <w:bottom w:val="single" w:sz="8" w:space="0" w:color="0070AD" w:themeColor="accent1"/>
              <w:right w:val="nil"/>
            </w:tcBorders>
            <w:shd w:val="clear" w:color="auto" w:fill="auto"/>
            <w:tcMar>
              <w:top w:w="28" w:type="dxa"/>
              <w:left w:w="28" w:type="dxa"/>
              <w:bottom w:w="28" w:type="dxa"/>
              <w:right w:w="28" w:type="dxa"/>
            </w:tcMar>
            <w:vAlign w:val="center"/>
          </w:tcPr>
          <w:p w14:paraId="2A14D2DF" w14:textId="23BCD735" w:rsidR="001047E0" w:rsidRPr="002F446E" w:rsidRDefault="001047E0" w:rsidP="001047E0">
            <w:pPr>
              <w:keepNext/>
              <w:ind w:left="256"/>
              <w:rPr>
                <w:rFonts w:cs="Arial"/>
                <w:b/>
                <w:i/>
                <w:caps/>
                <w:color w:val="0070AD" w:themeColor="accent1"/>
                <w:sz w:val="14"/>
                <w:szCs w:val="14"/>
              </w:rPr>
            </w:pPr>
            <w:r w:rsidRPr="002F446E">
              <w:rPr>
                <w:rFonts w:cs="Arial"/>
                <w:bCs/>
                <w:sz w:val="14"/>
                <w:szCs w:val="12"/>
              </w:rPr>
              <w:t>Remboursement des dettes de loyers</w:t>
            </w:r>
          </w:p>
        </w:tc>
        <w:tc>
          <w:tcPr>
            <w:tcW w:w="928" w:type="pct"/>
            <w:tcBorders>
              <w:left w:val="nil"/>
              <w:bottom w:val="single" w:sz="8" w:space="0" w:color="0070AD" w:themeColor="accent1"/>
              <w:right w:val="nil"/>
            </w:tcBorders>
            <w:shd w:val="clear" w:color="auto" w:fill="auto"/>
            <w:tcMar>
              <w:top w:w="28" w:type="dxa"/>
              <w:left w:w="28" w:type="dxa"/>
              <w:bottom w:w="28" w:type="dxa"/>
              <w:right w:w="28" w:type="dxa"/>
            </w:tcMar>
            <w:vAlign w:val="center"/>
          </w:tcPr>
          <w:p w14:paraId="7BEA7AFE" w14:textId="04E0AADE" w:rsidR="001047E0" w:rsidRPr="002F446E" w:rsidRDefault="001047E0" w:rsidP="001047E0">
            <w:pPr>
              <w:keepNext/>
              <w:ind w:right="538"/>
              <w:jc w:val="right"/>
              <w:rPr>
                <w:rFonts w:ascii="Verdana" w:hAnsi="Verdana" w:cs="Arial"/>
                <w:bCs/>
                <w:sz w:val="14"/>
                <w:szCs w:val="18"/>
              </w:rPr>
            </w:pPr>
            <w:r w:rsidRPr="002F446E">
              <w:rPr>
                <w:rFonts w:ascii="Verdana" w:hAnsi="Verdana" w:cs="Arial"/>
                <w:bCs/>
                <w:sz w:val="14"/>
                <w:szCs w:val="18"/>
              </w:rPr>
              <w:t>(142)</w:t>
            </w:r>
          </w:p>
        </w:tc>
        <w:tc>
          <w:tcPr>
            <w:tcW w:w="927" w:type="pct"/>
            <w:tcBorders>
              <w:top w:val="nil"/>
              <w:left w:val="nil"/>
              <w:bottom w:val="single" w:sz="8" w:space="0" w:color="30849B"/>
              <w:right w:val="nil"/>
            </w:tcBorders>
            <w:shd w:val="clear" w:color="000000" w:fill="BBE7FF"/>
            <w:tcMar>
              <w:top w:w="28" w:type="dxa"/>
              <w:left w:w="28" w:type="dxa"/>
              <w:bottom w:w="28" w:type="dxa"/>
              <w:right w:w="28" w:type="dxa"/>
            </w:tcMar>
            <w:vAlign w:val="center"/>
          </w:tcPr>
          <w:p w14:paraId="6D7D5523" w14:textId="142E66DC" w:rsidR="001047E0" w:rsidRPr="001047E0" w:rsidRDefault="001047E0" w:rsidP="001047E0">
            <w:pPr>
              <w:keepNext/>
              <w:ind w:right="538"/>
              <w:jc w:val="right"/>
              <w:rPr>
                <w:rFonts w:ascii="Verdana" w:hAnsi="Verdana" w:cs="Arial"/>
                <w:bCs/>
                <w:sz w:val="14"/>
                <w:szCs w:val="14"/>
              </w:rPr>
            </w:pPr>
            <w:r w:rsidRPr="001047E0">
              <w:rPr>
                <w:rFonts w:ascii="Verdana" w:hAnsi="Verdana" w:cs="Calibri"/>
                <w:color w:val="000000"/>
                <w:sz w:val="14"/>
                <w:szCs w:val="14"/>
              </w:rPr>
              <w:t xml:space="preserve">               (139)</w:t>
            </w:r>
          </w:p>
        </w:tc>
      </w:tr>
      <w:tr w:rsidR="001047E0" w:rsidRPr="002F446E" w14:paraId="6A6C570D" w14:textId="77777777" w:rsidTr="00391FBA">
        <w:trPr>
          <w:trHeight w:val="170"/>
          <w:jc w:val="center"/>
        </w:trPr>
        <w:tc>
          <w:tcPr>
            <w:tcW w:w="3145" w:type="pct"/>
            <w:tcBorders>
              <w:top w:val="single" w:sz="8" w:space="0" w:color="0070AD" w:themeColor="accent1"/>
              <w:left w:val="nil"/>
              <w:bottom w:val="single" w:sz="8" w:space="0" w:color="0070AD" w:themeColor="accent1"/>
              <w:right w:val="nil"/>
            </w:tcBorders>
            <w:tcMar>
              <w:top w:w="28" w:type="dxa"/>
              <w:left w:w="28" w:type="dxa"/>
              <w:bottom w:w="28" w:type="dxa"/>
              <w:right w:w="28" w:type="dxa"/>
            </w:tcMar>
            <w:vAlign w:val="center"/>
            <w:hideMark/>
          </w:tcPr>
          <w:p w14:paraId="47394A16" w14:textId="77777777" w:rsidR="001047E0" w:rsidRPr="002F446E" w:rsidRDefault="001047E0" w:rsidP="001047E0">
            <w:pPr>
              <w:keepNext/>
              <w:ind w:left="114"/>
              <w:rPr>
                <w:rFonts w:cs="Arial"/>
                <w:b/>
                <w:caps/>
                <w:color w:val="0070AD" w:themeColor="accent1"/>
                <w:sz w:val="14"/>
                <w:szCs w:val="14"/>
              </w:rPr>
            </w:pPr>
            <w:r w:rsidRPr="002F446E">
              <w:rPr>
                <w:rFonts w:cs="Arial"/>
                <w:b/>
                <w:i/>
                <w:caps/>
                <w:color w:val="0070AD" w:themeColor="accent1"/>
                <w:sz w:val="14"/>
                <w:szCs w:val="14"/>
              </w:rPr>
              <w:t>Free cash-flow</w:t>
            </w:r>
            <w:r w:rsidRPr="002F446E">
              <w:rPr>
                <w:rFonts w:cs="Arial"/>
                <w:b/>
                <w:caps/>
                <w:color w:val="0070AD" w:themeColor="accent1"/>
                <w:sz w:val="14"/>
                <w:szCs w:val="14"/>
              </w:rPr>
              <w:t xml:space="preserve"> organique</w:t>
            </w:r>
          </w:p>
        </w:tc>
        <w:tc>
          <w:tcPr>
            <w:tcW w:w="928"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7BDC14F1" w14:textId="55794F6D" w:rsidR="001047E0" w:rsidRPr="002F446E" w:rsidRDefault="001047E0" w:rsidP="001047E0">
            <w:pPr>
              <w:keepNext/>
              <w:ind w:right="538"/>
              <w:jc w:val="right"/>
              <w:rPr>
                <w:rFonts w:cs="Arial"/>
                <w:b/>
                <w:bCs/>
                <w:iCs/>
                <w:color w:val="0070AD" w:themeColor="accent1"/>
                <w:sz w:val="14"/>
                <w:szCs w:val="12"/>
              </w:rPr>
            </w:pPr>
            <w:r w:rsidRPr="002F446E">
              <w:rPr>
                <w:rFonts w:cs="Arial"/>
                <w:b/>
                <w:bCs/>
                <w:iCs/>
                <w:color w:val="0070AD" w:themeColor="accent1"/>
                <w:sz w:val="14"/>
                <w:szCs w:val="12"/>
              </w:rPr>
              <w:t>90</w:t>
            </w:r>
          </w:p>
        </w:tc>
        <w:tc>
          <w:tcPr>
            <w:tcW w:w="927" w:type="pct"/>
            <w:tcBorders>
              <w:top w:val="nil"/>
              <w:left w:val="nil"/>
              <w:bottom w:val="single" w:sz="8" w:space="0" w:color="30849B"/>
              <w:right w:val="nil"/>
            </w:tcBorders>
            <w:shd w:val="clear" w:color="000000" w:fill="BBE7FF"/>
            <w:tcMar>
              <w:top w:w="28" w:type="dxa"/>
              <w:left w:w="28" w:type="dxa"/>
              <w:bottom w:w="28" w:type="dxa"/>
              <w:right w:w="28" w:type="dxa"/>
            </w:tcMar>
            <w:vAlign w:val="center"/>
          </w:tcPr>
          <w:p w14:paraId="451C516B" w14:textId="532CC0BD" w:rsidR="001047E0" w:rsidRPr="001047E0" w:rsidRDefault="001047E0" w:rsidP="001047E0">
            <w:pPr>
              <w:keepNext/>
              <w:ind w:right="538"/>
              <w:jc w:val="right"/>
              <w:rPr>
                <w:rFonts w:cs="Arial"/>
                <w:b/>
                <w:bCs/>
                <w:iCs/>
                <w:color w:val="0070AD" w:themeColor="accent1"/>
                <w:sz w:val="14"/>
                <w:szCs w:val="14"/>
              </w:rPr>
            </w:pPr>
            <w:r w:rsidRPr="001047E0">
              <w:rPr>
                <w:rFonts w:ascii="Verdana" w:hAnsi="Verdana" w:cs="Calibri"/>
                <w:b/>
                <w:bCs/>
                <w:color w:val="0070AD"/>
                <w:sz w:val="14"/>
                <w:szCs w:val="14"/>
              </w:rPr>
              <w:t xml:space="preserve">          106 </w:t>
            </w:r>
          </w:p>
        </w:tc>
      </w:tr>
      <w:tr w:rsidR="001047E0" w:rsidRPr="002F446E" w14:paraId="02260E73" w14:textId="77777777" w:rsidTr="00391FBA">
        <w:trPr>
          <w:trHeight w:val="170"/>
          <w:jc w:val="center"/>
        </w:trPr>
        <w:tc>
          <w:tcPr>
            <w:tcW w:w="3145" w:type="pct"/>
            <w:tcBorders>
              <w:top w:val="single" w:sz="8" w:space="0" w:color="0070AD" w:themeColor="accent1"/>
              <w:left w:val="nil"/>
              <w:bottom w:val="single" w:sz="8" w:space="0" w:color="0070AD" w:themeColor="accent1"/>
              <w:right w:val="nil"/>
            </w:tcBorders>
            <w:tcMar>
              <w:top w:w="28" w:type="dxa"/>
              <w:left w:w="28" w:type="dxa"/>
              <w:bottom w:w="28" w:type="dxa"/>
              <w:right w:w="28" w:type="dxa"/>
            </w:tcMar>
            <w:vAlign w:val="center"/>
          </w:tcPr>
          <w:p w14:paraId="59547E1D" w14:textId="77777777" w:rsidR="001047E0" w:rsidRPr="002F446E" w:rsidRDefault="001047E0" w:rsidP="001047E0">
            <w:pPr>
              <w:keepNext/>
              <w:ind w:left="256"/>
              <w:rPr>
                <w:rFonts w:cs="Arial"/>
                <w:bCs/>
                <w:sz w:val="14"/>
                <w:szCs w:val="12"/>
              </w:rPr>
            </w:pPr>
            <w:r w:rsidRPr="002F446E">
              <w:rPr>
                <w:rFonts w:cs="Arial"/>
                <w:bCs/>
                <w:sz w:val="14"/>
                <w:szCs w:val="12"/>
              </w:rPr>
              <w:t>Autres flux de trésorerie liés aux opérations d’investissement et de financement</w:t>
            </w:r>
          </w:p>
        </w:tc>
        <w:tc>
          <w:tcPr>
            <w:tcW w:w="928"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tcPr>
          <w:p w14:paraId="19770A0F" w14:textId="66D08E05" w:rsidR="001047E0" w:rsidRPr="002F446E" w:rsidRDefault="001047E0" w:rsidP="001047E0">
            <w:pPr>
              <w:keepNext/>
              <w:ind w:right="538"/>
              <w:jc w:val="right"/>
              <w:rPr>
                <w:rFonts w:cs="Arial"/>
                <w:bCs/>
                <w:sz w:val="14"/>
                <w:szCs w:val="12"/>
              </w:rPr>
            </w:pPr>
            <w:r w:rsidRPr="002F446E">
              <w:rPr>
                <w:rFonts w:ascii="Verdana" w:hAnsi="Verdana" w:cs="Arial"/>
                <w:bCs/>
                <w:sz w:val="14"/>
                <w:szCs w:val="18"/>
              </w:rPr>
              <w:t>(416)</w:t>
            </w:r>
          </w:p>
        </w:tc>
        <w:tc>
          <w:tcPr>
            <w:tcW w:w="927" w:type="pct"/>
            <w:tcBorders>
              <w:top w:val="nil"/>
              <w:left w:val="nil"/>
              <w:bottom w:val="nil"/>
              <w:right w:val="nil"/>
            </w:tcBorders>
            <w:shd w:val="clear" w:color="000000" w:fill="BBE7FF"/>
            <w:tcMar>
              <w:top w:w="28" w:type="dxa"/>
              <w:left w:w="28" w:type="dxa"/>
              <w:bottom w:w="28" w:type="dxa"/>
              <w:right w:w="28" w:type="dxa"/>
            </w:tcMar>
            <w:vAlign w:val="center"/>
          </w:tcPr>
          <w:p w14:paraId="06C9AE08" w14:textId="3E526EDA" w:rsidR="001047E0" w:rsidRPr="00E872EA" w:rsidRDefault="000A3DA2" w:rsidP="001047E0">
            <w:pPr>
              <w:keepNext/>
              <w:ind w:right="538"/>
              <w:jc w:val="right"/>
              <w:rPr>
                <w:rFonts w:cs="Arial"/>
                <w:bCs/>
                <w:color w:val="FF0000"/>
                <w:sz w:val="14"/>
                <w:szCs w:val="14"/>
              </w:rPr>
            </w:pPr>
            <w:r w:rsidRPr="00E872EA">
              <w:rPr>
                <w:rFonts w:ascii="Verdana" w:hAnsi="Verdana" w:cs="Calibri"/>
                <w:sz w:val="14"/>
                <w:szCs w:val="14"/>
              </w:rPr>
              <w:t>(</w:t>
            </w:r>
            <w:r w:rsidR="004066F9">
              <w:rPr>
                <w:rFonts w:ascii="Verdana" w:hAnsi="Verdana" w:cs="Calibri"/>
                <w:sz w:val="14"/>
                <w:szCs w:val="14"/>
              </w:rPr>
              <w:t>374</w:t>
            </w:r>
            <w:r w:rsidRPr="00E872EA">
              <w:rPr>
                <w:rFonts w:ascii="Verdana" w:hAnsi="Verdana" w:cs="Calibri"/>
                <w:sz w:val="14"/>
                <w:szCs w:val="14"/>
              </w:rPr>
              <w:t>)</w:t>
            </w:r>
          </w:p>
        </w:tc>
      </w:tr>
      <w:tr w:rsidR="001047E0" w:rsidRPr="002F446E" w14:paraId="56B28A65" w14:textId="77777777" w:rsidTr="00391FBA">
        <w:trPr>
          <w:trHeight w:val="170"/>
          <w:jc w:val="center"/>
        </w:trPr>
        <w:tc>
          <w:tcPr>
            <w:tcW w:w="3145" w:type="pct"/>
            <w:tcBorders>
              <w:top w:val="single" w:sz="8" w:space="0" w:color="0070AD" w:themeColor="accent1"/>
              <w:left w:val="nil"/>
              <w:bottom w:val="single" w:sz="8" w:space="0" w:color="0070AD" w:themeColor="accent1"/>
              <w:right w:val="nil"/>
            </w:tcBorders>
            <w:tcMar>
              <w:top w:w="28" w:type="dxa"/>
              <w:left w:w="28" w:type="dxa"/>
              <w:bottom w:w="28" w:type="dxa"/>
              <w:right w:w="28" w:type="dxa"/>
            </w:tcMar>
            <w:vAlign w:val="center"/>
            <w:hideMark/>
          </w:tcPr>
          <w:p w14:paraId="09050555" w14:textId="77777777" w:rsidR="001047E0" w:rsidRPr="002F446E" w:rsidRDefault="001047E0" w:rsidP="001047E0">
            <w:pPr>
              <w:keepNext/>
              <w:ind w:left="114"/>
              <w:rPr>
                <w:rFonts w:cs="Arial"/>
                <w:b/>
                <w:bCs/>
                <w:iCs/>
                <w:color w:val="0070AD" w:themeColor="accent1"/>
                <w:sz w:val="14"/>
                <w:szCs w:val="12"/>
              </w:rPr>
            </w:pPr>
            <w:r w:rsidRPr="002F446E">
              <w:rPr>
                <w:rFonts w:cs="Arial"/>
                <w:b/>
                <w:bCs/>
                <w:iCs/>
                <w:color w:val="0070AD" w:themeColor="accent1"/>
                <w:sz w:val="14"/>
                <w:szCs w:val="12"/>
              </w:rPr>
              <w:t>Variation de trésorerie</w:t>
            </w:r>
          </w:p>
        </w:tc>
        <w:tc>
          <w:tcPr>
            <w:tcW w:w="928"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20AA4029" w14:textId="1C8C81BA" w:rsidR="001047E0" w:rsidRPr="002F446E" w:rsidRDefault="001047E0" w:rsidP="001047E0">
            <w:pPr>
              <w:keepNext/>
              <w:ind w:right="538"/>
              <w:jc w:val="right"/>
              <w:rPr>
                <w:rFonts w:cs="Arial"/>
                <w:b/>
                <w:bCs/>
                <w:iCs/>
                <w:color w:val="0070AD" w:themeColor="accent1"/>
                <w:sz w:val="14"/>
                <w:szCs w:val="12"/>
              </w:rPr>
            </w:pPr>
            <w:r w:rsidRPr="002F446E">
              <w:rPr>
                <w:rFonts w:ascii="Verdana" w:hAnsi="Verdana" w:cs="Arial"/>
                <w:b/>
                <w:bCs/>
                <w:color w:val="0070AD" w:themeColor="accent1"/>
                <w:sz w:val="14"/>
                <w:szCs w:val="18"/>
              </w:rPr>
              <w:t>(326)</w:t>
            </w:r>
          </w:p>
        </w:tc>
        <w:tc>
          <w:tcPr>
            <w:tcW w:w="927" w:type="pct"/>
            <w:tcBorders>
              <w:top w:val="single" w:sz="8" w:space="0" w:color="30849B"/>
              <w:left w:val="nil"/>
              <w:bottom w:val="single" w:sz="8" w:space="0" w:color="30849B"/>
              <w:right w:val="nil"/>
            </w:tcBorders>
            <w:shd w:val="clear" w:color="000000" w:fill="BBE7FF"/>
            <w:tcMar>
              <w:top w:w="28" w:type="dxa"/>
              <w:left w:w="28" w:type="dxa"/>
              <w:bottom w:w="28" w:type="dxa"/>
              <w:right w:w="28" w:type="dxa"/>
            </w:tcMar>
            <w:vAlign w:val="center"/>
          </w:tcPr>
          <w:p w14:paraId="3E6C2ACB" w14:textId="1735A61A" w:rsidR="001047E0" w:rsidRPr="00E872EA" w:rsidRDefault="007A7238" w:rsidP="001047E0">
            <w:pPr>
              <w:keepNext/>
              <w:ind w:right="538"/>
              <w:jc w:val="right"/>
              <w:rPr>
                <w:rFonts w:cs="Arial"/>
                <w:b/>
                <w:bCs/>
                <w:iCs/>
                <w:color w:val="FF0000"/>
                <w:sz w:val="14"/>
                <w:szCs w:val="14"/>
              </w:rPr>
            </w:pPr>
            <w:r w:rsidRPr="00E872EA">
              <w:rPr>
                <w:rFonts w:ascii="Verdana" w:hAnsi="Verdana" w:cs="Calibri"/>
                <w:b/>
                <w:bCs/>
                <w:color w:val="0070AD" w:themeColor="accent1"/>
                <w:sz w:val="14"/>
                <w:szCs w:val="14"/>
              </w:rPr>
              <w:t>(</w:t>
            </w:r>
            <w:r w:rsidR="004066F9">
              <w:rPr>
                <w:rFonts w:ascii="Verdana" w:hAnsi="Verdana" w:cs="Calibri"/>
                <w:b/>
                <w:bCs/>
                <w:color w:val="0070AD" w:themeColor="accent1"/>
                <w:sz w:val="14"/>
                <w:szCs w:val="14"/>
              </w:rPr>
              <w:t>268</w:t>
            </w:r>
            <w:r w:rsidR="000A3DA2" w:rsidRPr="00E872EA">
              <w:rPr>
                <w:rFonts w:ascii="Verdana" w:hAnsi="Verdana" w:cs="Calibri"/>
                <w:b/>
                <w:bCs/>
                <w:color w:val="0070AD" w:themeColor="accent1"/>
                <w:sz w:val="14"/>
                <w:szCs w:val="14"/>
              </w:rPr>
              <w:t>)</w:t>
            </w:r>
            <w:r w:rsidRPr="00E872EA">
              <w:rPr>
                <w:rFonts w:ascii="Verdana" w:hAnsi="Verdana" w:cs="Calibri"/>
                <w:b/>
                <w:bCs/>
                <w:color w:val="0070AD" w:themeColor="accent1"/>
                <w:sz w:val="14"/>
                <w:szCs w:val="14"/>
              </w:rPr>
              <w:t xml:space="preserve">   </w:t>
            </w:r>
          </w:p>
        </w:tc>
      </w:tr>
      <w:tr w:rsidR="001047E0" w:rsidRPr="002F446E" w14:paraId="44980E99" w14:textId="77777777" w:rsidTr="00391FBA">
        <w:trPr>
          <w:trHeight w:val="170"/>
          <w:jc w:val="center"/>
        </w:trPr>
        <w:tc>
          <w:tcPr>
            <w:tcW w:w="3145" w:type="pct"/>
            <w:tcBorders>
              <w:top w:val="single" w:sz="8" w:space="0" w:color="0070AD" w:themeColor="accent1"/>
              <w:left w:val="nil"/>
              <w:bottom w:val="single" w:sz="8" w:space="0" w:color="0070AD" w:themeColor="accent1"/>
              <w:right w:val="nil"/>
            </w:tcBorders>
            <w:tcMar>
              <w:top w:w="28" w:type="dxa"/>
              <w:left w:w="28" w:type="dxa"/>
              <w:bottom w:w="28" w:type="dxa"/>
              <w:right w:w="28" w:type="dxa"/>
            </w:tcMar>
            <w:vAlign w:val="center"/>
          </w:tcPr>
          <w:p w14:paraId="1A74225B" w14:textId="77777777" w:rsidR="001047E0" w:rsidRPr="002F446E" w:rsidRDefault="001047E0" w:rsidP="001047E0">
            <w:pPr>
              <w:keepNext/>
              <w:ind w:left="256"/>
              <w:rPr>
                <w:rFonts w:cs="Arial"/>
                <w:bCs/>
                <w:sz w:val="14"/>
                <w:szCs w:val="12"/>
              </w:rPr>
            </w:pPr>
            <w:r w:rsidRPr="002F446E">
              <w:rPr>
                <w:rFonts w:cs="Arial"/>
                <w:bCs/>
                <w:sz w:val="14"/>
                <w:szCs w:val="12"/>
              </w:rPr>
              <w:t>Incidence des variations des cours des devises</w:t>
            </w:r>
          </w:p>
        </w:tc>
        <w:tc>
          <w:tcPr>
            <w:tcW w:w="928"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tcPr>
          <w:p w14:paraId="7456B27B" w14:textId="63F2A51B" w:rsidR="001047E0" w:rsidRPr="002F446E" w:rsidRDefault="001047E0" w:rsidP="001047E0">
            <w:pPr>
              <w:keepNext/>
              <w:ind w:right="538"/>
              <w:jc w:val="right"/>
              <w:rPr>
                <w:rFonts w:cs="Arial"/>
                <w:bCs/>
                <w:sz w:val="14"/>
                <w:szCs w:val="12"/>
              </w:rPr>
            </w:pPr>
            <w:r w:rsidRPr="002F446E">
              <w:rPr>
                <w:rFonts w:ascii="Verdana" w:hAnsi="Verdana" w:cs="Arial"/>
                <w:bCs/>
                <w:sz w:val="14"/>
                <w:szCs w:val="18"/>
              </w:rPr>
              <w:t>(15)</w:t>
            </w:r>
          </w:p>
        </w:tc>
        <w:tc>
          <w:tcPr>
            <w:tcW w:w="927" w:type="pct"/>
            <w:tcBorders>
              <w:top w:val="nil"/>
              <w:left w:val="nil"/>
              <w:bottom w:val="single" w:sz="8" w:space="0" w:color="0070AD"/>
              <w:right w:val="nil"/>
            </w:tcBorders>
            <w:shd w:val="clear" w:color="000000" w:fill="BBE7FF"/>
            <w:tcMar>
              <w:top w:w="28" w:type="dxa"/>
              <w:left w:w="28" w:type="dxa"/>
              <w:bottom w:w="28" w:type="dxa"/>
              <w:right w:w="28" w:type="dxa"/>
            </w:tcMar>
            <w:vAlign w:val="center"/>
          </w:tcPr>
          <w:p w14:paraId="3D0A0614" w14:textId="412D3E8A" w:rsidR="001047E0" w:rsidRPr="00E872EA" w:rsidRDefault="001047E0" w:rsidP="001047E0">
            <w:pPr>
              <w:keepNext/>
              <w:ind w:right="538"/>
              <w:jc w:val="right"/>
              <w:rPr>
                <w:rFonts w:cs="Arial"/>
                <w:bCs/>
                <w:color w:val="FF0000"/>
                <w:sz w:val="14"/>
                <w:szCs w:val="14"/>
              </w:rPr>
            </w:pPr>
            <w:r w:rsidRPr="00E872EA">
              <w:rPr>
                <w:rFonts w:ascii="Verdana" w:hAnsi="Verdana" w:cs="Calibri"/>
                <w:color w:val="000000"/>
                <w:sz w:val="14"/>
                <w:szCs w:val="14"/>
              </w:rPr>
              <w:t xml:space="preserve">                 (66)</w:t>
            </w:r>
          </w:p>
        </w:tc>
      </w:tr>
      <w:tr w:rsidR="001047E0" w:rsidRPr="002F446E" w14:paraId="5B0219A4" w14:textId="77777777" w:rsidTr="00391FBA">
        <w:trPr>
          <w:trHeight w:val="170"/>
          <w:jc w:val="center"/>
        </w:trPr>
        <w:tc>
          <w:tcPr>
            <w:tcW w:w="3145" w:type="pct"/>
            <w:tcBorders>
              <w:top w:val="single" w:sz="8" w:space="0" w:color="0070AD" w:themeColor="accent1"/>
              <w:left w:val="nil"/>
              <w:right w:val="nil"/>
            </w:tcBorders>
            <w:tcMar>
              <w:top w:w="28" w:type="dxa"/>
              <w:left w:w="28" w:type="dxa"/>
              <w:bottom w:w="28" w:type="dxa"/>
              <w:right w:w="28" w:type="dxa"/>
            </w:tcMar>
            <w:vAlign w:val="center"/>
          </w:tcPr>
          <w:p w14:paraId="1874DB8D" w14:textId="77777777" w:rsidR="001047E0" w:rsidRPr="002F446E" w:rsidRDefault="001047E0" w:rsidP="001047E0">
            <w:pPr>
              <w:keepNext/>
              <w:ind w:left="114"/>
              <w:rPr>
                <w:rFonts w:cs="Arial"/>
                <w:b/>
                <w:bCs/>
                <w:iCs/>
                <w:color w:val="0070AD" w:themeColor="accent1"/>
                <w:sz w:val="14"/>
                <w:szCs w:val="12"/>
              </w:rPr>
            </w:pPr>
            <w:r w:rsidRPr="002F446E">
              <w:rPr>
                <w:rFonts w:cs="Arial"/>
                <w:b/>
                <w:bCs/>
                <w:iCs/>
                <w:color w:val="0070AD" w:themeColor="accent1"/>
                <w:sz w:val="14"/>
                <w:szCs w:val="12"/>
              </w:rPr>
              <w:t>Trésorerie d’ouverture</w:t>
            </w:r>
          </w:p>
        </w:tc>
        <w:tc>
          <w:tcPr>
            <w:tcW w:w="928" w:type="pct"/>
            <w:tcBorders>
              <w:top w:val="single" w:sz="8" w:space="0" w:color="0070AD" w:themeColor="accent1"/>
              <w:left w:val="nil"/>
              <w:right w:val="nil"/>
            </w:tcBorders>
            <w:shd w:val="clear" w:color="auto" w:fill="auto"/>
            <w:tcMar>
              <w:top w:w="28" w:type="dxa"/>
              <w:left w:w="28" w:type="dxa"/>
              <w:bottom w:w="28" w:type="dxa"/>
              <w:right w:w="28" w:type="dxa"/>
            </w:tcMar>
            <w:vAlign w:val="center"/>
          </w:tcPr>
          <w:p w14:paraId="56176D23" w14:textId="2DEB69D4" w:rsidR="001047E0" w:rsidRPr="002F446E" w:rsidRDefault="001047E0" w:rsidP="001047E0">
            <w:pPr>
              <w:keepNext/>
              <w:ind w:right="538"/>
              <w:jc w:val="right"/>
              <w:rPr>
                <w:rFonts w:cs="Arial"/>
                <w:b/>
                <w:bCs/>
                <w:color w:val="0070AD" w:themeColor="accent1"/>
                <w:sz w:val="14"/>
                <w:szCs w:val="12"/>
              </w:rPr>
            </w:pPr>
            <w:r w:rsidRPr="002F446E">
              <w:rPr>
                <w:rFonts w:cs="Arial"/>
                <w:b/>
                <w:bCs/>
                <w:color w:val="0070AD" w:themeColor="accent1"/>
                <w:sz w:val="14"/>
                <w:szCs w:val="12"/>
              </w:rPr>
              <w:t>2 004</w:t>
            </w:r>
          </w:p>
        </w:tc>
        <w:tc>
          <w:tcPr>
            <w:tcW w:w="927" w:type="pct"/>
            <w:tcBorders>
              <w:top w:val="nil"/>
              <w:left w:val="nil"/>
              <w:bottom w:val="nil"/>
              <w:right w:val="nil"/>
            </w:tcBorders>
            <w:shd w:val="clear" w:color="000000" w:fill="BBE7FF"/>
            <w:tcMar>
              <w:top w:w="28" w:type="dxa"/>
              <w:left w:w="28" w:type="dxa"/>
              <w:bottom w:w="28" w:type="dxa"/>
              <w:right w:w="28" w:type="dxa"/>
            </w:tcMar>
            <w:vAlign w:val="center"/>
          </w:tcPr>
          <w:p w14:paraId="5BC2CB67" w14:textId="0031EA39" w:rsidR="001047E0" w:rsidRPr="001047E0" w:rsidRDefault="001047E0" w:rsidP="001047E0">
            <w:pPr>
              <w:keepNext/>
              <w:ind w:right="538"/>
              <w:jc w:val="right"/>
              <w:rPr>
                <w:rFonts w:cs="Arial"/>
                <w:b/>
                <w:bCs/>
                <w:color w:val="0070AD" w:themeColor="accent1"/>
                <w:sz w:val="14"/>
                <w:szCs w:val="14"/>
              </w:rPr>
            </w:pPr>
            <w:r w:rsidRPr="001047E0">
              <w:rPr>
                <w:rFonts w:ascii="Verdana" w:hAnsi="Verdana" w:cs="Calibri"/>
                <w:b/>
                <w:bCs/>
                <w:color w:val="0070AD"/>
                <w:sz w:val="14"/>
                <w:szCs w:val="14"/>
              </w:rPr>
              <w:t xml:space="preserve">       </w:t>
            </w:r>
            <w:r w:rsidR="00E872EA">
              <w:rPr>
                <w:rFonts w:ascii="Verdana" w:hAnsi="Verdana" w:cs="Calibri"/>
                <w:b/>
                <w:bCs/>
                <w:color w:val="0070AD"/>
                <w:sz w:val="14"/>
                <w:szCs w:val="14"/>
              </w:rPr>
              <w:t>2 450</w:t>
            </w:r>
          </w:p>
        </w:tc>
      </w:tr>
      <w:tr w:rsidR="001047E0" w:rsidRPr="002F446E" w14:paraId="1955A810" w14:textId="77777777" w:rsidTr="00391FBA">
        <w:trPr>
          <w:trHeight w:val="170"/>
          <w:jc w:val="center"/>
        </w:trPr>
        <w:tc>
          <w:tcPr>
            <w:tcW w:w="3145" w:type="pct"/>
            <w:tcBorders>
              <w:left w:val="nil"/>
              <w:bottom w:val="single" w:sz="8" w:space="0" w:color="0070AD" w:themeColor="accent1"/>
              <w:right w:val="nil"/>
            </w:tcBorders>
            <w:tcMar>
              <w:top w:w="28" w:type="dxa"/>
              <w:left w:w="28" w:type="dxa"/>
              <w:bottom w:w="28" w:type="dxa"/>
              <w:right w:w="28" w:type="dxa"/>
            </w:tcMar>
            <w:vAlign w:val="center"/>
          </w:tcPr>
          <w:p w14:paraId="7A9E7FA4" w14:textId="77777777" w:rsidR="001047E0" w:rsidRPr="002F446E" w:rsidRDefault="001047E0" w:rsidP="001047E0">
            <w:pPr>
              <w:keepNext/>
              <w:ind w:left="114"/>
              <w:rPr>
                <w:rFonts w:cs="Arial"/>
                <w:color w:val="0070AD" w:themeColor="accent1"/>
                <w:sz w:val="14"/>
                <w:szCs w:val="12"/>
              </w:rPr>
            </w:pPr>
            <w:r w:rsidRPr="002F446E">
              <w:rPr>
                <w:rFonts w:cs="Arial"/>
                <w:b/>
                <w:bCs/>
                <w:iCs/>
                <w:color w:val="0070AD" w:themeColor="accent1"/>
                <w:sz w:val="14"/>
                <w:szCs w:val="12"/>
              </w:rPr>
              <w:t>Trésorerie de clôture</w:t>
            </w:r>
          </w:p>
        </w:tc>
        <w:tc>
          <w:tcPr>
            <w:tcW w:w="928" w:type="pct"/>
            <w:tcBorders>
              <w:left w:val="nil"/>
              <w:bottom w:val="single" w:sz="8" w:space="0" w:color="0070AD" w:themeColor="accent1"/>
              <w:right w:val="nil"/>
            </w:tcBorders>
            <w:shd w:val="clear" w:color="auto" w:fill="auto"/>
            <w:tcMar>
              <w:top w:w="28" w:type="dxa"/>
              <w:left w:w="28" w:type="dxa"/>
              <w:bottom w:w="28" w:type="dxa"/>
              <w:right w:w="28" w:type="dxa"/>
            </w:tcMar>
            <w:vAlign w:val="center"/>
          </w:tcPr>
          <w:p w14:paraId="2D93B954" w14:textId="472C6887" w:rsidR="001047E0" w:rsidRPr="002F446E" w:rsidRDefault="001047E0" w:rsidP="001047E0">
            <w:pPr>
              <w:keepNext/>
              <w:ind w:right="538"/>
              <w:jc w:val="right"/>
              <w:rPr>
                <w:rFonts w:cs="Arial"/>
                <w:color w:val="0070AD" w:themeColor="accent1"/>
                <w:sz w:val="14"/>
                <w:szCs w:val="12"/>
                <w:lang w:val="en-US"/>
              </w:rPr>
            </w:pPr>
            <w:r w:rsidRPr="002F446E">
              <w:rPr>
                <w:rFonts w:ascii="Verdana" w:hAnsi="Verdana" w:cs="Arial"/>
                <w:b/>
                <w:bCs/>
                <w:color w:val="0070AD" w:themeColor="accent1"/>
                <w:sz w:val="14"/>
                <w:szCs w:val="18"/>
              </w:rPr>
              <w:t>1 663</w:t>
            </w:r>
          </w:p>
        </w:tc>
        <w:tc>
          <w:tcPr>
            <w:tcW w:w="927" w:type="pct"/>
            <w:tcBorders>
              <w:top w:val="nil"/>
              <w:left w:val="nil"/>
              <w:bottom w:val="single" w:sz="8" w:space="0" w:color="0070AD"/>
              <w:right w:val="nil"/>
            </w:tcBorders>
            <w:shd w:val="clear" w:color="000000" w:fill="BBE7FF"/>
            <w:tcMar>
              <w:top w:w="28" w:type="dxa"/>
              <w:left w:w="28" w:type="dxa"/>
              <w:bottom w:w="28" w:type="dxa"/>
              <w:right w:w="28" w:type="dxa"/>
            </w:tcMar>
            <w:vAlign w:val="center"/>
          </w:tcPr>
          <w:p w14:paraId="1739A402" w14:textId="15F337B8" w:rsidR="001047E0" w:rsidRPr="001047E0" w:rsidRDefault="001047E0" w:rsidP="001047E0">
            <w:pPr>
              <w:keepNext/>
              <w:ind w:right="538"/>
              <w:jc w:val="right"/>
              <w:rPr>
                <w:rFonts w:cs="Arial"/>
                <w:color w:val="0070AD" w:themeColor="accent1"/>
                <w:sz w:val="14"/>
                <w:szCs w:val="14"/>
                <w:lang w:val="en-US"/>
              </w:rPr>
            </w:pPr>
            <w:r w:rsidRPr="001047E0">
              <w:rPr>
                <w:rFonts w:ascii="Verdana" w:hAnsi="Verdana" w:cs="Calibri"/>
                <w:b/>
                <w:bCs/>
                <w:color w:val="0070AD"/>
                <w:sz w:val="14"/>
                <w:szCs w:val="14"/>
              </w:rPr>
              <w:t xml:space="preserve">    </w:t>
            </w:r>
            <w:r w:rsidR="00E872EA">
              <w:rPr>
                <w:rFonts w:ascii="Verdana" w:hAnsi="Verdana" w:cs="Calibri"/>
                <w:b/>
                <w:bCs/>
                <w:color w:val="0070AD"/>
                <w:sz w:val="14"/>
                <w:szCs w:val="14"/>
              </w:rPr>
              <w:t>2 116</w:t>
            </w:r>
          </w:p>
        </w:tc>
      </w:tr>
    </w:tbl>
    <w:p w14:paraId="061D1E4C" w14:textId="77777777" w:rsidR="006866C7" w:rsidRPr="002F446E" w:rsidRDefault="006866C7" w:rsidP="006866C7">
      <w:pPr>
        <w:spacing w:before="120" w:after="120"/>
        <w:rPr>
          <w:rFonts w:cs="Arial"/>
          <w:b/>
          <w:caps/>
        </w:rPr>
      </w:pPr>
    </w:p>
    <w:p w14:paraId="171E978A" w14:textId="3EBA4F8D" w:rsidR="00B00202" w:rsidRPr="008E19FC" w:rsidRDefault="00C96D53" w:rsidP="006866C7">
      <w:pPr>
        <w:pStyle w:val="Heading1"/>
      </w:pPr>
      <w:r w:rsidRPr="008E19FC">
        <w:t>ENDETTEMENT NET</w:t>
      </w:r>
      <w:r w:rsidR="00B00202" w:rsidRPr="008E19FC">
        <w:t xml:space="preserve"> </w:t>
      </w:r>
    </w:p>
    <w:tbl>
      <w:tblPr>
        <w:tblW w:w="4873" w:type="pct"/>
        <w:tblInd w:w="142" w:type="dxa"/>
        <w:tblCellMar>
          <w:left w:w="0" w:type="dxa"/>
          <w:right w:w="0" w:type="dxa"/>
        </w:tblCellMar>
        <w:tblLook w:val="04A0" w:firstRow="1" w:lastRow="0" w:firstColumn="1" w:lastColumn="0" w:noHBand="0" w:noVBand="1"/>
      </w:tblPr>
      <w:tblGrid>
        <w:gridCol w:w="4813"/>
        <w:gridCol w:w="1647"/>
        <w:gridCol w:w="1619"/>
        <w:gridCol w:w="1844"/>
      </w:tblGrid>
      <w:tr w:rsidR="005137C6" w:rsidRPr="002F446E" w14:paraId="76397F55" w14:textId="77777777" w:rsidTr="005137C6">
        <w:trPr>
          <w:trHeight w:val="283"/>
        </w:trPr>
        <w:tc>
          <w:tcPr>
            <w:tcW w:w="2425" w:type="pct"/>
            <w:tcBorders>
              <w:top w:val="nil"/>
              <w:left w:val="nil"/>
              <w:bottom w:val="single" w:sz="8" w:space="0" w:color="0070AD" w:themeColor="accent1"/>
              <w:right w:val="nil"/>
            </w:tcBorders>
            <w:tcMar>
              <w:top w:w="28" w:type="dxa"/>
              <w:left w:w="28" w:type="dxa"/>
              <w:bottom w:w="28" w:type="dxa"/>
              <w:right w:w="28" w:type="dxa"/>
            </w:tcMar>
            <w:vAlign w:val="center"/>
            <w:hideMark/>
          </w:tcPr>
          <w:p w14:paraId="0BA859E9" w14:textId="77777777" w:rsidR="008E19FC" w:rsidRPr="008E19FC" w:rsidRDefault="008E19FC" w:rsidP="00041C5B">
            <w:pPr>
              <w:keepNext/>
              <w:keepLines/>
              <w:jc w:val="center"/>
              <w:rPr>
                <w:rFonts w:ascii="Verdana" w:hAnsi="Verdana" w:cs="Arial"/>
                <w:sz w:val="14"/>
                <w:szCs w:val="18"/>
              </w:rPr>
            </w:pPr>
            <w:r w:rsidRPr="008E19FC">
              <w:rPr>
                <w:rFonts w:ascii="Verdana" w:hAnsi="Verdana" w:cs="Arial"/>
                <w:i/>
                <w:iCs/>
                <w:sz w:val="14"/>
                <w:szCs w:val="18"/>
              </w:rPr>
              <w:t>(</w:t>
            </w:r>
            <w:proofErr w:type="gramStart"/>
            <w:r w:rsidRPr="008E19FC">
              <w:rPr>
                <w:rFonts w:ascii="Verdana" w:hAnsi="Verdana" w:cs="Arial"/>
                <w:i/>
                <w:iCs/>
                <w:sz w:val="14"/>
                <w:szCs w:val="18"/>
              </w:rPr>
              <w:t>en</w:t>
            </w:r>
            <w:proofErr w:type="gramEnd"/>
            <w:r w:rsidRPr="008E19FC">
              <w:rPr>
                <w:rFonts w:ascii="Verdana" w:hAnsi="Verdana" w:cs="Arial"/>
                <w:i/>
                <w:iCs/>
                <w:sz w:val="14"/>
                <w:szCs w:val="18"/>
              </w:rPr>
              <w:t xml:space="preserve"> millions d’euros)</w:t>
            </w:r>
          </w:p>
        </w:tc>
        <w:tc>
          <w:tcPr>
            <w:tcW w:w="830" w:type="pct"/>
            <w:tcBorders>
              <w:top w:val="nil"/>
              <w:left w:val="nil"/>
              <w:bottom w:val="single" w:sz="8" w:space="0" w:color="0070AD" w:themeColor="accent1"/>
              <w:right w:val="nil"/>
            </w:tcBorders>
            <w:tcMar>
              <w:top w:w="28" w:type="dxa"/>
              <w:left w:w="28" w:type="dxa"/>
              <w:bottom w:w="28" w:type="dxa"/>
              <w:right w:w="28" w:type="dxa"/>
            </w:tcMar>
            <w:vAlign w:val="center"/>
            <w:hideMark/>
          </w:tcPr>
          <w:p w14:paraId="5816034C" w14:textId="1E8FC1B7" w:rsidR="008E19FC" w:rsidRPr="008E19FC" w:rsidRDefault="008E19FC" w:rsidP="005463B7">
            <w:pPr>
              <w:keepNext/>
              <w:keepLines/>
              <w:jc w:val="center"/>
              <w:rPr>
                <w:rFonts w:ascii="Verdana" w:hAnsi="Verdana" w:cs="Arial"/>
                <w:b/>
                <w:bCs/>
                <w:sz w:val="14"/>
                <w:szCs w:val="18"/>
              </w:rPr>
            </w:pPr>
            <w:r w:rsidRPr="008E19FC">
              <w:rPr>
                <w:rFonts w:ascii="Verdana" w:hAnsi="Verdana" w:cs="Arial"/>
                <w:b/>
                <w:bCs/>
                <w:sz w:val="14"/>
                <w:szCs w:val="18"/>
              </w:rPr>
              <w:t>30/06/2019</w:t>
            </w:r>
          </w:p>
          <w:p w14:paraId="548DEBC7" w14:textId="048F1489" w:rsidR="008E19FC" w:rsidRPr="008E19FC" w:rsidRDefault="008E19FC" w:rsidP="00041C5B">
            <w:pPr>
              <w:keepNext/>
              <w:keepLines/>
              <w:jc w:val="center"/>
              <w:rPr>
                <w:rFonts w:ascii="Verdana" w:hAnsi="Verdana" w:cs="Arial"/>
                <w:b/>
                <w:bCs/>
                <w:sz w:val="14"/>
                <w:szCs w:val="18"/>
              </w:rPr>
            </w:pPr>
          </w:p>
        </w:tc>
        <w:tc>
          <w:tcPr>
            <w:tcW w:w="816" w:type="pct"/>
            <w:tcBorders>
              <w:top w:val="nil"/>
              <w:left w:val="nil"/>
              <w:bottom w:val="single" w:sz="8" w:space="0" w:color="0070AD" w:themeColor="accent1"/>
              <w:right w:val="nil"/>
            </w:tcBorders>
            <w:shd w:val="clear" w:color="auto" w:fill="auto"/>
            <w:vAlign w:val="center"/>
          </w:tcPr>
          <w:p w14:paraId="639B0A9B" w14:textId="16657013" w:rsidR="008E19FC" w:rsidRPr="008E19FC" w:rsidRDefault="008E19FC" w:rsidP="005463B7">
            <w:pPr>
              <w:keepNext/>
              <w:keepLines/>
              <w:jc w:val="center"/>
              <w:rPr>
                <w:rFonts w:ascii="Verdana" w:hAnsi="Verdana" w:cs="Arial"/>
                <w:b/>
                <w:bCs/>
                <w:sz w:val="14"/>
                <w:szCs w:val="18"/>
              </w:rPr>
            </w:pPr>
            <w:r w:rsidRPr="008E19FC">
              <w:rPr>
                <w:rFonts w:ascii="Verdana" w:hAnsi="Verdana" w:cs="Arial"/>
                <w:b/>
                <w:bCs/>
                <w:sz w:val="14"/>
                <w:szCs w:val="18"/>
              </w:rPr>
              <w:t>31/12/2019</w:t>
            </w:r>
          </w:p>
        </w:tc>
        <w:tc>
          <w:tcPr>
            <w:tcW w:w="929" w:type="pct"/>
            <w:tcBorders>
              <w:top w:val="nil"/>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hideMark/>
          </w:tcPr>
          <w:p w14:paraId="4DF2C9EE" w14:textId="4C4C11F4" w:rsidR="008E19FC" w:rsidRPr="005463B7" w:rsidRDefault="008E19FC" w:rsidP="005463B7">
            <w:pPr>
              <w:keepNext/>
              <w:keepLines/>
              <w:jc w:val="center"/>
              <w:rPr>
                <w:rFonts w:ascii="Verdana" w:hAnsi="Verdana" w:cs="Arial"/>
                <w:b/>
                <w:bCs/>
                <w:sz w:val="14"/>
                <w:szCs w:val="18"/>
              </w:rPr>
            </w:pPr>
            <w:r w:rsidRPr="008E19FC">
              <w:rPr>
                <w:rFonts w:ascii="Verdana" w:hAnsi="Verdana" w:cs="Arial"/>
                <w:b/>
                <w:bCs/>
                <w:sz w:val="14"/>
                <w:szCs w:val="18"/>
              </w:rPr>
              <w:t>30/06/2020</w:t>
            </w:r>
          </w:p>
        </w:tc>
      </w:tr>
      <w:tr w:rsidR="00341D7B" w:rsidRPr="002F446E" w14:paraId="56F62AEF" w14:textId="77777777" w:rsidTr="005137C6">
        <w:trPr>
          <w:trHeight w:val="170"/>
        </w:trPr>
        <w:tc>
          <w:tcPr>
            <w:tcW w:w="2425" w:type="pct"/>
            <w:tcBorders>
              <w:top w:val="single" w:sz="8" w:space="0" w:color="0070AD" w:themeColor="accent1"/>
              <w:left w:val="nil"/>
              <w:right w:val="nil"/>
            </w:tcBorders>
            <w:shd w:val="clear" w:color="auto" w:fill="auto"/>
            <w:tcMar>
              <w:top w:w="28" w:type="dxa"/>
              <w:left w:w="28" w:type="dxa"/>
              <w:bottom w:w="28" w:type="dxa"/>
              <w:right w:w="28" w:type="dxa"/>
            </w:tcMar>
            <w:vAlign w:val="center"/>
            <w:hideMark/>
          </w:tcPr>
          <w:p w14:paraId="16D6D1D9" w14:textId="77777777" w:rsidR="008E19FC" w:rsidRPr="002F446E" w:rsidRDefault="008E19FC" w:rsidP="008E19FC">
            <w:pPr>
              <w:keepNext/>
              <w:keepLines/>
              <w:ind w:left="215"/>
              <w:rPr>
                <w:rFonts w:ascii="Verdana" w:hAnsi="Verdana" w:cs="Arial"/>
                <w:bCs/>
                <w:sz w:val="14"/>
                <w:szCs w:val="18"/>
              </w:rPr>
            </w:pPr>
            <w:r w:rsidRPr="002F446E">
              <w:rPr>
                <w:rFonts w:ascii="Verdana" w:hAnsi="Verdana" w:cs="Arial"/>
                <w:sz w:val="14"/>
                <w:szCs w:val="14"/>
              </w:rPr>
              <w:t>Trésorerie et équivalents de trésorerie</w:t>
            </w:r>
          </w:p>
        </w:tc>
        <w:tc>
          <w:tcPr>
            <w:tcW w:w="830" w:type="pct"/>
            <w:tcBorders>
              <w:top w:val="single" w:sz="8" w:space="0" w:color="0070AD" w:themeColor="accent1"/>
              <w:left w:val="nil"/>
              <w:right w:val="nil"/>
            </w:tcBorders>
            <w:shd w:val="clear" w:color="auto" w:fill="auto"/>
            <w:tcMar>
              <w:top w:w="28" w:type="dxa"/>
              <w:left w:w="28" w:type="dxa"/>
              <w:bottom w:w="28" w:type="dxa"/>
              <w:right w:w="28" w:type="dxa"/>
            </w:tcMar>
            <w:vAlign w:val="center"/>
            <w:hideMark/>
          </w:tcPr>
          <w:p w14:paraId="4A3D2FF3" w14:textId="3C3DB4A4" w:rsidR="008E19FC" w:rsidRPr="002F446E" w:rsidRDefault="008E19FC" w:rsidP="008E19FC">
            <w:pPr>
              <w:keepNext/>
              <w:keepLines/>
              <w:ind w:right="224"/>
              <w:jc w:val="right"/>
              <w:rPr>
                <w:rFonts w:ascii="Verdana" w:hAnsi="Verdana" w:cs="Arial"/>
                <w:sz w:val="14"/>
                <w:szCs w:val="18"/>
              </w:rPr>
            </w:pPr>
            <w:r w:rsidRPr="002F446E">
              <w:rPr>
                <w:rFonts w:ascii="Verdana" w:hAnsi="Verdana" w:cs="Arial"/>
                <w:bCs/>
                <w:sz w:val="14"/>
                <w:szCs w:val="18"/>
              </w:rPr>
              <w:t>1 669</w:t>
            </w:r>
          </w:p>
        </w:tc>
        <w:tc>
          <w:tcPr>
            <w:tcW w:w="816" w:type="pct"/>
            <w:tcBorders>
              <w:top w:val="single" w:sz="8" w:space="0" w:color="0070AD" w:themeColor="accent1"/>
              <w:left w:val="nil"/>
              <w:right w:val="nil"/>
            </w:tcBorders>
            <w:shd w:val="clear" w:color="auto" w:fill="auto"/>
            <w:vAlign w:val="center"/>
          </w:tcPr>
          <w:p w14:paraId="28654702" w14:textId="0B197B0F" w:rsidR="008E19FC" w:rsidRPr="002F446E" w:rsidRDefault="008E19FC" w:rsidP="008E19FC">
            <w:pPr>
              <w:keepNext/>
              <w:keepLines/>
              <w:ind w:right="224"/>
              <w:jc w:val="right"/>
              <w:rPr>
                <w:rFonts w:ascii="Verdana" w:hAnsi="Verdana" w:cs="Arial"/>
                <w:sz w:val="14"/>
                <w:szCs w:val="18"/>
              </w:rPr>
            </w:pPr>
            <w:r w:rsidRPr="0043593B">
              <w:rPr>
                <w:rFonts w:cs="Arial"/>
                <w:sz w:val="14"/>
                <w:szCs w:val="12"/>
              </w:rPr>
              <w:t>2 461</w:t>
            </w:r>
          </w:p>
        </w:tc>
        <w:tc>
          <w:tcPr>
            <w:tcW w:w="929" w:type="pct"/>
            <w:tcBorders>
              <w:top w:val="single" w:sz="8" w:space="0" w:color="0070AD" w:themeColor="accent1"/>
              <w:left w:val="nil"/>
              <w:right w:val="nil"/>
            </w:tcBorders>
            <w:shd w:val="clear" w:color="auto" w:fill="BBE7FF" w:themeFill="accent1" w:themeFillTint="33"/>
            <w:tcMar>
              <w:top w:w="28" w:type="dxa"/>
              <w:left w:w="28" w:type="dxa"/>
              <w:bottom w:w="28" w:type="dxa"/>
              <w:right w:w="28" w:type="dxa"/>
            </w:tcMar>
            <w:vAlign w:val="center"/>
          </w:tcPr>
          <w:p w14:paraId="5061E760" w14:textId="1D93CC4B" w:rsidR="008E19FC" w:rsidRPr="002F446E" w:rsidRDefault="009D2357" w:rsidP="008E19FC">
            <w:pPr>
              <w:keepNext/>
              <w:keepLines/>
              <w:ind w:right="224"/>
              <w:jc w:val="right"/>
              <w:rPr>
                <w:rFonts w:ascii="Verdana" w:hAnsi="Verdana" w:cs="Arial"/>
                <w:sz w:val="14"/>
                <w:szCs w:val="18"/>
              </w:rPr>
            </w:pPr>
            <w:r>
              <w:rPr>
                <w:rFonts w:ascii="Verdana" w:hAnsi="Verdana" w:cs="Arial"/>
                <w:sz w:val="14"/>
                <w:szCs w:val="18"/>
              </w:rPr>
              <w:t>2 149</w:t>
            </w:r>
          </w:p>
        </w:tc>
      </w:tr>
      <w:tr w:rsidR="00341D7B" w:rsidRPr="002F446E" w14:paraId="42F85A66" w14:textId="77777777" w:rsidTr="005137C6">
        <w:trPr>
          <w:trHeight w:val="170"/>
        </w:trPr>
        <w:tc>
          <w:tcPr>
            <w:tcW w:w="2425" w:type="pct"/>
            <w:tcBorders>
              <w:top w:val="nil"/>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3CDA0398" w14:textId="77777777" w:rsidR="008E19FC" w:rsidRPr="002F446E" w:rsidRDefault="008E19FC" w:rsidP="008E19FC">
            <w:pPr>
              <w:keepNext/>
              <w:keepLines/>
              <w:ind w:left="215"/>
              <w:rPr>
                <w:rFonts w:ascii="Verdana" w:hAnsi="Verdana" w:cs="Arial"/>
                <w:sz w:val="14"/>
                <w:szCs w:val="18"/>
              </w:rPr>
            </w:pPr>
            <w:r w:rsidRPr="002F446E">
              <w:rPr>
                <w:rFonts w:ascii="Verdana" w:hAnsi="Verdana" w:cs="Arial"/>
                <w:bCs/>
                <w:sz w:val="14"/>
                <w:szCs w:val="18"/>
              </w:rPr>
              <w:t>Découverts bancaires</w:t>
            </w:r>
          </w:p>
        </w:tc>
        <w:tc>
          <w:tcPr>
            <w:tcW w:w="830" w:type="pct"/>
            <w:tcBorders>
              <w:top w:val="nil"/>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12C89FDC" w14:textId="2C98A347" w:rsidR="008E19FC" w:rsidRPr="002F446E" w:rsidRDefault="008E19FC" w:rsidP="008E19FC">
            <w:pPr>
              <w:keepNext/>
              <w:keepLines/>
              <w:ind w:right="224"/>
              <w:jc w:val="right"/>
              <w:rPr>
                <w:rFonts w:ascii="Verdana" w:hAnsi="Verdana" w:cs="Arial"/>
                <w:sz w:val="14"/>
                <w:szCs w:val="18"/>
              </w:rPr>
            </w:pPr>
            <w:r w:rsidRPr="002F446E">
              <w:rPr>
                <w:rFonts w:ascii="Verdana" w:hAnsi="Verdana" w:cs="Arial"/>
                <w:sz w:val="14"/>
                <w:szCs w:val="18"/>
              </w:rPr>
              <w:t>(6)</w:t>
            </w:r>
          </w:p>
        </w:tc>
        <w:tc>
          <w:tcPr>
            <w:tcW w:w="816" w:type="pct"/>
            <w:tcBorders>
              <w:top w:val="nil"/>
              <w:left w:val="nil"/>
              <w:right w:val="nil"/>
            </w:tcBorders>
            <w:shd w:val="clear" w:color="auto" w:fill="auto"/>
            <w:vAlign w:val="center"/>
          </w:tcPr>
          <w:p w14:paraId="35A972E5" w14:textId="718EE775" w:rsidR="008E19FC" w:rsidRPr="002F446E" w:rsidRDefault="008E19FC" w:rsidP="008E19FC">
            <w:pPr>
              <w:keepNext/>
              <w:keepLines/>
              <w:ind w:right="224"/>
              <w:jc w:val="right"/>
              <w:rPr>
                <w:rFonts w:ascii="Verdana" w:hAnsi="Verdana" w:cs="Arial"/>
                <w:sz w:val="14"/>
                <w:szCs w:val="18"/>
              </w:rPr>
            </w:pPr>
            <w:r w:rsidRPr="0043593B">
              <w:rPr>
                <w:rFonts w:cs="Arial"/>
                <w:sz w:val="14"/>
                <w:szCs w:val="12"/>
              </w:rPr>
              <w:t>(11)</w:t>
            </w:r>
          </w:p>
        </w:tc>
        <w:tc>
          <w:tcPr>
            <w:tcW w:w="929" w:type="pct"/>
            <w:tcBorders>
              <w:top w:val="nil"/>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tcPr>
          <w:p w14:paraId="40A988F8" w14:textId="16FE5122" w:rsidR="008E19FC" w:rsidRPr="002F446E" w:rsidRDefault="00341D7B" w:rsidP="008E19FC">
            <w:pPr>
              <w:keepNext/>
              <w:keepLines/>
              <w:ind w:right="224"/>
              <w:jc w:val="right"/>
              <w:rPr>
                <w:rFonts w:ascii="Verdana" w:hAnsi="Verdana" w:cs="Arial"/>
                <w:sz w:val="14"/>
                <w:szCs w:val="18"/>
              </w:rPr>
            </w:pPr>
            <w:r>
              <w:rPr>
                <w:rFonts w:ascii="Verdana" w:hAnsi="Verdana" w:cs="Arial"/>
                <w:sz w:val="14"/>
                <w:szCs w:val="18"/>
              </w:rPr>
              <w:t>(33)</w:t>
            </w:r>
          </w:p>
        </w:tc>
      </w:tr>
      <w:tr w:rsidR="00341D7B" w:rsidRPr="002F446E" w14:paraId="2A943D29" w14:textId="77777777" w:rsidTr="005137C6">
        <w:trPr>
          <w:trHeight w:val="170"/>
        </w:trPr>
        <w:tc>
          <w:tcPr>
            <w:tcW w:w="2425"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4CB0DFC2" w14:textId="77777777" w:rsidR="008E19FC" w:rsidRPr="002F446E" w:rsidRDefault="008E19FC" w:rsidP="008E19FC">
            <w:pPr>
              <w:keepNext/>
              <w:keepLines/>
              <w:ind w:left="114"/>
              <w:rPr>
                <w:rFonts w:ascii="Verdana" w:hAnsi="Verdana" w:cs="Arial"/>
                <w:b/>
                <w:bCs/>
                <w:iCs/>
                <w:color w:val="0070AD" w:themeColor="accent1"/>
                <w:sz w:val="14"/>
                <w:szCs w:val="18"/>
              </w:rPr>
            </w:pPr>
            <w:r w:rsidRPr="002F446E">
              <w:rPr>
                <w:rFonts w:ascii="Verdana" w:hAnsi="Verdana" w:cs="Arial"/>
                <w:b/>
                <w:bCs/>
                <w:iCs/>
                <w:color w:val="0070AD" w:themeColor="accent1"/>
                <w:sz w:val="14"/>
                <w:szCs w:val="18"/>
              </w:rPr>
              <w:t xml:space="preserve">Trésorerie </w:t>
            </w:r>
          </w:p>
        </w:tc>
        <w:tc>
          <w:tcPr>
            <w:tcW w:w="830"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3884F41D" w14:textId="3D374162" w:rsidR="008E19FC" w:rsidRPr="002F446E" w:rsidRDefault="008E19FC" w:rsidP="008E19FC">
            <w:pPr>
              <w:keepNext/>
              <w:keepLines/>
              <w:ind w:right="224"/>
              <w:jc w:val="right"/>
              <w:rPr>
                <w:rFonts w:ascii="Verdana" w:hAnsi="Verdana" w:cs="Arial"/>
                <w:b/>
                <w:bCs/>
                <w:color w:val="0070AD" w:themeColor="accent1"/>
                <w:sz w:val="14"/>
                <w:szCs w:val="18"/>
              </w:rPr>
            </w:pPr>
            <w:r w:rsidRPr="002F446E">
              <w:rPr>
                <w:rFonts w:ascii="Verdana" w:hAnsi="Verdana" w:cs="Arial"/>
                <w:b/>
                <w:bCs/>
                <w:color w:val="0070AD" w:themeColor="accent1"/>
                <w:sz w:val="14"/>
                <w:szCs w:val="18"/>
              </w:rPr>
              <w:t>1 663</w:t>
            </w:r>
          </w:p>
        </w:tc>
        <w:tc>
          <w:tcPr>
            <w:tcW w:w="816" w:type="pct"/>
            <w:tcBorders>
              <w:top w:val="single" w:sz="8" w:space="0" w:color="30849B"/>
              <w:left w:val="nil"/>
              <w:bottom w:val="single" w:sz="8" w:space="0" w:color="30849B"/>
              <w:right w:val="nil"/>
            </w:tcBorders>
            <w:shd w:val="clear" w:color="auto" w:fill="auto"/>
            <w:vAlign w:val="center"/>
          </w:tcPr>
          <w:p w14:paraId="5F95BFD2" w14:textId="01362C9B" w:rsidR="008E19FC" w:rsidRPr="002F446E" w:rsidRDefault="008E19FC" w:rsidP="008E19FC">
            <w:pPr>
              <w:keepNext/>
              <w:keepLines/>
              <w:ind w:right="224"/>
              <w:jc w:val="right"/>
              <w:rPr>
                <w:rFonts w:ascii="Verdana" w:hAnsi="Verdana" w:cs="Arial"/>
                <w:b/>
                <w:bCs/>
                <w:color w:val="0070AD" w:themeColor="accent1"/>
                <w:sz w:val="14"/>
                <w:szCs w:val="18"/>
              </w:rPr>
            </w:pPr>
            <w:r w:rsidRPr="0043593B">
              <w:rPr>
                <w:rFonts w:cs="Arial"/>
                <w:b/>
                <w:bCs/>
                <w:iCs/>
                <w:color w:val="0070AD" w:themeColor="accent1"/>
                <w:sz w:val="14"/>
                <w:szCs w:val="12"/>
              </w:rPr>
              <w:t>2 450</w:t>
            </w:r>
          </w:p>
        </w:tc>
        <w:tc>
          <w:tcPr>
            <w:tcW w:w="929" w:type="pct"/>
            <w:tcBorders>
              <w:top w:val="single" w:sz="8" w:space="0" w:color="0070AD" w:themeColor="accent1"/>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tcPr>
          <w:p w14:paraId="0EECB97A" w14:textId="52F3A1DB" w:rsidR="008E19FC" w:rsidRPr="002F446E" w:rsidRDefault="00341D7B" w:rsidP="008E19FC">
            <w:pPr>
              <w:keepNext/>
              <w:keepLines/>
              <w:ind w:right="224"/>
              <w:jc w:val="right"/>
              <w:rPr>
                <w:rFonts w:ascii="Verdana" w:hAnsi="Verdana" w:cs="Arial"/>
                <w:b/>
                <w:bCs/>
                <w:color w:val="0070AD" w:themeColor="accent1"/>
                <w:sz w:val="14"/>
                <w:szCs w:val="18"/>
              </w:rPr>
            </w:pPr>
            <w:r>
              <w:rPr>
                <w:rFonts w:ascii="Verdana" w:hAnsi="Verdana" w:cs="Arial"/>
                <w:b/>
                <w:bCs/>
                <w:color w:val="0070AD" w:themeColor="accent1"/>
                <w:sz w:val="14"/>
                <w:szCs w:val="18"/>
              </w:rPr>
              <w:t>2 116</w:t>
            </w:r>
          </w:p>
        </w:tc>
      </w:tr>
      <w:tr w:rsidR="00341D7B" w:rsidRPr="002F446E" w14:paraId="3CF4116D" w14:textId="77777777" w:rsidTr="005137C6">
        <w:trPr>
          <w:trHeight w:val="170"/>
        </w:trPr>
        <w:tc>
          <w:tcPr>
            <w:tcW w:w="2425"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tcPr>
          <w:p w14:paraId="13FB1E72" w14:textId="77777777" w:rsidR="008E19FC" w:rsidRPr="002F446E" w:rsidRDefault="008E19FC" w:rsidP="008E19FC">
            <w:pPr>
              <w:keepNext/>
              <w:keepLines/>
              <w:ind w:left="114"/>
              <w:rPr>
                <w:rFonts w:ascii="Verdana" w:hAnsi="Verdana" w:cs="Arial"/>
                <w:b/>
                <w:bCs/>
                <w:iCs/>
                <w:color w:val="0070AD" w:themeColor="accent1"/>
                <w:sz w:val="14"/>
                <w:szCs w:val="18"/>
              </w:rPr>
            </w:pPr>
            <w:r w:rsidRPr="002F446E">
              <w:rPr>
                <w:rFonts w:ascii="Verdana" w:hAnsi="Verdana" w:cs="Arial"/>
                <w:b/>
                <w:bCs/>
                <w:iCs/>
                <w:color w:val="0070AD" w:themeColor="accent1"/>
                <w:sz w:val="14"/>
                <w:szCs w:val="18"/>
              </w:rPr>
              <w:t>Actifs de gestion de trésorerie</w:t>
            </w:r>
          </w:p>
        </w:tc>
        <w:tc>
          <w:tcPr>
            <w:tcW w:w="830"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tcPr>
          <w:p w14:paraId="23CBB902" w14:textId="628EE8D8" w:rsidR="008E19FC" w:rsidRPr="002F446E" w:rsidRDefault="008E19FC" w:rsidP="008E19FC">
            <w:pPr>
              <w:keepNext/>
              <w:keepLines/>
              <w:ind w:right="224"/>
              <w:jc w:val="right"/>
              <w:rPr>
                <w:rFonts w:ascii="Verdana" w:hAnsi="Verdana" w:cs="Arial"/>
                <w:b/>
                <w:bCs/>
                <w:color w:val="0070AD" w:themeColor="accent1"/>
                <w:sz w:val="14"/>
                <w:szCs w:val="18"/>
              </w:rPr>
            </w:pPr>
            <w:r w:rsidRPr="002F446E">
              <w:rPr>
                <w:rFonts w:ascii="Verdana" w:hAnsi="Verdana" w:cs="Arial"/>
                <w:b/>
                <w:bCs/>
                <w:color w:val="0070AD" w:themeColor="accent1"/>
                <w:sz w:val="14"/>
                <w:szCs w:val="18"/>
              </w:rPr>
              <w:t>204</w:t>
            </w:r>
          </w:p>
        </w:tc>
        <w:tc>
          <w:tcPr>
            <w:tcW w:w="816" w:type="pct"/>
            <w:tcBorders>
              <w:top w:val="single" w:sz="8" w:space="0" w:color="30849B"/>
              <w:left w:val="nil"/>
              <w:bottom w:val="single" w:sz="8" w:space="0" w:color="30849B"/>
              <w:right w:val="nil"/>
            </w:tcBorders>
            <w:shd w:val="clear" w:color="auto" w:fill="auto"/>
            <w:vAlign w:val="center"/>
          </w:tcPr>
          <w:p w14:paraId="5985410A" w14:textId="141122AF" w:rsidR="008E19FC" w:rsidRPr="002F446E" w:rsidRDefault="008E19FC" w:rsidP="008E19FC">
            <w:pPr>
              <w:keepNext/>
              <w:keepLines/>
              <w:ind w:right="224"/>
              <w:jc w:val="right"/>
              <w:rPr>
                <w:rFonts w:ascii="Verdana" w:hAnsi="Verdana" w:cs="Arial"/>
                <w:b/>
                <w:bCs/>
                <w:color w:val="0070AD" w:themeColor="accent1"/>
                <w:sz w:val="14"/>
                <w:szCs w:val="18"/>
              </w:rPr>
            </w:pPr>
            <w:r w:rsidRPr="0043593B">
              <w:rPr>
                <w:rFonts w:cs="Arial"/>
                <w:b/>
                <w:bCs/>
                <w:iCs/>
                <w:color w:val="0070AD" w:themeColor="accent1"/>
                <w:sz w:val="14"/>
                <w:szCs w:val="12"/>
              </w:rPr>
              <w:t>213</w:t>
            </w:r>
          </w:p>
        </w:tc>
        <w:tc>
          <w:tcPr>
            <w:tcW w:w="929" w:type="pct"/>
            <w:tcBorders>
              <w:top w:val="single" w:sz="8" w:space="0" w:color="0070AD" w:themeColor="accent1"/>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tcPr>
          <w:p w14:paraId="681D0920" w14:textId="029D814B" w:rsidR="008E19FC" w:rsidRPr="002F446E" w:rsidRDefault="009D2357" w:rsidP="008E19FC">
            <w:pPr>
              <w:keepNext/>
              <w:keepLines/>
              <w:ind w:right="224"/>
              <w:jc w:val="right"/>
              <w:rPr>
                <w:rFonts w:ascii="Verdana" w:hAnsi="Verdana" w:cs="Arial"/>
                <w:b/>
                <w:bCs/>
                <w:color w:val="0070AD" w:themeColor="accent1"/>
                <w:sz w:val="14"/>
                <w:szCs w:val="18"/>
              </w:rPr>
            </w:pPr>
            <w:r>
              <w:rPr>
                <w:rFonts w:ascii="Verdana" w:hAnsi="Verdana" w:cs="Arial"/>
                <w:b/>
                <w:bCs/>
                <w:color w:val="0070AD" w:themeColor="accent1"/>
                <w:sz w:val="14"/>
                <w:szCs w:val="18"/>
              </w:rPr>
              <w:t>332</w:t>
            </w:r>
          </w:p>
        </w:tc>
      </w:tr>
      <w:tr w:rsidR="00341D7B" w:rsidRPr="002F446E" w14:paraId="7D3BBA69" w14:textId="77777777" w:rsidTr="005137C6">
        <w:trPr>
          <w:trHeight w:val="170"/>
        </w:trPr>
        <w:tc>
          <w:tcPr>
            <w:tcW w:w="2425" w:type="pct"/>
            <w:tcBorders>
              <w:top w:val="single" w:sz="8" w:space="0" w:color="0070AD" w:themeColor="accent1"/>
              <w:left w:val="nil"/>
              <w:right w:val="nil"/>
            </w:tcBorders>
            <w:shd w:val="clear" w:color="auto" w:fill="auto"/>
            <w:tcMar>
              <w:top w:w="28" w:type="dxa"/>
              <w:left w:w="28" w:type="dxa"/>
              <w:bottom w:w="28" w:type="dxa"/>
              <w:right w:w="28" w:type="dxa"/>
            </w:tcMar>
            <w:vAlign w:val="center"/>
            <w:hideMark/>
          </w:tcPr>
          <w:p w14:paraId="7A4D65A6" w14:textId="77777777" w:rsidR="008E19FC" w:rsidRPr="002F446E" w:rsidRDefault="008E19FC" w:rsidP="008E19FC">
            <w:pPr>
              <w:keepNext/>
              <w:keepLines/>
              <w:ind w:left="215"/>
              <w:rPr>
                <w:rFonts w:ascii="Verdana" w:hAnsi="Verdana" w:cs="Arial"/>
                <w:bCs/>
                <w:sz w:val="14"/>
                <w:szCs w:val="18"/>
              </w:rPr>
            </w:pPr>
            <w:r w:rsidRPr="002F446E">
              <w:rPr>
                <w:rFonts w:ascii="Verdana" w:hAnsi="Verdana" w:cs="Arial"/>
                <w:sz w:val="14"/>
                <w:szCs w:val="14"/>
              </w:rPr>
              <w:t>Dettes financières à long terme</w:t>
            </w:r>
          </w:p>
        </w:tc>
        <w:tc>
          <w:tcPr>
            <w:tcW w:w="830" w:type="pct"/>
            <w:tcBorders>
              <w:top w:val="single" w:sz="8" w:space="0" w:color="0070AD" w:themeColor="accent1"/>
              <w:left w:val="nil"/>
              <w:right w:val="nil"/>
            </w:tcBorders>
            <w:shd w:val="clear" w:color="auto" w:fill="auto"/>
            <w:tcMar>
              <w:top w:w="28" w:type="dxa"/>
              <w:left w:w="28" w:type="dxa"/>
              <w:bottom w:w="28" w:type="dxa"/>
              <w:right w:w="28" w:type="dxa"/>
            </w:tcMar>
            <w:vAlign w:val="center"/>
            <w:hideMark/>
          </w:tcPr>
          <w:p w14:paraId="06419675" w14:textId="3045FADA" w:rsidR="008E19FC" w:rsidRPr="002F446E" w:rsidRDefault="008E19FC" w:rsidP="008E19FC">
            <w:pPr>
              <w:keepNext/>
              <w:keepLines/>
              <w:ind w:right="224"/>
              <w:jc w:val="right"/>
              <w:rPr>
                <w:rFonts w:ascii="Verdana" w:hAnsi="Verdana" w:cs="Arial"/>
                <w:sz w:val="14"/>
                <w:szCs w:val="18"/>
              </w:rPr>
            </w:pPr>
            <w:r w:rsidRPr="002F446E">
              <w:rPr>
                <w:rFonts w:ascii="Verdana" w:hAnsi="Verdana" w:cs="Arial"/>
                <w:bCs/>
                <w:sz w:val="14"/>
                <w:szCs w:val="18"/>
              </w:rPr>
              <w:t>(3 237)</w:t>
            </w:r>
          </w:p>
        </w:tc>
        <w:tc>
          <w:tcPr>
            <w:tcW w:w="816" w:type="pct"/>
            <w:tcBorders>
              <w:top w:val="single" w:sz="8" w:space="0" w:color="30849B"/>
              <w:left w:val="nil"/>
              <w:right w:val="nil"/>
            </w:tcBorders>
            <w:shd w:val="clear" w:color="auto" w:fill="auto"/>
            <w:vAlign w:val="center"/>
          </w:tcPr>
          <w:p w14:paraId="1D35B171" w14:textId="07CA1E7C" w:rsidR="008E19FC" w:rsidRPr="002F446E" w:rsidRDefault="008E19FC" w:rsidP="008E19FC">
            <w:pPr>
              <w:keepNext/>
              <w:keepLines/>
              <w:ind w:right="224"/>
              <w:jc w:val="right"/>
              <w:rPr>
                <w:rFonts w:ascii="Verdana" w:hAnsi="Verdana" w:cs="Arial"/>
                <w:sz w:val="14"/>
                <w:szCs w:val="18"/>
              </w:rPr>
            </w:pPr>
            <w:r w:rsidRPr="0043593B">
              <w:rPr>
                <w:rFonts w:cs="Arial"/>
                <w:sz w:val="14"/>
                <w:szCs w:val="12"/>
              </w:rPr>
              <w:t>(2 564)</w:t>
            </w:r>
          </w:p>
        </w:tc>
        <w:tc>
          <w:tcPr>
            <w:tcW w:w="929" w:type="pct"/>
            <w:tcBorders>
              <w:top w:val="single" w:sz="8" w:space="0" w:color="0070AD" w:themeColor="accent1"/>
              <w:left w:val="nil"/>
              <w:right w:val="nil"/>
            </w:tcBorders>
            <w:shd w:val="clear" w:color="auto" w:fill="BBE7FF" w:themeFill="accent1" w:themeFillTint="33"/>
            <w:tcMar>
              <w:top w:w="28" w:type="dxa"/>
              <w:left w:w="28" w:type="dxa"/>
              <w:bottom w:w="28" w:type="dxa"/>
              <w:right w:w="28" w:type="dxa"/>
            </w:tcMar>
            <w:vAlign w:val="center"/>
          </w:tcPr>
          <w:p w14:paraId="2FE4F29A" w14:textId="3D114896" w:rsidR="008E19FC" w:rsidRPr="00341D7B" w:rsidRDefault="00341D7B" w:rsidP="008E19FC">
            <w:pPr>
              <w:keepNext/>
              <w:keepLines/>
              <w:ind w:right="224"/>
              <w:jc w:val="right"/>
              <w:rPr>
                <w:rFonts w:ascii="Verdana" w:hAnsi="Verdana" w:cs="Arial"/>
                <w:sz w:val="14"/>
                <w:szCs w:val="18"/>
              </w:rPr>
            </w:pPr>
            <w:r w:rsidRPr="00341D7B">
              <w:rPr>
                <w:rFonts w:ascii="Verdana" w:hAnsi="Verdana" w:cs="Arial"/>
                <w:sz w:val="14"/>
                <w:szCs w:val="18"/>
              </w:rPr>
              <w:t>(7 619)</w:t>
            </w:r>
          </w:p>
        </w:tc>
      </w:tr>
      <w:tr w:rsidR="00341D7B" w:rsidRPr="002F446E" w14:paraId="0C20ED10" w14:textId="77777777" w:rsidTr="005137C6">
        <w:trPr>
          <w:trHeight w:val="170"/>
        </w:trPr>
        <w:tc>
          <w:tcPr>
            <w:tcW w:w="2425" w:type="pct"/>
            <w:tcBorders>
              <w:top w:val="nil"/>
              <w:left w:val="nil"/>
              <w:right w:val="nil"/>
            </w:tcBorders>
            <w:shd w:val="clear" w:color="auto" w:fill="auto"/>
            <w:tcMar>
              <w:top w:w="28" w:type="dxa"/>
              <w:left w:w="28" w:type="dxa"/>
              <w:bottom w:w="28" w:type="dxa"/>
              <w:right w:w="28" w:type="dxa"/>
            </w:tcMar>
            <w:vAlign w:val="center"/>
          </w:tcPr>
          <w:p w14:paraId="776B3E62" w14:textId="77777777" w:rsidR="008E19FC" w:rsidRPr="002F446E" w:rsidRDefault="008E19FC" w:rsidP="008E19FC">
            <w:pPr>
              <w:keepNext/>
              <w:keepLines/>
              <w:ind w:left="215"/>
              <w:rPr>
                <w:rFonts w:ascii="Verdana" w:hAnsi="Verdana" w:cs="Arial"/>
                <w:bCs/>
                <w:sz w:val="14"/>
                <w:szCs w:val="18"/>
              </w:rPr>
            </w:pPr>
            <w:r w:rsidRPr="002F446E">
              <w:rPr>
                <w:rFonts w:ascii="Verdana" w:hAnsi="Verdana" w:cs="Arial"/>
                <w:bCs/>
                <w:sz w:val="14"/>
                <w:szCs w:val="18"/>
              </w:rPr>
              <w:t>Dettes financières à court terme et découverts bancaires</w:t>
            </w:r>
          </w:p>
        </w:tc>
        <w:tc>
          <w:tcPr>
            <w:tcW w:w="830" w:type="pct"/>
            <w:tcBorders>
              <w:top w:val="nil"/>
              <w:left w:val="nil"/>
              <w:right w:val="nil"/>
            </w:tcBorders>
            <w:shd w:val="clear" w:color="auto" w:fill="auto"/>
            <w:tcMar>
              <w:top w:w="28" w:type="dxa"/>
              <w:left w:w="28" w:type="dxa"/>
              <w:bottom w:w="28" w:type="dxa"/>
              <w:right w:w="28" w:type="dxa"/>
            </w:tcMar>
            <w:vAlign w:val="center"/>
          </w:tcPr>
          <w:p w14:paraId="684539B3" w14:textId="4E1BBC84" w:rsidR="008E19FC" w:rsidRPr="002F446E" w:rsidRDefault="008E19FC" w:rsidP="008E19FC">
            <w:pPr>
              <w:keepNext/>
              <w:keepLines/>
              <w:ind w:right="224"/>
              <w:jc w:val="right"/>
              <w:rPr>
                <w:rFonts w:ascii="Verdana" w:hAnsi="Verdana" w:cs="Arial"/>
                <w:bCs/>
                <w:sz w:val="14"/>
                <w:szCs w:val="18"/>
              </w:rPr>
            </w:pPr>
            <w:r w:rsidRPr="002F446E">
              <w:rPr>
                <w:rFonts w:ascii="Verdana" w:hAnsi="Verdana" w:cs="Arial"/>
                <w:bCs/>
                <w:sz w:val="14"/>
                <w:szCs w:val="18"/>
              </w:rPr>
              <w:t>(260)</w:t>
            </w:r>
          </w:p>
        </w:tc>
        <w:tc>
          <w:tcPr>
            <w:tcW w:w="816" w:type="pct"/>
            <w:tcBorders>
              <w:top w:val="nil"/>
              <w:left w:val="nil"/>
              <w:right w:val="nil"/>
            </w:tcBorders>
            <w:shd w:val="clear" w:color="auto" w:fill="auto"/>
            <w:vAlign w:val="center"/>
          </w:tcPr>
          <w:p w14:paraId="42C36ADC" w14:textId="52E5D243" w:rsidR="008E19FC" w:rsidRPr="002F446E" w:rsidRDefault="008E19FC" w:rsidP="008E19FC">
            <w:pPr>
              <w:keepNext/>
              <w:keepLines/>
              <w:ind w:right="224"/>
              <w:jc w:val="right"/>
              <w:rPr>
                <w:rFonts w:ascii="Verdana" w:hAnsi="Verdana" w:cs="Arial"/>
                <w:bCs/>
                <w:sz w:val="14"/>
                <w:szCs w:val="18"/>
              </w:rPr>
            </w:pPr>
            <w:r w:rsidRPr="0043593B">
              <w:rPr>
                <w:rFonts w:cs="Arial"/>
                <w:bCs/>
                <w:sz w:val="14"/>
                <w:szCs w:val="12"/>
              </w:rPr>
              <w:t>(717)</w:t>
            </w:r>
          </w:p>
        </w:tc>
        <w:tc>
          <w:tcPr>
            <w:tcW w:w="929" w:type="pct"/>
            <w:tcBorders>
              <w:top w:val="nil"/>
              <w:left w:val="nil"/>
              <w:right w:val="nil"/>
            </w:tcBorders>
            <w:shd w:val="clear" w:color="auto" w:fill="BBE7FF" w:themeFill="accent1" w:themeFillTint="33"/>
            <w:tcMar>
              <w:top w:w="28" w:type="dxa"/>
              <w:left w:w="28" w:type="dxa"/>
              <w:bottom w:w="28" w:type="dxa"/>
              <w:right w:w="28" w:type="dxa"/>
            </w:tcMar>
            <w:vAlign w:val="center"/>
          </w:tcPr>
          <w:p w14:paraId="5DE743CD" w14:textId="15763E9C" w:rsidR="008E19FC" w:rsidRPr="00341D7B" w:rsidRDefault="00341D7B" w:rsidP="008E19FC">
            <w:pPr>
              <w:keepNext/>
              <w:keepLines/>
              <w:ind w:right="224"/>
              <w:jc w:val="right"/>
              <w:rPr>
                <w:rFonts w:ascii="Verdana" w:hAnsi="Verdana" w:cs="Arial"/>
                <w:bCs/>
                <w:sz w:val="14"/>
                <w:szCs w:val="18"/>
              </w:rPr>
            </w:pPr>
            <w:r w:rsidRPr="00341D7B">
              <w:rPr>
                <w:rFonts w:ascii="Verdana" w:hAnsi="Verdana" w:cs="Arial"/>
                <w:bCs/>
                <w:sz w:val="14"/>
                <w:szCs w:val="18"/>
              </w:rPr>
              <w:t>(866)</w:t>
            </w:r>
          </w:p>
        </w:tc>
      </w:tr>
      <w:tr w:rsidR="00341D7B" w:rsidRPr="002F446E" w14:paraId="4B83C577" w14:textId="77777777" w:rsidTr="005137C6">
        <w:trPr>
          <w:trHeight w:val="170"/>
        </w:trPr>
        <w:tc>
          <w:tcPr>
            <w:tcW w:w="2425" w:type="pct"/>
            <w:tcBorders>
              <w:top w:val="nil"/>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66332D44" w14:textId="77777777" w:rsidR="008E19FC" w:rsidRPr="002F446E" w:rsidRDefault="008E19FC" w:rsidP="008E19FC">
            <w:pPr>
              <w:keepNext/>
              <w:keepLines/>
              <w:ind w:left="215"/>
              <w:rPr>
                <w:rFonts w:ascii="Verdana" w:hAnsi="Verdana" w:cs="Arial"/>
                <w:sz w:val="14"/>
                <w:szCs w:val="18"/>
              </w:rPr>
            </w:pPr>
            <w:r w:rsidRPr="002F446E">
              <w:rPr>
                <w:rFonts w:ascii="Verdana" w:hAnsi="Verdana" w:cs="Arial"/>
                <w:bCs/>
                <w:sz w:val="14"/>
                <w:szCs w:val="18"/>
              </w:rPr>
              <w:t>(-) Découverts bancaires</w:t>
            </w:r>
          </w:p>
        </w:tc>
        <w:tc>
          <w:tcPr>
            <w:tcW w:w="830" w:type="pct"/>
            <w:tcBorders>
              <w:top w:val="nil"/>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545C7B38" w14:textId="6155C135" w:rsidR="008E19FC" w:rsidRPr="002F446E" w:rsidRDefault="008E19FC" w:rsidP="008E19FC">
            <w:pPr>
              <w:keepNext/>
              <w:keepLines/>
              <w:ind w:right="224"/>
              <w:jc w:val="right"/>
              <w:rPr>
                <w:rFonts w:ascii="Verdana" w:hAnsi="Verdana" w:cs="Arial"/>
                <w:sz w:val="14"/>
                <w:szCs w:val="18"/>
              </w:rPr>
            </w:pPr>
            <w:r w:rsidRPr="002F446E">
              <w:rPr>
                <w:rFonts w:ascii="Verdana" w:hAnsi="Verdana" w:cs="Arial"/>
                <w:bCs/>
                <w:sz w:val="14"/>
                <w:szCs w:val="18"/>
              </w:rPr>
              <w:t>6</w:t>
            </w:r>
          </w:p>
        </w:tc>
        <w:tc>
          <w:tcPr>
            <w:tcW w:w="816" w:type="pct"/>
            <w:tcBorders>
              <w:top w:val="nil"/>
              <w:left w:val="nil"/>
              <w:right w:val="nil"/>
            </w:tcBorders>
            <w:shd w:val="clear" w:color="auto" w:fill="auto"/>
            <w:vAlign w:val="center"/>
          </w:tcPr>
          <w:p w14:paraId="7AEFF44C" w14:textId="4C394408" w:rsidR="008E19FC" w:rsidRPr="002F446E" w:rsidRDefault="008E19FC" w:rsidP="008E19FC">
            <w:pPr>
              <w:keepNext/>
              <w:keepLines/>
              <w:ind w:right="224"/>
              <w:jc w:val="right"/>
              <w:rPr>
                <w:rFonts w:ascii="Verdana" w:hAnsi="Verdana" w:cs="Arial"/>
                <w:sz w:val="14"/>
                <w:szCs w:val="18"/>
              </w:rPr>
            </w:pPr>
            <w:r w:rsidRPr="0043593B">
              <w:rPr>
                <w:rFonts w:cs="Arial"/>
                <w:sz w:val="14"/>
                <w:szCs w:val="12"/>
              </w:rPr>
              <w:t>11</w:t>
            </w:r>
          </w:p>
        </w:tc>
        <w:tc>
          <w:tcPr>
            <w:tcW w:w="929" w:type="pct"/>
            <w:tcBorders>
              <w:top w:val="nil"/>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tcPr>
          <w:p w14:paraId="627C0975" w14:textId="572B218D" w:rsidR="008E19FC" w:rsidRPr="00341D7B" w:rsidRDefault="00341D7B" w:rsidP="008E19FC">
            <w:pPr>
              <w:keepNext/>
              <w:keepLines/>
              <w:ind w:right="224"/>
              <w:jc w:val="right"/>
              <w:rPr>
                <w:rFonts w:ascii="Verdana" w:hAnsi="Verdana" w:cs="Arial"/>
                <w:sz w:val="14"/>
                <w:szCs w:val="18"/>
              </w:rPr>
            </w:pPr>
            <w:r w:rsidRPr="00341D7B">
              <w:rPr>
                <w:rFonts w:ascii="Verdana" w:hAnsi="Verdana" w:cs="Arial"/>
                <w:sz w:val="14"/>
                <w:szCs w:val="18"/>
              </w:rPr>
              <w:t>33</w:t>
            </w:r>
          </w:p>
        </w:tc>
      </w:tr>
      <w:tr w:rsidR="00341D7B" w:rsidRPr="00341D7B" w14:paraId="3B8791DD" w14:textId="77777777" w:rsidTr="005137C6">
        <w:trPr>
          <w:trHeight w:val="170"/>
        </w:trPr>
        <w:tc>
          <w:tcPr>
            <w:tcW w:w="2425"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193B38A7" w14:textId="77777777" w:rsidR="008E19FC" w:rsidRPr="002F446E" w:rsidRDefault="008E19FC" w:rsidP="008E19FC">
            <w:pPr>
              <w:keepNext/>
              <w:keepLines/>
              <w:ind w:left="114"/>
              <w:rPr>
                <w:rFonts w:ascii="Verdana" w:hAnsi="Verdana" w:cs="Arial"/>
                <w:color w:val="0070AD" w:themeColor="accent1"/>
                <w:sz w:val="14"/>
                <w:szCs w:val="18"/>
              </w:rPr>
            </w:pPr>
            <w:r w:rsidRPr="002F446E">
              <w:rPr>
                <w:rFonts w:ascii="Verdana" w:hAnsi="Verdana" w:cs="Arial"/>
                <w:b/>
                <w:bCs/>
                <w:iCs/>
                <w:color w:val="0070AD" w:themeColor="accent1"/>
                <w:sz w:val="14"/>
                <w:szCs w:val="18"/>
              </w:rPr>
              <w:t>Dettes financières, hors découverts bancaires</w:t>
            </w:r>
          </w:p>
        </w:tc>
        <w:tc>
          <w:tcPr>
            <w:tcW w:w="830"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0FF93104" w14:textId="44B3D9D2" w:rsidR="008E19FC" w:rsidRPr="002F446E" w:rsidRDefault="008E19FC" w:rsidP="008E19FC">
            <w:pPr>
              <w:keepNext/>
              <w:keepLines/>
              <w:ind w:right="224"/>
              <w:jc w:val="right"/>
              <w:rPr>
                <w:rFonts w:ascii="Verdana" w:hAnsi="Verdana" w:cs="Arial"/>
                <w:color w:val="0070AD" w:themeColor="accent1"/>
                <w:sz w:val="14"/>
                <w:szCs w:val="18"/>
                <w:lang w:val="en-US"/>
              </w:rPr>
            </w:pPr>
            <w:r w:rsidRPr="002F446E">
              <w:rPr>
                <w:rFonts w:ascii="Verdana" w:hAnsi="Verdana" w:cs="Arial"/>
                <w:b/>
                <w:bCs/>
                <w:color w:val="0070AD" w:themeColor="accent1"/>
                <w:sz w:val="14"/>
                <w:szCs w:val="18"/>
              </w:rPr>
              <w:t>(3 491)</w:t>
            </w:r>
          </w:p>
        </w:tc>
        <w:tc>
          <w:tcPr>
            <w:tcW w:w="816" w:type="pct"/>
            <w:tcBorders>
              <w:top w:val="single" w:sz="8" w:space="0" w:color="30849B"/>
              <w:left w:val="nil"/>
              <w:bottom w:val="single" w:sz="8" w:space="0" w:color="30849B"/>
              <w:right w:val="nil"/>
            </w:tcBorders>
            <w:shd w:val="clear" w:color="auto" w:fill="auto"/>
            <w:vAlign w:val="center"/>
          </w:tcPr>
          <w:p w14:paraId="65DA31D4" w14:textId="63EDD1C3" w:rsidR="008E19FC" w:rsidRPr="002F446E" w:rsidRDefault="008E19FC" w:rsidP="008E19FC">
            <w:pPr>
              <w:keepNext/>
              <w:keepLines/>
              <w:ind w:right="224"/>
              <w:jc w:val="right"/>
              <w:rPr>
                <w:rFonts w:ascii="Verdana" w:hAnsi="Verdana" w:cs="Arial"/>
                <w:color w:val="0070AD" w:themeColor="accent1"/>
                <w:sz w:val="14"/>
                <w:szCs w:val="18"/>
                <w:lang w:val="en-US"/>
              </w:rPr>
            </w:pPr>
            <w:r w:rsidRPr="0043593B">
              <w:rPr>
                <w:rFonts w:cs="Arial"/>
                <w:b/>
                <w:bCs/>
                <w:iCs/>
                <w:color w:val="0070AD" w:themeColor="accent1"/>
                <w:sz w:val="14"/>
                <w:szCs w:val="12"/>
              </w:rPr>
              <w:t>(3 270)</w:t>
            </w:r>
          </w:p>
        </w:tc>
        <w:tc>
          <w:tcPr>
            <w:tcW w:w="929" w:type="pct"/>
            <w:tcBorders>
              <w:top w:val="single" w:sz="8" w:space="0" w:color="0070AD" w:themeColor="accent1"/>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tcPr>
          <w:p w14:paraId="7EB687E0" w14:textId="0BE1A6DA" w:rsidR="008E19FC" w:rsidRPr="00341D7B" w:rsidRDefault="00341D7B" w:rsidP="008E19FC">
            <w:pPr>
              <w:keepNext/>
              <w:keepLines/>
              <w:ind w:right="224"/>
              <w:jc w:val="right"/>
              <w:rPr>
                <w:rFonts w:ascii="Verdana" w:hAnsi="Verdana" w:cs="Arial"/>
                <w:b/>
                <w:bCs/>
                <w:color w:val="0070AD" w:themeColor="accent1"/>
                <w:sz w:val="14"/>
                <w:szCs w:val="18"/>
              </w:rPr>
            </w:pPr>
            <w:r w:rsidRPr="00341D7B">
              <w:rPr>
                <w:rFonts w:ascii="Verdana" w:hAnsi="Verdana" w:cs="Arial"/>
                <w:b/>
                <w:bCs/>
                <w:color w:val="0070AD" w:themeColor="accent1"/>
                <w:sz w:val="14"/>
                <w:szCs w:val="18"/>
              </w:rPr>
              <w:t>(8 452)</w:t>
            </w:r>
          </w:p>
        </w:tc>
      </w:tr>
      <w:tr w:rsidR="00341D7B" w:rsidRPr="00341D7B" w14:paraId="205D3A67" w14:textId="77777777" w:rsidTr="005137C6">
        <w:trPr>
          <w:trHeight w:val="170"/>
        </w:trPr>
        <w:tc>
          <w:tcPr>
            <w:tcW w:w="2425"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5AF39DEE" w14:textId="77777777" w:rsidR="008E19FC" w:rsidRPr="002F446E" w:rsidRDefault="008E19FC" w:rsidP="008E19FC">
            <w:pPr>
              <w:keepNext/>
              <w:keepLines/>
              <w:ind w:left="114"/>
              <w:rPr>
                <w:rFonts w:ascii="Verdana" w:hAnsi="Verdana" w:cs="Arial"/>
                <w:color w:val="0070AD" w:themeColor="accent1"/>
                <w:sz w:val="14"/>
                <w:szCs w:val="18"/>
              </w:rPr>
            </w:pPr>
            <w:r w:rsidRPr="002F446E">
              <w:rPr>
                <w:rFonts w:ascii="Verdana" w:hAnsi="Verdana" w:cs="Arial"/>
                <w:b/>
                <w:bCs/>
                <w:iCs/>
                <w:color w:val="0070AD" w:themeColor="accent1"/>
                <w:sz w:val="14"/>
                <w:szCs w:val="18"/>
              </w:rPr>
              <w:t>Instruments dérivés</w:t>
            </w:r>
          </w:p>
        </w:tc>
        <w:tc>
          <w:tcPr>
            <w:tcW w:w="830"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4EFE9AB6" w14:textId="2B550A99" w:rsidR="008E19FC" w:rsidRPr="002F446E" w:rsidRDefault="008E19FC" w:rsidP="008E19FC">
            <w:pPr>
              <w:keepNext/>
              <w:keepLines/>
              <w:ind w:right="224"/>
              <w:jc w:val="right"/>
              <w:rPr>
                <w:rFonts w:ascii="Verdana" w:hAnsi="Verdana" w:cs="Arial"/>
                <w:color w:val="0070AD" w:themeColor="accent1"/>
                <w:sz w:val="14"/>
                <w:szCs w:val="18"/>
                <w:lang w:val="en-US"/>
              </w:rPr>
            </w:pPr>
            <w:r w:rsidRPr="002F446E">
              <w:rPr>
                <w:rFonts w:ascii="Verdana" w:hAnsi="Verdana" w:cs="Arial"/>
                <w:b/>
                <w:bCs/>
                <w:color w:val="0070AD" w:themeColor="accent1"/>
                <w:sz w:val="14"/>
                <w:szCs w:val="18"/>
              </w:rPr>
              <w:t>3</w:t>
            </w:r>
          </w:p>
        </w:tc>
        <w:tc>
          <w:tcPr>
            <w:tcW w:w="816" w:type="pct"/>
            <w:tcBorders>
              <w:top w:val="single" w:sz="8" w:space="0" w:color="30849B"/>
              <w:left w:val="nil"/>
              <w:bottom w:val="single" w:sz="8" w:space="0" w:color="30849B"/>
              <w:right w:val="nil"/>
            </w:tcBorders>
            <w:shd w:val="clear" w:color="auto" w:fill="auto"/>
            <w:vAlign w:val="center"/>
          </w:tcPr>
          <w:p w14:paraId="18821D7F" w14:textId="30160867" w:rsidR="008E19FC" w:rsidRPr="002F446E" w:rsidRDefault="008E19FC" w:rsidP="008E19FC">
            <w:pPr>
              <w:keepNext/>
              <w:keepLines/>
              <w:ind w:right="224"/>
              <w:jc w:val="right"/>
              <w:rPr>
                <w:rFonts w:ascii="Verdana" w:hAnsi="Verdana" w:cs="Arial"/>
                <w:color w:val="0070AD" w:themeColor="accent1"/>
                <w:sz w:val="14"/>
                <w:szCs w:val="18"/>
                <w:lang w:val="en-US"/>
              </w:rPr>
            </w:pPr>
            <w:r w:rsidRPr="0043593B">
              <w:rPr>
                <w:rFonts w:cs="Arial"/>
                <w:b/>
                <w:bCs/>
                <w:iCs/>
                <w:color w:val="0070AD" w:themeColor="accent1"/>
                <w:sz w:val="14"/>
                <w:szCs w:val="12"/>
              </w:rPr>
              <w:t>7</w:t>
            </w:r>
          </w:p>
        </w:tc>
        <w:tc>
          <w:tcPr>
            <w:tcW w:w="929" w:type="pct"/>
            <w:tcBorders>
              <w:top w:val="single" w:sz="8" w:space="0" w:color="0070AD" w:themeColor="accent1"/>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tcPr>
          <w:p w14:paraId="52B261C2" w14:textId="55AB35E9" w:rsidR="008E19FC" w:rsidRPr="00341D7B" w:rsidRDefault="00341D7B" w:rsidP="008E19FC">
            <w:pPr>
              <w:keepNext/>
              <w:keepLines/>
              <w:ind w:right="224"/>
              <w:jc w:val="right"/>
              <w:rPr>
                <w:rFonts w:ascii="Verdana" w:hAnsi="Verdana" w:cs="Arial"/>
                <w:b/>
                <w:bCs/>
                <w:color w:val="0070AD" w:themeColor="accent1"/>
                <w:sz w:val="14"/>
                <w:szCs w:val="18"/>
              </w:rPr>
            </w:pPr>
            <w:r w:rsidRPr="00341D7B">
              <w:rPr>
                <w:rFonts w:ascii="Verdana" w:hAnsi="Verdana" w:cs="Arial"/>
                <w:b/>
                <w:bCs/>
                <w:color w:val="0070AD" w:themeColor="accent1"/>
                <w:sz w:val="14"/>
                <w:szCs w:val="18"/>
              </w:rPr>
              <w:t>(4)</w:t>
            </w:r>
          </w:p>
        </w:tc>
      </w:tr>
      <w:tr w:rsidR="00341D7B" w:rsidRPr="00341D7B" w14:paraId="5F1447A9" w14:textId="77777777" w:rsidTr="005137C6">
        <w:trPr>
          <w:trHeight w:val="170"/>
        </w:trPr>
        <w:tc>
          <w:tcPr>
            <w:tcW w:w="2425"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33963C9D" w14:textId="257467B6" w:rsidR="008E19FC" w:rsidRPr="002F446E" w:rsidRDefault="008E19FC" w:rsidP="008E19FC">
            <w:pPr>
              <w:keepNext/>
              <w:keepLines/>
              <w:ind w:left="114"/>
              <w:rPr>
                <w:rFonts w:ascii="Verdana" w:hAnsi="Verdana" w:cs="Arial"/>
                <w:caps/>
                <w:color w:val="0070AD" w:themeColor="accent1"/>
                <w:sz w:val="14"/>
                <w:szCs w:val="18"/>
              </w:rPr>
            </w:pPr>
            <w:r w:rsidRPr="002F446E">
              <w:rPr>
                <w:rFonts w:ascii="Verdana" w:hAnsi="Verdana" w:cs="Arial"/>
                <w:b/>
                <w:bCs/>
                <w:iCs/>
                <w:caps/>
                <w:color w:val="0070AD" w:themeColor="accent1"/>
                <w:sz w:val="14"/>
                <w:szCs w:val="18"/>
              </w:rPr>
              <w:t>TrÉsorerie nette / (endettement net)</w:t>
            </w:r>
          </w:p>
        </w:tc>
        <w:tc>
          <w:tcPr>
            <w:tcW w:w="830"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25A0198B" w14:textId="06271B73" w:rsidR="008E19FC" w:rsidRPr="002F446E" w:rsidRDefault="008E19FC" w:rsidP="008E19FC">
            <w:pPr>
              <w:keepNext/>
              <w:keepLines/>
              <w:ind w:right="224"/>
              <w:jc w:val="right"/>
              <w:rPr>
                <w:rFonts w:ascii="Verdana" w:hAnsi="Verdana" w:cs="Arial"/>
                <w:color w:val="0070AD" w:themeColor="accent1"/>
                <w:sz w:val="14"/>
                <w:szCs w:val="18"/>
                <w:lang w:val="en-US"/>
              </w:rPr>
            </w:pPr>
            <w:r w:rsidRPr="002F446E">
              <w:rPr>
                <w:rFonts w:ascii="Verdana" w:hAnsi="Verdana" w:cs="Arial"/>
                <w:b/>
                <w:bCs/>
                <w:color w:val="0070AD" w:themeColor="accent1"/>
                <w:sz w:val="14"/>
                <w:szCs w:val="18"/>
              </w:rPr>
              <w:t>(1 621)</w:t>
            </w:r>
          </w:p>
        </w:tc>
        <w:tc>
          <w:tcPr>
            <w:tcW w:w="816" w:type="pct"/>
            <w:tcBorders>
              <w:top w:val="single" w:sz="8" w:space="0" w:color="30849B"/>
              <w:left w:val="nil"/>
              <w:bottom w:val="single" w:sz="8" w:space="0" w:color="30849B"/>
              <w:right w:val="nil"/>
            </w:tcBorders>
            <w:shd w:val="clear" w:color="auto" w:fill="auto"/>
            <w:vAlign w:val="center"/>
          </w:tcPr>
          <w:p w14:paraId="0A00C06B" w14:textId="210EE931" w:rsidR="008E19FC" w:rsidRPr="002F446E" w:rsidRDefault="008E19FC" w:rsidP="008E19FC">
            <w:pPr>
              <w:keepNext/>
              <w:keepLines/>
              <w:ind w:right="224"/>
              <w:jc w:val="right"/>
              <w:rPr>
                <w:rFonts w:ascii="Verdana" w:hAnsi="Verdana" w:cs="Arial"/>
                <w:color w:val="0070AD" w:themeColor="accent1"/>
                <w:sz w:val="14"/>
                <w:szCs w:val="18"/>
                <w:lang w:val="en-US"/>
              </w:rPr>
            </w:pPr>
            <w:r w:rsidRPr="0043593B">
              <w:rPr>
                <w:rFonts w:cs="Arial"/>
                <w:b/>
                <w:bCs/>
                <w:iCs/>
                <w:color w:val="0070AD" w:themeColor="accent1"/>
                <w:sz w:val="14"/>
                <w:szCs w:val="12"/>
              </w:rPr>
              <w:t>(600)</w:t>
            </w:r>
          </w:p>
        </w:tc>
        <w:tc>
          <w:tcPr>
            <w:tcW w:w="929" w:type="pct"/>
            <w:tcBorders>
              <w:top w:val="single" w:sz="8" w:space="0" w:color="0070AD" w:themeColor="accent1"/>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tcPr>
          <w:p w14:paraId="59E270F5" w14:textId="65D53C61" w:rsidR="008E19FC" w:rsidRPr="00341D7B" w:rsidRDefault="00341D7B" w:rsidP="008E19FC">
            <w:pPr>
              <w:keepNext/>
              <w:keepLines/>
              <w:ind w:right="224"/>
              <w:jc w:val="right"/>
              <w:rPr>
                <w:rFonts w:ascii="Verdana" w:hAnsi="Verdana" w:cs="Arial"/>
                <w:b/>
                <w:bCs/>
                <w:color w:val="0070AD" w:themeColor="accent1"/>
                <w:sz w:val="14"/>
                <w:szCs w:val="18"/>
              </w:rPr>
            </w:pPr>
            <w:r w:rsidRPr="00341D7B">
              <w:rPr>
                <w:rFonts w:ascii="Verdana" w:hAnsi="Verdana" w:cs="Arial"/>
                <w:b/>
                <w:bCs/>
                <w:color w:val="0070AD" w:themeColor="accent1"/>
                <w:sz w:val="14"/>
                <w:szCs w:val="18"/>
              </w:rPr>
              <w:t>(6 008)</w:t>
            </w:r>
          </w:p>
        </w:tc>
      </w:tr>
    </w:tbl>
    <w:p w14:paraId="1626A2BB" w14:textId="78A6F9D6" w:rsidR="00170B33" w:rsidRPr="00C93B0E" w:rsidRDefault="00170B33" w:rsidP="009731DE">
      <w:pPr>
        <w:pStyle w:val="FootnoteText"/>
      </w:pPr>
    </w:p>
    <w:sectPr w:rsidR="00170B33" w:rsidRPr="00C93B0E" w:rsidSect="00AD65BE">
      <w:headerReference w:type="default" r:id="rId14"/>
      <w:footerReference w:type="default" r:id="rId15"/>
      <w:headerReference w:type="first" r:id="rId16"/>
      <w:footerReference w:type="first" r:id="rId17"/>
      <w:type w:val="continuous"/>
      <w:pgSz w:w="11906" w:h="16838" w:code="9"/>
      <w:pgMar w:top="1049" w:right="862" w:bottom="862" w:left="862" w:header="567" w:footer="52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61FC4" w14:textId="77777777" w:rsidR="00907D36" w:rsidRDefault="00907D36">
      <w:r>
        <w:separator/>
      </w:r>
    </w:p>
    <w:p w14:paraId="0ACD6DCF" w14:textId="77777777" w:rsidR="00907D36" w:rsidRDefault="00907D36"/>
    <w:p w14:paraId="05FA5C3E" w14:textId="77777777" w:rsidR="00907D36" w:rsidRDefault="00907D36" w:rsidP="00C91770"/>
  </w:endnote>
  <w:endnote w:type="continuationSeparator" w:id="0">
    <w:p w14:paraId="6386B94A" w14:textId="77777777" w:rsidR="00907D36" w:rsidRDefault="00907D36">
      <w:r>
        <w:continuationSeparator/>
      </w:r>
    </w:p>
    <w:p w14:paraId="427F28B8" w14:textId="77777777" w:rsidR="00907D36" w:rsidRDefault="00907D36"/>
    <w:p w14:paraId="2349F6B5" w14:textId="77777777" w:rsidR="00907D36" w:rsidRDefault="00907D36" w:rsidP="00C91770"/>
  </w:endnote>
  <w:endnote w:type="continuationNotice" w:id="1">
    <w:p w14:paraId="3F890853" w14:textId="77777777" w:rsidR="00907D36" w:rsidRDefault="00907D36"/>
    <w:p w14:paraId="0711307F" w14:textId="77777777" w:rsidR="00907D36" w:rsidRDefault="00907D36"/>
    <w:p w14:paraId="397E3188" w14:textId="77777777" w:rsidR="00907D36" w:rsidRDefault="00907D36" w:rsidP="00C91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3F56B" w14:textId="77777777" w:rsidR="00BA294E" w:rsidRPr="0009520E" w:rsidRDefault="00BA294E" w:rsidP="00D244D0">
    <w:pPr>
      <w:pStyle w:val="Footer"/>
      <w:framePr w:wrap="around" w:vAnchor="text" w:hAnchor="margin" w:xAlign="right" w:y="1" w:anchorLock="1"/>
      <w:rPr>
        <w:rStyle w:val="PageNumber"/>
        <w:rFonts w:ascii="Verdana" w:hAnsi="Verdana" w:cs="Arial"/>
        <w:sz w:val="14"/>
        <w:szCs w:val="16"/>
      </w:rPr>
    </w:pPr>
    <w:r w:rsidRPr="0009520E">
      <w:rPr>
        <w:rStyle w:val="PageNumber"/>
        <w:rFonts w:ascii="Verdana" w:hAnsi="Verdana"/>
      </w:rPr>
      <w:fldChar w:fldCharType="begin"/>
    </w:r>
    <w:r w:rsidRPr="0009520E">
      <w:rPr>
        <w:rStyle w:val="PageNumber"/>
        <w:rFonts w:ascii="Verdana" w:hAnsi="Verdana"/>
      </w:rPr>
      <w:instrText xml:space="preserve">PAGE  </w:instrText>
    </w:r>
    <w:r w:rsidRPr="0009520E">
      <w:rPr>
        <w:rStyle w:val="PageNumber"/>
        <w:rFonts w:ascii="Verdana" w:hAnsi="Verdana"/>
      </w:rPr>
      <w:fldChar w:fldCharType="separate"/>
    </w:r>
    <w:r>
      <w:rPr>
        <w:rStyle w:val="PageNumber"/>
        <w:rFonts w:ascii="Verdana" w:hAnsi="Verdana"/>
      </w:rPr>
      <w:t>1</w:t>
    </w:r>
    <w:r w:rsidRPr="0009520E">
      <w:rPr>
        <w:rStyle w:val="PageNumber"/>
        <w:rFonts w:ascii="Verdana" w:hAnsi="Verdana"/>
      </w:rPr>
      <w:fldChar w:fldCharType="end"/>
    </w:r>
  </w:p>
  <w:p w14:paraId="6065A43D" w14:textId="4C7F2E0D" w:rsidR="00BA294E" w:rsidRDefault="00982245">
    <w:pPr>
      <w:pStyle w:val="Footer"/>
    </w:pPr>
    <w:r w:rsidRPr="00E6675F">
      <w:rPr>
        <w:noProof/>
        <w:color w:val="00264A"/>
        <w:sz w:val="10"/>
      </w:rPr>
      <mc:AlternateContent>
        <mc:Choice Requires="wps">
          <w:drawing>
            <wp:anchor distT="0" distB="0" distL="114300" distR="114300" simplePos="0" relativeHeight="251658242" behindDoc="0" locked="0" layoutInCell="1" allowOverlap="1" wp14:anchorId="46167A8B" wp14:editId="67680DD2">
              <wp:simplePos x="0" y="0"/>
              <wp:positionH relativeFrom="column">
                <wp:posOffset>-125095</wp:posOffset>
              </wp:positionH>
              <wp:positionV relativeFrom="page">
                <wp:posOffset>10253980</wp:posOffset>
              </wp:positionV>
              <wp:extent cx="2296800" cy="255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6800" cy="2556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783070" w14:textId="104CAA2B" w:rsidR="00BA294E" w:rsidRPr="00010417" w:rsidRDefault="00BA294E" w:rsidP="00D244D0">
                          <w:pPr>
                            <w:rPr>
                              <w:szCs w:val="18"/>
                            </w:rPr>
                          </w:pPr>
                          <w:r w:rsidRPr="00010417">
                            <w:rPr>
                              <w:i/>
                              <w:sz w:val="16"/>
                              <w:szCs w:val="16"/>
                            </w:rPr>
                            <w:t xml:space="preserve">Communiqué de </w:t>
                          </w:r>
                          <w:r>
                            <w:rPr>
                              <w:i/>
                              <w:sz w:val="16"/>
                              <w:szCs w:val="16"/>
                            </w:rPr>
                            <w:t>p</w:t>
                          </w:r>
                          <w:r w:rsidRPr="00010417">
                            <w:rPr>
                              <w:i/>
                              <w:sz w:val="16"/>
                              <w:szCs w:val="16"/>
                            </w:rPr>
                            <w:t xml:space="preserve">resse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46167A8B" id="_x0000_t202" coordsize="21600,21600" o:spt="202" path="m,l,21600r21600,l21600,xe">
              <v:stroke joinstyle="miter"/>
              <v:path gradientshapeok="t" o:connecttype="rect"/>
            </v:shapetype>
            <v:shape id="Text Box 3" o:spid="_x0000_s1026" type="#_x0000_t202" style="position:absolute;left:0;text-align:left;margin-left:-9.85pt;margin-top:807.4pt;width:180.85pt;height:20.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" filled="f" stroked="f">
              <v:textbox>
                <w:txbxContent>
                  <w:p w14:paraId="4F783070" w14:textId="104CAA2B" w:rsidR="00BA294E" w:rsidRPr="00010417" w:rsidRDefault="00BA294E" w:rsidP="00D244D0">
                    <w:pPr>
                      <w:rPr>
                        <w:szCs w:val="18"/>
                      </w:rPr>
                    </w:pPr>
                    <w:r w:rsidRPr="00010417">
                      <w:rPr>
                        <w:i/>
                        <w:sz w:val="16"/>
                        <w:szCs w:val="16"/>
                      </w:rPr>
                      <w:t xml:space="preserve">Communiqué de </w:t>
                    </w:r>
                    <w:r>
                      <w:rPr>
                        <w:i/>
                        <w:sz w:val="16"/>
                        <w:szCs w:val="16"/>
                      </w:rPr>
                      <w:t>p</w:t>
                    </w:r>
                    <w:r w:rsidRPr="00010417">
                      <w:rPr>
                        <w:i/>
                        <w:sz w:val="16"/>
                        <w:szCs w:val="16"/>
                      </w:rPr>
                      <w:t xml:space="preserve">resse </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CE531" w14:textId="77777777" w:rsidR="00BA294E" w:rsidRPr="0009520E" w:rsidRDefault="00BA294E" w:rsidP="00D244D0">
    <w:pPr>
      <w:pStyle w:val="Footer"/>
      <w:framePr w:wrap="around" w:vAnchor="text" w:hAnchor="margin" w:xAlign="right" w:y="1" w:anchorLock="1"/>
      <w:rPr>
        <w:rStyle w:val="PageNumber"/>
        <w:rFonts w:ascii="Verdana" w:hAnsi="Verdana" w:cs="Arial"/>
        <w:sz w:val="14"/>
        <w:szCs w:val="16"/>
      </w:rPr>
    </w:pPr>
    <w:r w:rsidRPr="0009520E">
      <w:rPr>
        <w:rStyle w:val="PageNumber"/>
        <w:rFonts w:ascii="Verdana" w:hAnsi="Verdana"/>
      </w:rPr>
      <w:fldChar w:fldCharType="begin"/>
    </w:r>
    <w:r w:rsidRPr="0009520E">
      <w:rPr>
        <w:rStyle w:val="PageNumber"/>
        <w:rFonts w:ascii="Verdana" w:hAnsi="Verdana"/>
      </w:rPr>
      <w:instrText xml:space="preserve">PAGE  </w:instrText>
    </w:r>
    <w:r w:rsidRPr="0009520E">
      <w:rPr>
        <w:rStyle w:val="PageNumber"/>
        <w:rFonts w:ascii="Verdana" w:hAnsi="Verdana"/>
      </w:rPr>
      <w:fldChar w:fldCharType="separate"/>
    </w:r>
    <w:r>
      <w:rPr>
        <w:rStyle w:val="PageNumber"/>
        <w:rFonts w:ascii="Verdana" w:hAnsi="Verdana"/>
      </w:rPr>
      <w:t>2</w:t>
    </w:r>
    <w:r w:rsidRPr="0009520E">
      <w:rPr>
        <w:rStyle w:val="PageNumber"/>
        <w:rFonts w:ascii="Verdana" w:hAnsi="Verdana"/>
      </w:rPr>
      <w:fldChar w:fldCharType="end"/>
    </w:r>
  </w:p>
  <w:p w14:paraId="4C29D577" w14:textId="0C8DE7F7" w:rsidR="00BA294E" w:rsidRDefault="00982245">
    <w:pPr>
      <w:pStyle w:val="Footer"/>
    </w:pPr>
    <w:r w:rsidRPr="00E6675F">
      <w:rPr>
        <w:noProof/>
        <w:color w:val="00264A"/>
        <w:sz w:val="10"/>
      </w:rPr>
      <mc:AlternateContent>
        <mc:Choice Requires="wps">
          <w:drawing>
            <wp:anchor distT="0" distB="0" distL="114300" distR="114300" simplePos="0" relativeHeight="251658241" behindDoc="0" locked="0" layoutInCell="1" allowOverlap="1" wp14:anchorId="76E397F9" wp14:editId="144A2299">
              <wp:simplePos x="0" y="0"/>
              <wp:positionH relativeFrom="column">
                <wp:posOffset>-125095</wp:posOffset>
              </wp:positionH>
              <wp:positionV relativeFrom="page">
                <wp:posOffset>10253980</wp:posOffset>
              </wp:positionV>
              <wp:extent cx="2296800" cy="255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296800" cy="2556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1086AB" w14:textId="074A1853" w:rsidR="00BA294E" w:rsidRPr="00010417" w:rsidRDefault="00BA294E" w:rsidP="00D244D0">
                          <w:pPr>
                            <w:rPr>
                              <w:szCs w:val="18"/>
                            </w:rPr>
                          </w:pPr>
                          <w:r w:rsidRPr="00010417">
                            <w:rPr>
                              <w:i/>
                              <w:sz w:val="16"/>
                              <w:szCs w:val="16"/>
                            </w:rPr>
                            <w:t xml:space="preserve">Communiqué de </w:t>
                          </w:r>
                          <w:r>
                            <w:rPr>
                              <w:i/>
                              <w:sz w:val="16"/>
                              <w:szCs w:val="16"/>
                            </w:rPr>
                            <w:t>p</w:t>
                          </w:r>
                          <w:r w:rsidRPr="00010417">
                            <w:rPr>
                              <w:i/>
                              <w:sz w:val="16"/>
                              <w:szCs w:val="16"/>
                            </w:rPr>
                            <w:t xml:space="preserve">resse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76E397F9" id="_x0000_t202" coordsize="21600,21600" o:spt="202" path="m,l,21600r21600,l21600,xe">
              <v:stroke joinstyle="miter"/>
              <v:path gradientshapeok="t" o:connecttype="rect"/>
            </v:shapetype>
            <v:shape id="Text Box 18" o:spid="_x0000_s1027" type="#_x0000_t202" style="position:absolute;left:0;text-align:left;margin-left:-9.85pt;margin-top:807.4pt;width:180.85pt;height:2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" filled="f" stroked="f">
              <v:textbox>
                <w:txbxContent>
                  <w:p w14:paraId="221086AB" w14:textId="074A1853" w:rsidR="00BA294E" w:rsidRPr="00010417" w:rsidRDefault="00BA294E" w:rsidP="00D244D0">
                    <w:pPr>
                      <w:rPr>
                        <w:szCs w:val="18"/>
                      </w:rPr>
                    </w:pPr>
                    <w:r w:rsidRPr="00010417">
                      <w:rPr>
                        <w:i/>
                        <w:sz w:val="16"/>
                        <w:szCs w:val="16"/>
                      </w:rPr>
                      <w:t xml:space="preserve">Communiqué de </w:t>
                    </w:r>
                    <w:r>
                      <w:rPr>
                        <w:i/>
                        <w:sz w:val="16"/>
                        <w:szCs w:val="16"/>
                      </w:rPr>
                      <w:t>p</w:t>
                    </w:r>
                    <w:r w:rsidRPr="00010417">
                      <w:rPr>
                        <w:i/>
                        <w:sz w:val="16"/>
                        <w:szCs w:val="16"/>
                      </w:rPr>
                      <w:t xml:space="preserve">resse </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657EA" w14:textId="77777777" w:rsidR="00907D36" w:rsidRDefault="00907D36" w:rsidP="002B7B57">
      <w:pPr>
        <w:widowControl w:val="0"/>
      </w:pPr>
      <w:r>
        <w:separator/>
      </w:r>
    </w:p>
  </w:footnote>
  <w:footnote w:type="continuationSeparator" w:id="0">
    <w:p w14:paraId="1A3E7E1F" w14:textId="77777777" w:rsidR="00907D36" w:rsidRDefault="00907D36">
      <w:r>
        <w:continuationSeparator/>
      </w:r>
    </w:p>
    <w:p w14:paraId="6A793643" w14:textId="77777777" w:rsidR="00907D36" w:rsidRDefault="00907D36"/>
    <w:p w14:paraId="4723A1B9" w14:textId="77777777" w:rsidR="00907D36" w:rsidRDefault="00907D36" w:rsidP="00C91770"/>
  </w:footnote>
  <w:footnote w:type="continuationNotice" w:id="1">
    <w:p w14:paraId="47EFDCF6" w14:textId="77777777" w:rsidR="00907D36" w:rsidRDefault="00907D36"/>
    <w:p w14:paraId="57FC9BDD" w14:textId="77777777" w:rsidR="00907D36" w:rsidRDefault="00907D36"/>
    <w:p w14:paraId="10F4469A" w14:textId="77777777" w:rsidR="00907D36" w:rsidRDefault="00907D36" w:rsidP="00C91770"/>
  </w:footnote>
  <w:footnote w:id="2">
    <w:p w14:paraId="3793B78D" w14:textId="3D870245" w:rsidR="00BA294E" w:rsidRDefault="00BA294E">
      <w:pPr>
        <w:pStyle w:val="FootnoteText"/>
      </w:pPr>
      <w:r w:rsidRPr="00701F43">
        <w:rPr>
          <w:rStyle w:val="FootnoteReference"/>
        </w:rPr>
        <w:t>*</w:t>
      </w:r>
      <w:r w:rsidRPr="00701F43">
        <w:t xml:space="preserve"> Les termes et indicateurs alternatifs de performance marqués d’un (*) sont définis et/ou réconciliés en annexe de ce communiqué.</w:t>
      </w:r>
    </w:p>
  </w:footnote>
  <w:footnote w:id="3">
    <w:p w14:paraId="3CCA9285" w14:textId="77777777" w:rsidR="00BA294E" w:rsidRPr="00076691" w:rsidRDefault="00BA294E" w:rsidP="00B00202">
      <w:pPr>
        <w:pStyle w:val="FootnoteText"/>
        <w:rPr>
          <w:rFonts w:ascii="Verdana" w:hAnsi="Verdana" w:cs="Arial"/>
          <w:sz w:val="12"/>
        </w:rPr>
      </w:pPr>
      <w:r w:rsidRPr="00701F43">
        <w:rPr>
          <w:rStyle w:val="FootnoteReference"/>
          <w:rFonts w:ascii="Verdana" w:hAnsi="Verdana" w:cs="Arial"/>
          <w:sz w:val="12"/>
        </w:rPr>
        <w:footnoteRef/>
      </w:r>
      <w:r w:rsidRPr="00701F43">
        <w:rPr>
          <w:rFonts w:ascii="Verdana" w:hAnsi="Verdana" w:cs="Arial"/>
          <w:sz w:val="12"/>
        </w:rPr>
        <w:t xml:space="preserve"> </w:t>
      </w:r>
      <w:r w:rsidRPr="00701F43">
        <w:rPr>
          <w:rFonts w:ascii="Verdana" w:hAnsi="Verdana" w:cs="Arial"/>
        </w:rPr>
        <w:t>L’examen limité de l’information financière semestrielle a été finalisé et le rapport des auditeurs est en cours d’émission.</w:t>
      </w:r>
    </w:p>
  </w:footnote>
  <w:footnote w:id="4">
    <w:p w14:paraId="76DB9D49" w14:textId="789AD1C4" w:rsidR="00BA294E" w:rsidRDefault="00BA294E" w:rsidP="00E35020">
      <w:pPr>
        <w:pStyle w:val="FootnoteText"/>
      </w:pPr>
      <w:r>
        <w:rPr>
          <w:rStyle w:val="FootnoteReference"/>
        </w:rPr>
        <w:footnoteRef/>
      </w:r>
      <w:r>
        <w:t xml:space="preserve"> Croissance à taux de change constants sur le périmètre du Groupe hors Altran. L</w:t>
      </w:r>
      <w:r w:rsidRPr="004E1FEC">
        <w:t>a classification des services d’Altran liés au Digital et au Cloud sera prise en compte à partir du 1er janvier 2021</w:t>
      </w:r>
      <w:r>
        <w:t>.</w:t>
      </w:r>
    </w:p>
  </w:footnote>
  <w:footnote w:id="5">
    <w:p w14:paraId="09ACFFEE" w14:textId="56BF377B" w:rsidR="00BA294E" w:rsidRDefault="00BA294E">
      <w:pPr>
        <w:pStyle w:val="FootnoteText"/>
      </w:pPr>
      <w:r>
        <w:rPr>
          <w:rStyle w:val="FootnoteReference"/>
        </w:rPr>
        <w:footnoteRef/>
      </w:r>
      <w:r>
        <w:t xml:space="preserve"> </w:t>
      </w:r>
      <w:proofErr w:type="gramStart"/>
      <w:r w:rsidRPr="005A3BBC">
        <w:t>dont</w:t>
      </w:r>
      <w:proofErr w:type="gramEnd"/>
      <w:r w:rsidRPr="005A3BBC">
        <w:t xml:space="preserve"> 0,4 milliard d’euros </w:t>
      </w:r>
      <w:r>
        <w:t xml:space="preserve">décaissés </w:t>
      </w:r>
      <w:r w:rsidRPr="005A3BBC">
        <w:t>en 2019</w:t>
      </w:r>
      <w:r>
        <w:t>.</w:t>
      </w:r>
    </w:p>
  </w:footnote>
  <w:footnote w:id="6">
    <w:p w14:paraId="32B5F42F" w14:textId="73A02F7F" w:rsidR="00BA294E" w:rsidRDefault="00BA294E">
      <w:pPr>
        <w:pStyle w:val="FootnoteText"/>
      </w:pPr>
      <w:r w:rsidRPr="006A6828">
        <w:rPr>
          <w:rStyle w:val="FootnoteReference"/>
        </w:rPr>
        <w:footnoteRef/>
      </w:r>
      <w:r w:rsidRPr="006A6828">
        <w:t xml:space="preserve"> </w:t>
      </w:r>
      <w:r w:rsidRPr="000F5D5A">
        <w:t>Les travaux de valorisation des actifs et passifs et l’affectation du prix d’acquisition font l’objet d’une évaluation par un expert indépendant et seront finalisés dans les 12 mois suivant la date d’acquisition.</w:t>
      </w:r>
    </w:p>
  </w:footnote>
  <w:footnote w:id="7">
    <w:p w14:paraId="7F49D0E7" w14:textId="5778EFC8" w:rsidR="00BA294E" w:rsidRDefault="00BA294E">
      <w:pPr>
        <w:pStyle w:val="FootnoteText"/>
      </w:pPr>
      <w:r>
        <w:rPr>
          <w:rStyle w:val="FootnoteReference"/>
        </w:rPr>
        <w:footnoteRef/>
      </w:r>
      <w:r>
        <w:t xml:space="preserve"> Le complément de</w:t>
      </w:r>
      <w:r w:rsidRPr="00603F92">
        <w:t xml:space="preserve"> 0,7 milliard </w:t>
      </w:r>
      <w:r>
        <w:t xml:space="preserve">d’euros étant alloué au </w:t>
      </w:r>
      <w:r w:rsidRPr="00603F92">
        <w:t>remboursement d’obligation à échéance juillet 2020</w:t>
      </w:r>
      <w:r>
        <w:t>.</w:t>
      </w:r>
    </w:p>
  </w:footnote>
  <w:footnote w:id="8">
    <w:p w14:paraId="293B18D5" w14:textId="38DB4DB8" w:rsidR="00BA294E" w:rsidRDefault="00BA294E">
      <w:pPr>
        <w:pStyle w:val="FootnoteText"/>
      </w:pPr>
      <w:r>
        <w:rPr>
          <w:rStyle w:val="FootnoteReference"/>
        </w:rPr>
        <w:footnoteRef/>
      </w:r>
      <w:r>
        <w:t xml:space="preserve"> </w:t>
      </w:r>
      <w:r w:rsidRPr="003063B1">
        <w:t>Dans ces annexes l’arrondi d’une somme peut être différent de la somme des arrondis.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8EAD" w14:textId="05DD9A8D" w:rsidR="00BA294E" w:rsidRDefault="00BA294E">
    <w:pPr>
      <w:pStyle w:val="Header"/>
    </w:pPr>
    <w:r>
      <w:rPr>
        <w:noProof/>
      </w:rPr>
      <w:drawing>
        <wp:anchor distT="0" distB="0" distL="114300" distR="114300" simplePos="0" relativeHeight="251658240" behindDoc="0" locked="0" layoutInCell="1" allowOverlap="1" wp14:anchorId="217EB3D2" wp14:editId="14C5334B">
          <wp:simplePos x="0" y="0"/>
          <wp:positionH relativeFrom="margin">
            <wp:posOffset>6118225</wp:posOffset>
          </wp:positionH>
          <wp:positionV relativeFrom="paragraph">
            <wp:posOffset>-191135</wp:posOffset>
          </wp:positionV>
          <wp:extent cx="347345" cy="323215"/>
          <wp:effectExtent l="0" t="0" r="0" b="635"/>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08C35" w14:textId="293A98C0" w:rsidR="00BA294E" w:rsidRDefault="00BA294E">
    <w:pPr>
      <w:pStyle w:val="Header"/>
    </w:pPr>
    <w:r>
      <w:rPr>
        <w:noProof/>
      </w:rPr>
      <w:drawing>
        <wp:inline distT="0" distB="0" distL="0" distR="0" wp14:anchorId="4802C83B" wp14:editId="397E4232">
          <wp:extent cx="1792605" cy="433070"/>
          <wp:effectExtent l="0" t="0" r="0" b="508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
                    <a:extLst>
                      <a:ext uri="{28A0092B-C50C-407E-A947-70E740481C1C}">
                        <a14:useLocalDpi xmlns:a14="http://schemas.microsoft.com/office/drawing/2010/main" val="0"/>
                      </a:ext>
                    </a:extLst>
                  </a:blip>
                  <a:stretch>
                    <a:fillRect/>
                  </a:stretch>
                </pic:blipFill>
                <pic:spPr>
                  <a:xfrm>
                    <a:off x="0" y="0"/>
                    <a:ext cx="1792605" cy="433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565"/>
    <w:multiLevelType w:val="hybridMultilevel"/>
    <w:tmpl w:val="6BAC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13D54"/>
    <w:multiLevelType w:val="hybridMultilevel"/>
    <w:tmpl w:val="17685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C852EB"/>
    <w:multiLevelType w:val="hybridMultilevel"/>
    <w:tmpl w:val="B036AED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83BE9"/>
    <w:multiLevelType w:val="hybridMultilevel"/>
    <w:tmpl w:val="1B84E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ED4306"/>
    <w:multiLevelType w:val="hybridMultilevel"/>
    <w:tmpl w:val="EBBC4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91759A"/>
    <w:multiLevelType w:val="hybridMultilevel"/>
    <w:tmpl w:val="A968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C15EB"/>
    <w:multiLevelType w:val="hybridMultilevel"/>
    <w:tmpl w:val="24CC07D0"/>
    <w:lvl w:ilvl="0" w:tplc="2096A200">
      <w:start w:val="1"/>
      <w:numFmt w:val="bullet"/>
      <w:lvlText w:val="●"/>
      <w:lvlJc w:val="left"/>
      <w:pPr>
        <w:ind w:left="284" w:hanging="284"/>
      </w:pPr>
      <w:rPr>
        <w:rFonts w:ascii="Verdana" w:hAnsi="Verdana" w:hint="default"/>
        <w:sz w:val="2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65B4769"/>
    <w:multiLevelType w:val="hybridMultilevel"/>
    <w:tmpl w:val="0A047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B1716E"/>
    <w:multiLevelType w:val="hybridMultilevel"/>
    <w:tmpl w:val="A6963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427B6C"/>
    <w:multiLevelType w:val="hybridMultilevel"/>
    <w:tmpl w:val="6D7CA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CB3F44"/>
    <w:multiLevelType w:val="hybridMultilevel"/>
    <w:tmpl w:val="9EBC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D0532"/>
    <w:multiLevelType w:val="hybridMultilevel"/>
    <w:tmpl w:val="FB44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F7A26"/>
    <w:multiLevelType w:val="hybridMultilevel"/>
    <w:tmpl w:val="8AD2FB9E"/>
    <w:lvl w:ilvl="0" w:tplc="2096A200">
      <w:start w:val="1"/>
      <w:numFmt w:val="bullet"/>
      <w:lvlText w:val="●"/>
      <w:lvlJc w:val="left"/>
      <w:pPr>
        <w:ind w:left="284" w:hanging="284"/>
      </w:pPr>
      <w:rPr>
        <w:rFonts w:ascii="Verdana" w:hAnsi="Verdan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9"/>
  </w:num>
  <w:num w:numId="5">
    <w:abstractNumId w:val="5"/>
  </w:num>
  <w:num w:numId="6">
    <w:abstractNumId w:val="1"/>
  </w:num>
  <w:num w:numId="7">
    <w:abstractNumId w:val="3"/>
  </w:num>
  <w:num w:numId="8">
    <w:abstractNumId w:val="2"/>
  </w:num>
  <w:num w:numId="9">
    <w:abstractNumId w:val="0"/>
  </w:num>
  <w:num w:numId="10">
    <w:abstractNumId w:val="10"/>
  </w:num>
  <w:num w:numId="11">
    <w:abstractNumId w:val="7"/>
  </w:num>
  <w:num w:numId="12">
    <w:abstractNumId w:val="4"/>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2C"/>
    <w:rsid w:val="000008CF"/>
    <w:rsid w:val="000009F9"/>
    <w:rsid w:val="00000E0D"/>
    <w:rsid w:val="000013E5"/>
    <w:rsid w:val="00002160"/>
    <w:rsid w:val="00002A32"/>
    <w:rsid w:val="00002F48"/>
    <w:rsid w:val="000031E4"/>
    <w:rsid w:val="0000537C"/>
    <w:rsid w:val="00005657"/>
    <w:rsid w:val="00005700"/>
    <w:rsid w:val="0000572F"/>
    <w:rsid w:val="00005EB9"/>
    <w:rsid w:val="00005FBE"/>
    <w:rsid w:val="0000600D"/>
    <w:rsid w:val="0000605F"/>
    <w:rsid w:val="00006A5D"/>
    <w:rsid w:val="00007043"/>
    <w:rsid w:val="000076A3"/>
    <w:rsid w:val="00007A97"/>
    <w:rsid w:val="00007F1E"/>
    <w:rsid w:val="00010369"/>
    <w:rsid w:val="00010417"/>
    <w:rsid w:val="000110AA"/>
    <w:rsid w:val="0001284F"/>
    <w:rsid w:val="000129A6"/>
    <w:rsid w:val="00012A4D"/>
    <w:rsid w:val="00012D1B"/>
    <w:rsid w:val="0001310F"/>
    <w:rsid w:val="0001349B"/>
    <w:rsid w:val="0001448D"/>
    <w:rsid w:val="0001562F"/>
    <w:rsid w:val="0001572C"/>
    <w:rsid w:val="000157C3"/>
    <w:rsid w:val="00015804"/>
    <w:rsid w:val="000163CF"/>
    <w:rsid w:val="00017181"/>
    <w:rsid w:val="00020B44"/>
    <w:rsid w:val="00020BDC"/>
    <w:rsid w:val="00021680"/>
    <w:rsid w:val="000216F1"/>
    <w:rsid w:val="00022570"/>
    <w:rsid w:val="00023280"/>
    <w:rsid w:val="0002359E"/>
    <w:rsid w:val="0002371B"/>
    <w:rsid w:val="00023C18"/>
    <w:rsid w:val="000242BA"/>
    <w:rsid w:val="00024606"/>
    <w:rsid w:val="0002464A"/>
    <w:rsid w:val="000246CC"/>
    <w:rsid w:val="000249D9"/>
    <w:rsid w:val="00026083"/>
    <w:rsid w:val="000266E7"/>
    <w:rsid w:val="00026A88"/>
    <w:rsid w:val="00026F09"/>
    <w:rsid w:val="00026F41"/>
    <w:rsid w:val="00027A8B"/>
    <w:rsid w:val="00030A83"/>
    <w:rsid w:val="00031101"/>
    <w:rsid w:val="00031DD7"/>
    <w:rsid w:val="00032406"/>
    <w:rsid w:val="000324A4"/>
    <w:rsid w:val="00032F9A"/>
    <w:rsid w:val="00033239"/>
    <w:rsid w:val="00033AB9"/>
    <w:rsid w:val="00034934"/>
    <w:rsid w:val="000349A4"/>
    <w:rsid w:val="00035070"/>
    <w:rsid w:val="0003575D"/>
    <w:rsid w:val="00035A19"/>
    <w:rsid w:val="00036035"/>
    <w:rsid w:val="00037D16"/>
    <w:rsid w:val="00037F18"/>
    <w:rsid w:val="000401AA"/>
    <w:rsid w:val="00040D16"/>
    <w:rsid w:val="00040E37"/>
    <w:rsid w:val="0004139E"/>
    <w:rsid w:val="00041683"/>
    <w:rsid w:val="00041C5B"/>
    <w:rsid w:val="00042138"/>
    <w:rsid w:val="00042751"/>
    <w:rsid w:val="00043802"/>
    <w:rsid w:val="00043B67"/>
    <w:rsid w:val="00043F66"/>
    <w:rsid w:val="00044068"/>
    <w:rsid w:val="0004478B"/>
    <w:rsid w:val="000448F3"/>
    <w:rsid w:val="00044977"/>
    <w:rsid w:val="00044A28"/>
    <w:rsid w:val="00044F9A"/>
    <w:rsid w:val="0004568B"/>
    <w:rsid w:val="00046F8A"/>
    <w:rsid w:val="00047157"/>
    <w:rsid w:val="00047659"/>
    <w:rsid w:val="00047F9D"/>
    <w:rsid w:val="00051169"/>
    <w:rsid w:val="000515D9"/>
    <w:rsid w:val="00052163"/>
    <w:rsid w:val="0005278D"/>
    <w:rsid w:val="000528C9"/>
    <w:rsid w:val="000539A9"/>
    <w:rsid w:val="00053DA4"/>
    <w:rsid w:val="00054340"/>
    <w:rsid w:val="00054EF6"/>
    <w:rsid w:val="00054F88"/>
    <w:rsid w:val="000552F0"/>
    <w:rsid w:val="000555A2"/>
    <w:rsid w:val="00055C0B"/>
    <w:rsid w:val="0005631B"/>
    <w:rsid w:val="00056330"/>
    <w:rsid w:val="00056B21"/>
    <w:rsid w:val="00056B2B"/>
    <w:rsid w:val="00057EDC"/>
    <w:rsid w:val="00057FFD"/>
    <w:rsid w:val="000606FE"/>
    <w:rsid w:val="00060705"/>
    <w:rsid w:val="00060B70"/>
    <w:rsid w:val="000612F0"/>
    <w:rsid w:val="000622BE"/>
    <w:rsid w:val="000623BA"/>
    <w:rsid w:val="00062BCE"/>
    <w:rsid w:val="00063171"/>
    <w:rsid w:val="00063287"/>
    <w:rsid w:val="0006362E"/>
    <w:rsid w:val="00063CF0"/>
    <w:rsid w:val="00063EB4"/>
    <w:rsid w:val="0006407C"/>
    <w:rsid w:val="00065E6B"/>
    <w:rsid w:val="0006744C"/>
    <w:rsid w:val="00067458"/>
    <w:rsid w:val="0006751B"/>
    <w:rsid w:val="00067848"/>
    <w:rsid w:val="00067DF6"/>
    <w:rsid w:val="00067E41"/>
    <w:rsid w:val="00070BDD"/>
    <w:rsid w:val="00070CA5"/>
    <w:rsid w:val="00071971"/>
    <w:rsid w:val="00071A62"/>
    <w:rsid w:val="00071F99"/>
    <w:rsid w:val="000720E0"/>
    <w:rsid w:val="000720EA"/>
    <w:rsid w:val="000734E0"/>
    <w:rsid w:val="00073601"/>
    <w:rsid w:val="00074612"/>
    <w:rsid w:val="000747EB"/>
    <w:rsid w:val="00076203"/>
    <w:rsid w:val="000762F7"/>
    <w:rsid w:val="00076691"/>
    <w:rsid w:val="000767E5"/>
    <w:rsid w:val="00076B47"/>
    <w:rsid w:val="00076B5A"/>
    <w:rsid w:val="00077811"/>
    <w:rsid w:val="00077D0A"/>
    <w:rsid w:val="00077F24"/>
    <w:rsid w:val="0008009A"/>
    <w:rsid w:val="000800CE"/>
    <w:rsid w:val="00080643"/>
    <w:rsid w:val="00080C64"/>
    <w:rsid w:val="000816DB"/>
    <w:rsid w:val="000820F8"/>
    <w:rsid w:val="000838DE"/>
    <w:rsid w:val="00083EEA"/>
    <w:rsid w:val="00084FC2"/>
    <w:rsid w:val="0008520D"/>
    <w:rsid w:val="00086C01"/>
    <w:rsid w:val="00087EB2"/>
    <w:rsid w:val="000905E6"/>
    <w:rsid w:val="00090773"/>
    <w:rsid w:val="0009087E"/>
    <w:rsid w:val="00091E99"/>
    <w:rsid w:val="00091EB1"/>
    <w:rsid w:val="00091F48"/>
    <w:rsid w:val="000923CD"/>
    <w:rsid w:val="00092452"/>
    <w:rsid w:val="00094BD0"/>
    <w:rsid w:val="00095078"/>
    <w:rsid w:val="0009520E"/>
    <w:rsid w:val="0009536B"/>
    <w:rsid w:val="00095531"/>
    <w:rsid w:val="000957AF"/>
    <w:rsid w:val="0009608C"/>
    <w:rsid w:val="000969E4"/>
    <w:rsid w:val="00097203"/>
    <w:rsid w:val="000972A4"/>
    <w:rsid w:val="00097632"/>
    <w:rsid w:val="00097D52"/>
    <w:rsid w:val="00097F1E"/>
    <w:rsid w:val="000A05E9"/>
    <w:rsid w:val="000A132F"/>
    <w:rsid w:val="000A1C13"/>
    <w:rsid w:val="000A31C6"/>
    <w:rsid w:val="000A31FA"/>
    <w:rsid w:val="000A3815"/>
    <w:rsid w:val="000A3B7B"/>
    <w:rsid w:val="000A3DA2"/>
    <w:rsid w:val="000A3DED"/>
    <w:rsid w:val="000A4542"/>
    <w:rsid w:val="000A4767"/>
    <w:rsid w:val="000A4826"/>
    <w:rsid w:val="000A48AD"/>
    <w:rsid w:val="000A4F0D"/>
    <w:rsid w:val="000A5626"/>
    <w:rsid w:val="000A6C40"/>
    <w:rsid w:val="000A70F7"/>
    <w:rsid w:val="000A71B7"/>
    <w:rsid w:val="000B0637"/>
    <w:rsid w:val="000B143F"/>
    <w:rsid w:val="000B17B2"/>
    <w:rsid w:val="000B2334"/>
    <w:rsid w:val="000B291B"/>
    <w:rsid w:val="000B2BAC"/>
    <w:rsid w:val="000B2D1D"/>
    <w:rsid w:val="000B2E3C"/>
    <w:rsid w:val="000B33EF"/>
    <w:rsid w:val="000B33F8"/>
    <w:rsid w:val="000B34C0"/>
    <w:rsid w:val="000B36EA"/>
    <w:rsid w:val="000B45B0"/>
    <w:rsid w:val="000B4F5A"/>
    <w:rsid w:val="000B5321"/>
    <w:rsid w:val="000B5D02"/>
    <w:rsid w:val="000B5F23"/>
    <w:rsid w:val="000B61F2"/>
    <w:rsid w:val="000B656B"/>
    <w:rsid w:val="000B67AC"/>
    <w:rsid w:val="000B7913"/>
    <w:rsid w:val="000B7A00"/>
    <w:rsid w:val="000C001E"/>
    <w:rsid w:val="000C0B96"/>
    <w:rsid w:val="000C0DBD"/>
    <w:rsid w:val="000C157F"/>
    <w:rsid w:val="000C1C65"/>
    <w:rsid w:val="000C1E63"/>
    <w:rsid w:val="000C1ED2"/>
    <w:rsid w:val="000C34B9"/>
    <w:rsid w:val="000C35E3"/>
    <w:rsid w:val="000C3824"/>
    <w:rsid w:val="000C383D"/>
    <w:rsid w:val="000C385E"/>
    <w:rsid w:val="000C3A40"/>
    <w:rsid w:val="000C3D4E"/>
    <w:rsid w:val="000C3E69"/>
    <w:rsid w:val="000C4344"/>
    <w:rsid w:val="000C460D"/>
    <w:rsid w:val="000C4B08"/>
    <w:rsid w:val="000C4CAB"/>
    <w:rsid w:val="000C4F02"/>
    <w:rsid w:val="000C55AF"/>
    <w:rsid w:val="000C61DC"/>
    <w:rsid w:val="000C64A4"/>
    <w:rsid w:val="000C65DC"/>
    <w:rsid w:val="000C68F8"/>
    <w:rsid w:val="000C6DD7"/>
    <w:rsid w:val="000C6EE7"/>
    <w:rsid w:val="000C7100"/>
    <w:rsid w:val="000C7D77"/>
    <w:rsid w:val="000C7E46"/>
    <w:rsid w:val="000D0BB2"/>
    <w:rsid w:val="000D24BB"/>
    <w:rsid w:val="000D26C1"/>
    <w:rsid w:val="000D2BAC"/>
    <w:rsid w:val="000D3F8D"/>
    <w:rsid w:val="000D453D"/>
    <w:rsid w:val="000D4866"/>
    <w:rsid w:val="000D4B99"/>
    <w:rsid w:val="000D4F9B"/>
    <w:rsid w:val="000D525A"/>
    <w:rsid w:val="000D5A2B"/>
    <w:rsid w:val="000D5EBF"/>
    <w:rsid w:val="000D66DD"/>
    <w:rsid w:val="000D674A"/>
    <w:rsid w:val="000D6A1C"/>
    <w:rsid w:val="000D7569"/>
    <w:rsid w:val="000E045C"/>
    <w:rsid w:val="000E0724"/>
    <w:rsid w:val="000E1094"/>
    <w:rsid w:val="000E164E"/>
    <w:rsid w:val="000E17E4"/>
    <w:rsid w:val="000E1C32"/>
    <w:rsid w:val="000E1CD1"/>
    <w:rsid w:val="000E1EA1"/>
    <w:rsid w:val="000E2240"/>
    <w:rsid w:val="000E2C0C"/>
    <w:rsid w:val="000E334D"/>
    <w:rsid w:val="000E364A"/>
    <w:rsid w:val="000E3E51"/>
    <w:rsid w:val="000E492B"/>
    <w:rsid w:val="000E5DC6"/>
    <w:rsid w:val="000E5E76"/>
    <w:rsid w:val="000E67B2"/>
    <w:rsid w:val="000E6BB7"/>
    <w:rsid w:val="000E732E"/>
    <w:rsid w:val="000E7747"/>
    <w:rsid w:val="000F069E"/>
    <w:rsid w:val="000F077C"/>
    <w:rsid w:val="000F0839"/>
    <w:rsid w:val="000F0EE5"/>
    <w:rsid w:val="000F0FC9"/>
    <w:rsid w:val="000F1277"/>
    <w:rsid w:val="000F174F"/>
    <w:rsid w:val="000F1A0A"/>
    <w:rsid w:val="000F1ADB"/>
    <w:rsid w:val="000F295C"/>
    <w:rsid w:val="000F2FA7"/>
    <w:rsid w:val="000F319C"/>
    <w:rsid w:val="000F31FA"/>
    <w:rsid w:val="000F3318"/>
    <w:rsid w:val="000F3889"/>
    <w:rsid w:val="000F4210"/>
    <w:rsid w:val="000F4873"/>
    <w:rsid w:val="000F53DA"/>
    <w:rsid w:val="000F56AE"/>
    <w:rsid w:val="000F5ACD"/>
    <w:rsid w:val="000F5B10"/>
    <w:rsid w:val="000F5D5A"/>
    <w:rsid w:val="000F610E"/>
    <w:rsid w:val="000F66AF"/>
    <w:rsid w:val="000F6978"/>
    <w:rsid w:val="000F6CD2"/>
    <w:rsid w:val="000F6D80"/>
    <w:rsid w:val="000F6DB8"/>
    <w:rsid w:val="000F6DF2"/>
    <w:rsid w:val="000F73C6"/>
    <w:rsid w:val="00100253"/>
    <w:rsid w:val="001003B0"/>
    <w:rsid w:val="0010131A"/>
    <w:rsid w:val="0010194D"/>
    <w:rsid w:val="001019B3"/>
    <w:rsid w:val="00101A5B"/>
    <w:rsid w:val="001020C1"/>
    <w:rsid w:val="00102458"/>
    <w:rsid w:val="001025BF"/>
    <w:rsid w:val="00102E67"/>
    <w:rsid w:val="00103BA5"/>
    <w:rsid w:val="001047E0"/>
    <w:rsid w:val="001048D9"/>
    <w:rsid w:val="001049AD"/>
    <w:rsid w:val="00104CFB"/>
    <w:rsid w:val="00105228"/>
    <w:rsid w:val="0010549E"/>
    <w:rsid w:val="00105899"/>
    <w:rsid w:val="001058B4"/>
    <w:rsid w:val="00105CB1"/>
    <w:rsid w:val="00106439"/>
    <w:rsid w:val="00106AD3"/>
    <w:rsid w:val="0010707D"/>
    <w:rsid w:val="00107775"/>
    <w:rsid w:val="00107AD5"/>
    <w:rsid w:val="00110225"/>
    <w:rsid w:val="001105F8"/>
    <w:rsid w:val="00110A6A"/>
    <w:rsid w:val="00110E87"/>
    <w:rsid w:val="00112895"/>
    <w:rsid w:val="00112930"/>
    <w:rsid w:val="001132C5"/>
    <w:rsid w:val="00113517"/>
    <w:rsid w:val="001144DD"/>
    <w:rsid w:val="0011458B"/>
    <w:rsid w:val="00114A1C"/>
    <w:rsid w:val="00116355"/>
    <w:rsid w:val="00116C25"/>
    <w:rsid w:val="0011705B"/>
    <w:rsid w:val="00117113"/>
    <w:rsid w:val="00117151"/>
    <w:rsid w:val="0011779B"/>
    <w:rsid w:val="00120AD1"/>
    <w:rsid w:val="00120AFE"/>
    <w:rsid w:val="00120D4E"/>
    <w:rsid w:val="0012136A"/>
    <w:rsid w:val="001215C6"/>
    <w:rsid w:val="00121624"/>
    <w:rsid w:val="00121C6B"/>
    <w:rsid w:val="00122345"/>
    <w:rsid w:val="0012280C"/>
    <w:rsid w:val="00122A7D"/>
    <w:rsid w:val="00122DEF"/>
    <w:rsid w:val="00123281"/>
    <w:rsid w:val="0012345A"/>
    <w:rsid w:val="00123B28"/>
    <w:rsid w:val="00124F89"/>
    <w:rsid w:val="001252BC"/>
    <w:rsid w:val="0012537B"/>
    <w:rsid w:val="00125D17"/>
    <w:rsid w:val="00126139"/>
    <w:rsid w:val="001261F5"/>
    <w:rsid w:val="0012726C"/>
    <w:rsid w:val="0012784D"/>
    <w:rsid w:val="00127B7D"/>
    <w:rsid w:val="00127F45"/>
    <w:rsid w:val="001300B4"/>
    <w:rsid w:val="001302F2"/>
    <w:rsid w:val="0013034E"/>
    <w:rsid w:val="00130CF2"/>
    <w:rsid w:val="0013111B"/>
    <w:rsid w:val="00131393"/>
    <w:rsid w:val="001320A1"/>
    <w:rsid w:val="001332C6"/>
    <w:rsid w:val="00133306"/>
    <w:rsid w:val="00133DF4"/>
    <w:rsid w:val="00134A44"/>
    <w:rsid w:val="00134C16"/>
    <w:rsid w:val="00135451"/>
    <w:rsid w:val="0013565E"/>
    <w:rsid w:val="00135889"/>
    <w:rsid w:val="0013589E"/>
    <w:rsid w:val="00135B65"/>
    <w:rsid w:val="001361A5"/>
    <w:rsid w:val="001365F8"/>
    <w:rsid w:val="0013660A"/>
    <w:rsid w:val="001368FB"/>
    <w:rsid w:val="00137A05"/>
    <w:rsid w:val="00140B94"/>
    <w:rsid w:val="00140BCC"/>
    <w:rsid w:val="00141144"/>
    <w:rsid w:val="00141A12"/>
    <w:rsid w:val="00141AC1"/>
    <w:rsid w:val="0014275C"/>
    <w:rsid w:val="00142907"/>
    <w:rsid w:val="00142F9A"/>
    <w:rsid w:val="00143A54"/>
    <w:rsid w:val="00143EC3"/>
    <w:rsid w:val="00143F74"/>
    <w:rsid w:val="001442C0"/>
    <w:rsid w:val="001443F9"/>
    <w:rsid w:val="00144C00"/>
    <w:rsid w:val="00144DED"/>
    <w:rsid w:val="001457D8"/>
    <w:rsid w:val="00145CC9"/>
    <w:rsid w:val="00146611"/>
    <w:rsid w:val="00146D64"/>
    <w:rsid w:val="00146E7D"/>
    <w:rsid w:val="001477CE"/>
    <w:rsid w:val="001478E1"/>
    <w:rsid w:val="00150073"/>
    <w:rsid w:val="001504AC"/>
    <w:rsid w:val="001504C3"/>
    <w:rsid w:val="00150F8D"/>
    <w:rsid w:val="001513FC"/>
    <w:rsid w:val="001516B4"/>
    <w:rsid w:val="001517D4"/>
    <w:rsid w:val="00153180"/>
    <w:rsid w:val="00153E81"/>
    <w:rsid w:val="00153FF0"/>
    <w:rsid w:val="00154CD6"/>
    <w:rsid w:val="00155449"/>
    <w:rsid w:val="00156001"/>
    <w:rsid w:val="00156340"/>
    <w:rsid w:val="0015664F"/>
    <w:rsid w:val="001573C0"/>
    <w:rsid w:val="00157CB9"/>
    <w:rsid w:val="00160373"/>
    <w:rsid w:val="001603AC"/>
    <w:rsid w:val="00161101"/>
    <w:rsid w:val="0016295C"/>
    <w:rsid w:val="0016343C"/>
    <w:rsid w:val="001634D3"/>
    <w:rsid w:val="001636F2"/>
    <w:rsid w:val="00163DB0"/>
    <w:rsid w:val="00163E51"/>
    <w:rsid w:val="00164101"/>
    <w:rsid w:val="001641C7"/>
    <w:rsid w:val="00164238"/>
    <w:rsid w:val="001643DE"/>
    <w:rsid w:val="00164A1A"/>
    <w:rsid w:val="00164A65"/>
    <w:rsid w:val="00165989"/>
    <w:rsid w:val="00165BCC"/>
    <w:rsid w:val="001661CD"/>
    <w:rsid w:val="001662C1"/>
    <w:rsid w:val="00166E1F"/>
    <w:rsid w:val="00166E77"/>
    <w:rsid w:val="00170B33"/>
    <w:rsid w:val="00170BF5"/>
    <w:rsid w:val="00171ACD"/>
    <w:rsid w:val="00171B73"/>
    <w:rsid w:val="001734FD"/>
    <w:rsid w:val="001736E9"/>
    <w:rsid w:val="00173F5C"/>
    <w:rsid w:val="00174CB7"/>
    <w:rsid w:val="0017509A"/>
    <w:rsid w:val="00175771"/>
    <w:rsid w:val="00175E22"/>
    <w:rsid w:val="00176EFC"/>
    <w:rsid w:val="00181325"/>
    <w:rsid w:val="0018221E"/>
    <w:rsid w:val="00182923"/>
    <w:rsid w:val="0018297D"/>
    <w:rsid w:val="00182B20"/>
    <w:rsid w:val="00182E68"/>
    <w:rsid w:val="0018376C"/>
    <w:rsid w:val="001855B4"/>
    <w:rsid w:val="0018593F"/>
    <w:rsid w:val="00186B3E"/>
    <w:rsid w:val="001875E7"/>
    <w:rsid w:val="00187A39"/>
    <w:rsid w:val="00190323"/>
    <w:rsid w:val="001911BA"/>
    <w:rsid w:val="00191ADB"/>
    <w:rsid w:val="0019286A"/>
    <w:rsid w:val="0019351A"/>
    <w:rsid w:val="00193BFE"/>
    <w:rsid w:val="00193D32"/>
    <w:rsid w:val="00193D55"/>
    <w:rsid w:val="00193E0E"/>
    <w:rsid w:val="0019475C"/>
    <w:rsid w:val="00195115"/>
    <w:rsid w:val="001953EC"/>
    <w:rsid w:val="00195A3A"/>
    <w:rsid w:val="001969C3"/>
    <w:rsid w:val="00197509"/>
    <w:rsid w:val="00197866"/>
    <w:rsid w:val="001979BC"/>
    <w:rsid w:val="001A078A"/>
    <w:rsid w:val="001A0C9F"/>
    <w:rsid w:val="001A0E8B"/>
    <w:rsid w:val="001A21B7"/>
    <w:rsid w:val="001A26F9"/>
    <w:rsid w:val="001A27A0"/>
    <w:rsid w:val="001A29E6"/>
    <w:rsid w:val="001A2D0D"/>
    <w:rsid w:val="001A3130"/>
    <w:rsid w:val="001A3630"/>
    <w:rsid w:val="001A39E3"/>
    <w:rsid w:val="001A4897"/>
    <w:rsid w:val="001A48E3"/>
    <w:rsid w:val="001A4C11"/>
    <w:rsid w:val="001A4F77"/>
    <w:rsid w:val="001A5384"/>
    <w:rsid w:val="001A5397"/>
    <w:rsid w:val="001A5586"/>
    <w:rsid w:val="001A5CF5"/>
    <w:rsid w:val="001A614E"/>
    <w:rsid w:val="001A67AA"/>
    <w:rsid w:val="001A6902"/>
    <w:rsid w:val="001A6ED9"/>
    <w:rsid w:val="001A6EE1"/>
    <w:rsid w:val="001A73D6"/>
    <w:rsid w:val="001A7BDA"/>
    <w:rsid w:val="001B0022"/>
    <w:rsid w:val="001B0177"/>
    <w:rsid w:val="001B023E"/>
    <w:rsid w:val="001B065A"/>
    <w:rsid w:val="001B081E"/>
    <w:rsid w:val="001B08A4"/>
    <w:rsid w:val="001B0DDD"/>
    <w:rsid w:val="001B0ECD"/>
    <w:rsid w:val="001B1046"/>
    <w:rsid w:val="001B1063"/>
    <w:rsid w:val="001B12F2"/>
    <w:rsid w:val="001B1B98"/>
    <w:rsid w:val="001B1C01"/>
    <w:rsid w:val="001B1EB1"/>
    <w:rsid w:val="001B1FF7"/>
    <w:rsid w:val="001B1FFD"/>
    <w:rsid w:val="001B25D5"/>
    <w:rsid w:val="001B2643"/>
    <w:rsid w:val="001B2659"/>
    <w:rsid w:val="001B2666"/>
    <w:rsid w:val="001B27F5"/>
    <w:rsid w:val="001B3B1F"/>
    <w:rsid w:val="001B3C5F"/>
    <w:rsid w:val="001B3D40"/>
    <w:rsid w:val="001B4831"/>
    <w:rsid w:val="001B4A02"/>
    <w:rsid w:val="001B5F74"/>
    <w:rsid w:val="001B6201"/>
    <w:rsid w:val="001B627F"/>
    <w:rsid w:val="001B6CD8"/>
    <w:rsid w:val="001B755B"/>
    <w:rsid w:val="001B7EB3"/>
    <w:rsid w:val="001C06F7"/>
    <w:rsid w:val="001C0C87"/>
    <w:rsid w:val="001C3073"/>
    <w:rsid w:val="001C3259"/>
    <w:rsid w:val="001C3388"/>
    <w:rsid w:val="001C34EC"/>
    <w:rsid w:val="001C450C"/>
    <w:rsid w:val="001C4A3D"/>
    <w:rsid w:val="001C4F1C"/>
    <w:rsid w:val="001C5028"/>
    <w:rsid w:val="001C5284"/>
    <w:rsid w:val="001C6884"/>
    <w:rsid w:val="001C68B7"/>
    <w:rsid w:val="001C6956"/>
    <w:rsid w:val="001C6D57"/>
    <w:rsid w:val="001C6E76"/>
    <w:rsid w:val="001C7A2B"/>
    <w:rsid w:val="001D04A0"/>
    <w:rsid w:val="001D05A1"/>
    <w:rsid w:val="001D06AB"/>
    <w:rsid w:val="001D0E81"/>
    <w:rsid w:val="001D1188"/>
    <w:rsid w:val="001D121E"/>
    <w:rsid w:val="001D2078"/>
    <w:rsid w:val="001D20F1"/>
    <w:rsid w:val="001D2405"/>
    <w:rsid w:val="001D30FA"/>
    <w:rsid w:val="001D3486"/>
    <w:rsid w:val="001D355D"/>
    <w:rsid w:val="001D44C6"/>
    <w:rsid w:val="001D50AF"/>
    <w:rsid w:val="001D5252"/>
    <w:rsid w:val="001D5F9A"/>
    <w:rsid w:val="001D664C"/>
    <w:rsid w:val="001D73F9"/>
    <w:rsid w:val="001D7AB6"/>
    <w:rsid w:val="001D7E54"/>
    <w:rsid w:val="001D7FC9"/>
    <w:rsid w:val="001E0147"/>
    <w:rsid w:val="001E122D"/>
    <w:rsid w:val="001E156E"/>
    <w:rsid w:val="001E1984"/>
    <w:rsid w:val="001E1EF5"/>
    <w:rsid w:val="001E28BF"/>
    <w:rsid w:val="001E2A8E"/>
    <w:rsid w:val="001E2E23"/>
    <w:rsid w:val="001E348B"/>
    <w:rsid w:val="001E34F5"/>
    <w:rsid w:val="001E423E"/>
    <w:rsid w:val="001E4640"/>
    <w:rsid w:val="001E5177"/>
    <w:rsid w:val="001E6002"/>
    <w:rsid w:val="001E66AC"/>
    <w:rsid w:val="001E6D83"/>
    <w:rsid w:val="001E774C"/>
    <w:rsid w:val="001F0484"/>
    <w:rsid w:val="001F0811"/>
    <w:rsid w:val="001F09C9"/>
    <w:rsid w:val="001F105E"/>
    <w:rsid w:val="001F1CB9"/>
    <w:rsid w:val="001F1E51"/>
    <w:rsid w:val="001F24C1"/>
    <w:rsid w:val="001F2CC2"/>
    <w:rsid w:val="001F3145"/>
    <w:rsid w:val="001F35CD"/>
    <w:rsid w:val="001F44DD"/>
    <w:rsid w:val="001F45D2"/>
    <w:rsid w:val="001F4627"/>
    <w:rsid w:val="001F4E29"/>
    <w:rsid w:val="001F53EB"/>
    <w:rsid w:val="001F561E"/>
    <w:rsid w:val="001F59BF"/>
    <w:rsid w:val="001F5AF5"/>
    <w:rsid w:val="001F5C60"/>
    <w:rsid w:val="001F6018"/>
    <w:rsid w:val="001F607C"/>
    <w:rsid w:val="001F767C"/>
    <w:rsid w:val="0020042C"/>
    <w:rsid w:val="002009FB"/>
    <w:rsid w:val="00202803"/>
    <w:rsid w:val="00203E2E"/>
    <w:rsid w:val="002043A9"/>
    <w:rsid w:val="002048AB"/>
    <w:rsid w:val="00204F8B"/>
    <w:rsid w:val="00204FC3"/>
    <w:rsid w:val="0020555D"/>
    <w:rsid w:val="0020589E"/>
    <w:rsid w:val="002058DB"/>
    <w:rsid w:val="00205FA8"/>
    <w:rsid w:val="0020637D"/>
    <w:rsid w:val="0020642F"/>
    <w:rsid w:val="002065AE"/>
    <w:rsid w:val="00206DB0"/>
    <w:rsid w:val="00207020"/>
    <w:rsid w:val="002076DB"/>
    <w:rsid w:val="00211DCB"/>
    <w:rsid w:val="00212285"/>
    <w:rsid w:val="002129DC"/>
    <w:rsid w:val="00212A0E"/>
    <w:rsid w:val="00212B9A"/>
    <w:rsid w:val="002130B9"/>
    <w:rsid w:val="00213725"/>
    <w:rsid w:val="00213794"/>
    <w:rsid w:val="00213FDD"/>
    <w:rsid w:val="002144A8"/>
    <w:rsid w:val="00214956"/>
    <w:rsid w:val="0021508F"/>
    <w:rsid w:val="002150CE"/>
    <w:rsid w:val="00215412"/>
    <w:rsid w:val="00215E85"/>
    <w:rsid w:val="00216752"/>
    <w:rsid w:val="00216B3F"/>
    <w:rsid w:val="002175E1"/>
    <w:rsid w:val="002179A4"/>
    <w:rsid w:val="00217BE4"/>
    <w:rsid w:val="00217DB6"/>
    <w:rsid w:val="00220830"/>
    <w:rsid w:val="00220DAD"/>
    <w:rsid w:val="00221818"/>
    <w:rsid w:val="00221AA1"/>
    <w:rsid w:val="00222FD7"/>
    <w:rsid w:val="00223A32"/>
    <w:rsid w:val="002248EB"/>
    <w:rsid w:val="002259B1"/>
    <w:rsid w:val="00225ACF"/>
    <w:rsid w:val="00225FA1"/>
    <w:rsid w:val="002261E1"/>
    <w:rsid w:val="00226EFB"/>
    <w:rsid w:val="00227288"/>
    <w:rsid w:val="00230101"/>
    <w:rsid w:val="0023016E"/>
    <w:rsid w:val="00230936"/>
    <w:rsid w:val="00230C70"/>
    <w:rsid w:val="00231488"/>
    <w:rsid w:val="0023179A"/>
    <w:rsid w:val="00232C54"/>
    <w:rsid w:val="002331AE"/>
    <w:rsid w:val="00233CE5"/>
    <w:rsid w:val="00234019"/>
    <w:rsid w:val="0023417D"/>
    <w:rsid w:val="0023438D"/>
    <w:rsid w:val="002348A3"/>
    <w:rsid w:val="002354DD"/>
    <w:rsid w:val="00235541"/>
    <w:rsid w:val="00235764"/>
    <w:rsid w:val="00235FC1"/>
    <w:rsid w:val="002360BD"/>
    <w:rsid w:val="002372B7"/>
    <w:rsid w:val="00237992"/>
    <w:rsid w:val="00237B91"/>
    <w:rsid w:val="00237C92"/>
    <w:rsid w:val="00237FA5"/>
    <w:rsid w:val="0024070E"/>
    <w:rsid w:val="00240E9E"/>
    <w:rsid w:val="00241D33"/>
    <w:rsid w:val="00241F09"/>
    <w:rsid w:val="00242092"/>
    <w:rsid w:val="00242D2E"/>
    <w:rsid w:val="00243615"/>
    <w:rsid w:val="00243C0F"/>
    <w:rsid w:val="00244059"/>
    <w:rsid w:val="0024424D"/>
    <w:rsid w:val="00244920"/>
    <w:rsid w:val="00244CFD"/>
    <w:rsid w:val="00244D69"/>
    <w:rsid w:val="00244D89"/>
    <w:rsid w:val="002454A6"/>
    <w:rsid w:val="002456DD"/>
    <w:rsid w:val="00245BF7"/>
    <w:rsid w:val="00246C4C"/>
    <w:rsid w:val="00247A26"/>
    <w:rsid w:val="00251C4B"/>
    <w:rsid w:val="00251C9E"/>
    <w:rsid w:val="00252EE3"/>
    <w:rsid w:val="002531D8"/>
    <w:rsid w:val="002533FD"/>
    <w:rsid w:val="002538A2"/>
    <w:rsid w:val="00253D09"/>
    <w:rsid w:val="00254293"/>
    <w:rsid w:val="002546A7"/>
    <w:rsid w:val="002550C8"/>
    <w:rsid w:val="00255998"/>
    <w:rsid w:val="00255B35"/>
    <w:rsid w:val="00255DEF"/>
    <w:rsid w:val="00256ADB"/>
    <w:rsid w:val="00256E58"/>
    <w:rsid w:val="002571DD"/>
    <w:rsid w:val="00257426"/>
    <w:rsid w:val="00257487"/>
    <w:rsid w:val="002579F2"/>
    <w:rsid w:val="00257D54"/>
    <w:rsid w:val="002600B7"/>
    <w:rsid w:val="00260E02"/>
    <w:rsid w:val="00261019"/>
    <w:rsid w:val="00261188"/>
    <w:rsid w:val="00261624"/>
    <w:rsid w:val="002616B3"/>
    <w:rsid w:val="0026296C"/>
    <w:rsid w:val="00262DFF"/>
    <w:rsid w:val="002634B1"/>
    <w:rsid w:val="0026380F"/>
    <w:rsid w:val="00263DF7"/>
    <w:rsid w:val="00263FB3"/>
    <w:rsid w:val="00264F0A"/>
    <w:rsid w:val="00264F8B"/>
    <w:rsid w:val="00265FF4"/>
    <w:rsid w:val="002661A2"/>
    <w:rsid w:val="0026647B"/>
    <w:rsid w:val="0026681B"/>
    <w:rsid w:val="00266DB1"/>
    <w:rsid w:val="002700AA"/>
    <w:rsid w:val="002711C7"/>
    <w:rsid w:val="00271231"/>
    <w:rsid w:val="0027146C"/>
    <w:rsid w:val="002715DC"/>
    <w:rsid w:val="00272F99"/>
    <w:rsid w:val="00273D8A"/>
    <w:rsid w:val="00273DB6"/>
    <w:rsid w:val="00274178"/>
    <w:rsid w:val="00274227"/>
    <w:rsid w:val="00274585"/>
    <w:rsid w:val="00274786"/>
    <w:rsid w:val="00274BF1"/>
    <w:rsid w:val="00275ABC"/>
    <w:rsid w:val="00275F20"/>
    <w:rsid w:val="002763B2"/>
    <w:rsid w:val="00276C77"/>
    <w:rsid w:val="00276E7F"/>
    <w:rsid w:val="00277C1B"/>
    <w:rsid w:val="00280C85"/>
    <w:rsid w:val="00280EB9"/>
    <w:rsid w:val="0028118E"/>
    <w:rsid w:val="0028129A"/>
    <w:rsid w:val="0028192D"/>
    <w:rsid w:val="00281A8F"/>
    <w:rsid w:val="00283B23"/>
    <w:rsid w:val="00283B71"/>
    <w:rsid w:val="00283D2E"/>
    <w:rsid w:val="00284B81"/>
    <w:rsid w:val="00284C90"/>
    <w:rsid w:val="00285286"/>
    <w:rsid w:val="00285511"/>
    <w:rsid w:val="002855A8"/>
    <w:rsid w:val="0028593C"/>
    <w:rsid w:val="002863D7"/>
    <w:rsid w:val="002865AA"/>
    <w:rsid w:val="002868D8"/>
    <w:rsid w:val="002872E7"/>
    <w:rsid w:val="00287B9B"/>
    <w:rsid w:val="0029094C"/>
    <w:rsid w:val="00290CCA"/>
    <w:rsid w:val="00291FBE"/>
    <w:rsid w:val="00292737"/>
    <w:rsid w:val="002927A1"/>
    <w:rsid w:val="00292957"/>
    <w:rsid w:val="00292A2B"/>
    <w:rsid w:val="00293708"/>
    <w:rsid w:val="00293B90"/>
    <w:rsid w:val="00293FEC"/>
    <w:rsid w:val="00294A67"/>
    <w:rsid w:val="00294C36"/>
    <w:rsid w:val="002954E4"/>
    <w:rsid w:val="002962B2"/>
    <w:rsid w:val="002965DA"/>
    <w:rsid w:val="002971FA"/>
    <w:rsid w:val="00297D30"/>
    <w:rsid w:val="002A06A4"/>
    <w:rsid w:val="002A0877"/>
    <w:rsid w:val="002A1A5B"/>
    <w:rsid w:val="002A1E73"/>
    <w:rsid w:val="002A1F41"/>
    <w:rsid w:val="002A1FB1"/>
    <w:rsid w:val="002A22A4"/>
    <w:rsid w:val="002A2B60"/>
    <w:rsid w:val="002A3021"/>
    <w:rsid w:val="002A3354"/>
    <w:rsid w:val="002A3956"/>
    <w:rsid w:val="002A3A81"/>
    <w:rsid w:val="002A3D09"/>
    <w:rsid w:val="002A4774"/>
    <w:rsid w:val="002A4E66"/>
    <w:rsid w:val="002A525C"/>
    <w:rsid w:val="002A5431"/>
    <w:rsid w:val="002A55ED"/>
    <w:rsid w:val="002A5977"/>
    <w:rsid w:val="002A60FC"/>
    <w:rsid w:val="002A634C"/>
    <w:rsid w:val="002A64A1"/>
    <w:rsid w:val="002A68FB"/>
    <w:rsid w:val="002A6D11"/>
    <w:rsid w:val="002A6D62"/>
    <w:rsid w:val="002A6E9C"/>
    <w:rsid w:val="002A6EDD"/>
    <w:rsid w:val="002A73DE"/>
    <w:rsid w:val="002B0241"/>
    <w:rsid w:val="002B05B2"/>
    <w:rsid w:val="002B07FA"/>
    <w:rsid w:val="002B09DD"/>
    <w:rsid w:val="002B15B1"/>
    <w:rsid w:val="002B15F6"/>
    <w:rsid w:val="002B165C"/>
    <w:rsid w:val="002B1B8D"/>
    <w:rsid w:val="002B3D5C"/>
    <w:rsid w:val="002B3E31"/>
    <w:rsid w:val="002B4AE8"/>
    <w:rsid w:val="002B4B41"/>
    <w:rsid w:val="002B513E"/>
    <w:rsid w:val="002B5247"/>
    <w:rsid w:val="002B6167"/>
    <w:rsid w:val="002B6657"/>
    <w:rsid w:val="002B69DF"/>
    <w:rsid w:val="002B6A62"/>
    <w:rsid w:val="002B6AD6"/>
    <w:rsid w:val="002B7B57"/>
    <w:rsid w:val="002C012E"/>
    <w:rsid w:val="002C0A46"/>
    <w:rsid w:val="002C0A99"/>
    <w:rsid w:val="002C0BE4"/>
    <w:rsid w:val="002C1412"/>
    <w:rsid w:val="002C1ECE"/>
    <w:rsid w:val="002C22BA"/>
    <w:rsid w:val="002C36E0"/>
    <w:rsid w:val="002C373E"/>
    <w:rsid w:val="002C3755"/>
    <w:rsid w:val="002C3D16"/>
    <w:rsid w:val="002C3D7D"/>
    <w:rsid w:val="002C3FAA"/>
    <w:rsid w:val="002C4192"/>
    <w:rsid w:val="002C43A2"/>
    <w:rsid w:val="002C4A37"/>
    <w:rsid w:val="002C5A14"/>
    <w:rsid w:val="002C6095"/>
    <w:rsid w:val="002C7803"/>
    <w:rsid w:val="002C7B14"/>
    <w:rsid w:val="002D004D"/>
    <w:rsid w:val="002D014E"/>
    <w:rsid w:val="002D1BAC"/>
    <w:rsid w:val="002D1F5F"/>
    <w:rsid w:val="002D288A"/>
    <w:rsid w:val="002D332B"/>
    <w:rsid w:val="002D3462"/>
    <w:rsid w:val="002D37BC"/>
    <w:rsid w:val="002D399E"/>
    <w:rsid w:val="002D39F7"/>
    <w:rsid w:val="002D3FB6"/>
    <w:rsid w:val="002D406A"/>
    <w:rsid w:val="002D410E"/>
    <w:rsid w:val="002D453F"/>
    <w:rsid w:val="002D4D45"/>
    <w:rsid w:val="002D5777"/>
    <w:rsid w:val="002D5C65"/>
    <w:rsid w:val="002D6E49"/>
    <w:rsid w:val="002D7387"/>
    <w:rsid w:val="002D7502"/>
    <w:rsid w:val="002D7EC7"/>
    <w:rsid w:val="002E0790"/>
    <w:rsid w:val="002E07C3"/>
    <w:rsid w:val="002E093C"/>
    <w:rsid w:val="002E0A62"/>
    <w:rsid w:val="002E0DD3"/>
    <w:rsid w:val="002E1392"/>
    <w:rsid w:val="002E1A09"/>
    <w:rsid w:val="002E1C38"/>
    <w:rsid w:val="002E1F65"/>
    <w:rsid w:val="002E26E7"/>
    <w:rsid w:val="002E35C2"/>
    <w:rsid w:val="002E383E"/>
    <w:rsid w:val="002E3A8E"/>
    <w:rsid w:val="002E4B27"/>
    <w:rsid w:val="002E54FE"/>
    <w:rsid w:val="002E5EC7"/>
    <w:rsid w:val="002E5F8A"/>
    <w:rsid w:val="002E74F3"/>
    <w:rsid w:val="002F0D24"/>
    <w:rsid w:val="002F0E18"/>
    <w:rsid w:val="002F1E3F"/>
    <w:rsid w:val="002F239A"/>
    <w:rsid w:val="002F259E"/>
    <w:rsid w:val="002F2796"/>
    <w:rsid w:val="002F42E1"/>
    <w:rsid w:val="002F43ED"/>
    <w:rsid w:val="002F446E"/>
    <w:rsid w:val="002F5171"/>
    <w:rsid w:val="002F5B8F"/>
    <w:rsid w:val="002F5DC1"/>
    <w:rsid w:val="002F5DF7"/>
    <w:rsid w:val="002F68F2"/>
    <w:rsid w:val="002F69A8"/>
    <w:rsid w:val="002F7AB1"/>
    <w:rsid w:val="002F7CA8"/>
    <w:rsid w:val="002F7EF5"/>
    <w:rsid w:val="003004D0"/>
    <w:rsid w:val="003008E0"/>
    <w:rsid w:val="00300BCD"/>
    <w:rsid w:val="0030171F"/>
    <w:rsid w:val="00301B39"/>
    <w:rsid w:val="00301C2C"/>
    <w:rsid w:val="00301DA6"/>
    <w:rsid w:val="00302D41"/>
    <w:rsid w:val="0030376A"/>
    <w:rsid w:val="00303C88"/>
    <w:rsid w:val="00303E1D"/>
    <w:rsid w:val="003041D5"/>
    <w:rsid w:val="00304200"/>
    <w:rsid w:val="00304246"/>
    <w:rsid w:val="00304A02"/>
    <w:rsid w:val="00304D4A"/>
    <w:rsid w:val="00304DB2"/>
    <w:rsid w:val="00305238"/>
    <w:rsid w:val="003058EB"/>
    <w:rsid w:val="00305930"/>
    <w:rsid w:val="00305B56"/>
    <w:rsid w:val="0030635C"/>
    <w:rsid w:val="00306E96"/>
    <w:rsid w:val="0030711A"/>
    <w:rsid w:val="00307252"/>
    <w:rsid w:val="0030736B"/>
    <w:rsid w:val="003078AB"/>
    <w:rsid w:val="0030799D"/>
    <w:rsid w:val="00310FED"/>
    <w:rsid w:val="00311464"/>
    <w:rsid w:val="003121E1"/>
    <w:rsid w:val="0031240F"/>
    <w:rsid w:val="0031247B"/>
    <w:rsid w:val="003125DB"/>
    <w:rsid w:val="00312D35"/>
    <w:rsid w:val="003138A9"/>
    <w:rsid w:val="003139B5"/>
    <w:rsid w:val="00314659"/>
    <w:rsid w:val="00314BAC"/>
    <w:rsid w:val="003152C2"/>
    <w:rsid w:val="003157B5"/>
    <w:rsid w:val="00315E89"/>
    <w:rsid w:val="00315F5F"/>
    <w:rsid w:val="00315FB3"/>
    <w:rsid w:val="00316138"/>
    <w:rsid w:val="0031655B"/>
    <w:rsid w:val="00316A27"/>
    <w:rsid w:val="003176D7"/>
    <w:rsid w:val="00317DC3"/>
    <w:rsid w:val="00320032"/>
    <w:rsid w:val="00320615"/>
    <w:rsid w:val="00320897"/>
    <w:rsid w:val="00320F45"/>
    <w:rsid w:val="00321C3B"/>
    <w:rsid w:val="00322587"/>
    <w:rsid w:val="00322B68"/>
    <w:rsid w:val="00322E5C"/>
    <w:rsid w:val="003237A3"/>
    <w:rsid w:val="003237E5"/>
    <w:rsid w:val="00323B11"/>
    <w:rsid w:val="00323C5D"/>
    <w:rsid w:val="0032461D"/>
    <w:rsid w:val="00324BF7"/>
    <w:rsid w:val="00324C2C"/>
    <w:rsid w:val="00324C5E"/>
    <w:rsid w:val="00324F0B"/>
    <w:rsid w:val="003253B6"/>
    <w:rsid w:val="0032595C"/>
    <w:rsid w:val="00325F27"/>
    <w:rsid w:val="003262AA"/>
    <w:rsid w:val="00326393"/>
    <w:rsid w:val="0032740F"/>
    <w:rsid w:val="003307B7"/>
    <w:rsid w:val="00330BD1"/>
    <w:rsid w:val="0033127E"/>
    <w:rsid w:val="00331747"/>
    <w:rsid w:val="00331FE3"/>
    <w:rsid w:val="00332DA2"/>
    <w:rsid w:val="00333219"/>
    <w:rsid w:val="00333501"/>
    <w:rsid w:val="00333B9E"/>
    <w:rsid w:val="00333CE4"/>
    <w:rsid w:val="0033472B"/>
    <w:rsid w:val="003347D9"/>
    <w:rsid w:val="00334B7F"/>
    <w:rsid w:val="00334BDE"/>
    <w:rsid w:val="00334E9F"/>
    <w:rsid w:val="00335057"/>
    <w:rsid w:val="00335797"/>
    <w:rsid w:val="00336A5D"/>
    <w:rsid w:val="00336E67"/>
    <w:rsid w:val="00337CE5"/>
    <w:rsid w:val="003410F7"/>
    <w:rsid w:val="00341223"/>
    <w:rsid w:val="00341D7B"/>
    <w:rsid w:val="00342495"/>
    <w:rsid w:val="00342E0B"/>
    <w:rsid w:val="00343205"/>
    <w:rsid w:val="00343793"/>
    <w:rsid w:val="00343804"/>
    <w:rsid w:val="00343A03"/>
    <w:rsid w:val="00343B40"/>
    <w:rsid w:val="0034486E"/>
    <w:rsid w:val="00344D65"/>
    <w:rsid w:val="00344F51"/>
    <w:rsid w:val="00345E44"/>
    <w:rsid w:val="003463CE"/>
    <w:rsid w:val="003464D9"/>
    <w:rsid w:val="00346B76"/>
    <w:rsid w:val="00347210"/>
    <w:rsid w:val="00347AE3"/>
    <w:rsid w:val="003500A5"/>
    <w:rsid w:val="00350AB2"/>
    <w:rsid w:val="00351173"/>
    <w:rsid w:val="00351CAE"/>
    <w:rsid w:val="00353260"/>
    <w:rsid w:val="0035358E"/>
    <w:rsid w:val="00353782"/>
    <w:rsid w:val="003537BD"/>
    <w:rsid w:val="00353B2E"/>
    <w:rsid w:val="0035408B"/>
    <w:rsid w:val="00354252"/>
    <w:rsid w:val="003543E3"/>
    <w:rsid w:val="00354589"/>
    <w:rsid w:val="00354C9E"/>
    <w:rsid w:val="0035510B"/>
    <w:rsid w:val="00356180"/>
    <w:rsid w:val="00356A4C"/>
    <w:rsid w:val="00357223"/>
    <w:rsid w:val="003575D8"/>
    <w:rsid w:val="00357680"/>
    <w:rsid w:val="003605D5"/>
    <w:rsid w:val="00360F95"/>
    <w:rsid w:val="0036123C"/>
    <w:rsid w:val="0036160F"/>
    <w:rsid w:val="00361EC0"/>
    <w:rsid w:val="00361F76"/>
    <w:rsid w:val="00362821"/>
    <w:rsid w:val="00362873"/>
    <w:rsid w:val="003628B7"/>
    <w:rsid w:val="003634B9"/>
    <w:rsid w:val="0036383E"/>
    <w:rsid w:val="003638C5"/>
    <w:rsid w:val="00363AB3"/>
    <w:rsid w:val="00364266"/>
    <w:rsid w:val="003647AA"/>
    <w:rsid w:val="003651D2"/>
    <w:rsid w:val="003654F1"/>
    <w:rsid w:val="00365AA1"/>
    <w:rsid w:val="00365DDA"/>
    <w:rsid w:val="003664B4"/>
    <w:rsid w:val="003669C0"/>
    <w:rsid w:val="00366EC4"/>
    <w:rsid w:val="00367600"/>
    <w:rsid w:val="003677CF"/>
    <w:rsid w:val="00370901"/>
    <w:rsid w:val="00370A82"/>
    <w:rsid w:val="00370AC4"/>
    <w:rsid w:val="00370EDF"/>
    <w:rsid w:val="00371052"/>
    <w:rsid w:val="00371502"/>
    <w:rsid w:val="00371E1D"/>
    <w:rsid w:val="00371F4C"/>
    <w:rsid w:val="003726D2"/>
    <w:rsid w:val="00372B80"/>
    <w:rsid w:val="00373252"/>
    <w:rsid w:val="00373446"/>
    <w:rsid w:val="003734EA"/>
    <w:rsid w:val="003735D6"/>
    <w:rsid w:val="003744D1"/>
    <w:rsid w:val="00374EBD"/>
    <w:rsid w:val="003752C2"/>
    <w:rsid w:val="00375423"/>
    <w:rsid w:val="00375C03"/>
    <w:rsid w:val="00375E3B"/>
    <w:rsid w:val="00376F82"/>
    <w:rsid w:val="00377265"/>
    <w:rsid w:val="003775C4"/>
    <w:rsid w:val="00380300"/>
    <w:rsid w:val="00380380"/>
    <w:rsid w:val="00380BB7"/>
    <w:rsid w:val="00380F07"/>
    <w:rsid w:val="0038112C"/>
    <w:rsid w:val="00382D15"/>
    <w:rsid w:val="00383941"/>
    <w:rsid w:val="003846E8"/>
    <w:rsid w:val="00384B2C"/>
    <w:rsid w:val="00384BE4"/>
    <w:rsid w:val="00384C12"/>
    <w:rsid w:val="00384C6A"/>
    <w:rsid w:val="00384CA7"/>
    <w:rsid w:val="003859C0"/>
    <w:rsid w:val="00385AC7"/>
    <w:rsid w:val="00385C8C"/>
    <w:rsid w:val="003869B3"/>
    <w:rsid w:val="00386DA8"/>
    <w:rsid w:val="00386FF3"/>
    <w:rsid w:val="0038714B"/>
    <w:rsid w:val="0038716E"/>
    <w:rsid w:val="003875BC"/>
    <w:rsid w:val="0039001A"/>
    <w:rsid w:val="0039066F"/>
    <w:rsid w:val="0039118A"/>
    <w:rsid w:val="003913B9"/>
    <w:rsid w:val="0039174F"/>
    <w:rsid w:val="0039189B"/>
    <w:rsid w:val="00391C9B"/>
    <w:rsid w:val="00391D12"/>
    <w:rsid w:val="00391FBA"/>
    <w:rsid w:val="0039212D"/>
    <w:rsid w:val="003925CC"/>
    <w:rsid w:val="00392AF8"/>
    <w:rsid w:val="00392C38"/>
    <w:rsid w:val="003930CD"/>
    <w:rsid w:val="003931DA"/>
    <w:rsid w:val="00393634"/>
    <w:rsid w:val="003936B3"/>
    <w:rsid w:val="0039395E"/>
    <w:rsid w:val="0039435C"/>
    <w:rsid w:val="003945C1"/>
    <w:rsid w:val="0039479A"/>
    <w:rsid w:val="00394E45"/>
    <w:rsid w:val="00394E74"/>
    <w:rsid w:val="00394F1B"/>
    <w:rsid w:val="0039531E"/>
    <w:rsid w:val="0039565D"/>
    <w:rsid w:val="0039629B"/>
    <w:rsid w:val="00396A46"/>
    <w:rsid w:val="00396FA6"/>
    <w:rsid w:val="00397636"/>
    <w:rsid w:val="0039774B"/>
    <w:rsid w:val="00397831"/>
    <w:rsid w:val="00397CAF"/>
    <w:rsid w:val="003A0A34"/>
    <w:rsid w:val="003A0D3F"/>
    <w:rsid w:val="003A1E2E"/>
    <w:rsid w:val="003A1E44"/>
    <w:rsid w:val="003A35C4"/>
    <w:rsid w:val="003A3EAE"/>
    <w:rsid w:val="003A49AA"/>
    <w:rsid w:val="003A5B89"/>
    <w:rsid w:val="003A5C07"/>
    <w:rsid w:val="003A64F6"/>
    <w:rsid w:val="003A71F5"/>
    <w:rsid w:val="003A72C2"/>
    <w:rsid w:val="003A7588"/>
    <w:rsid w:val="003A769D"/>
    <w:rsid w:val="003A7D2D"/>
    <w:rsid w:val="003B0044"/>
    <w:rsid w:val="003B1281"/>
    <w:rsid w:val="003B12CE"/>
    <w:rsid w:val="003B1A28"/>
    <w:rsid w:val="003B2319"/>
    <w:rsid w:val="003B2AC5"/>
    <w:rsid w:val="003B2B8B"/>
    <w:rsid w:val="003B357D"/>
    <w:rsid w:val="003B47B7"/>
    <w:rsid w:val="003B4BD6"/>
    <w:rsid w:val="003B4D96"/>
    <w:rsid w:val="003B53C5"/>
    <w:rsid w:val="003B5496"/>
    <w:rsid w:val="003B58DB"/>
    <w:rsid w:val="003B5942"/>
    <w:rsid w:val="003B5989"/>
    <w:rsid w:val="003B6351"/>
    <w:rsid w:val="003B6372"/>
    <w:rsid w:val="003B64B9"/>
    <w:rsid w:val="003B65E4"/>
    <w:rsid w:val="003B7014"/>
    <w:rsid w:val="003B7C4C"/>
    <w:rsid w:val="003C034E"/>
    <w:rsid w:val="003C0FBE"/>
    <w:rsid w:val="003C1095"/>
    <w:rsid w:val="003C118A"/>
    <w:rsid w:val="003C1B55"/>
    <w:rsid w:val="003C2BD7"/>
    <w:rsid w:val="003C37A4"/>
    <w:rsid w:val="003C3E54"/>
    <w:rsid w:val="003C481F"/>
    <w:rsid w:val="003C4BE9"/>
    <w:rsid w:val="003C510B"/>
    <w:rsid w:val="003C5A41"/>
    <w:rsid w:val="003C667E"/>
    <w:rsid w:val="003C6998"/>
    <w:rsid w:val="003C6ED1"/>
    <w:rsid w:val="003C788C"/>
    <w:rsid w:val="003D015A"/>
    <w:rsid w:val="003D01AA"/>
    <w:rsid w:val="003D0BD8"/>
    <w:rsid w:val="003D1486"/>
    <w:rsid w:val="003D1B6B"/>
    <w:rsid w:val="003D1BCB"/>
    <w:rsid w:val="003D1CB1"/>
    <w:rsid w:val="003D21BA"/>
    <w:rsid w:val="003D236C"/>
    <w:rsid w:val="003D289E"/>
    <w:rsid w:val="003D33D0"/>
    <w:rsid w:val="003D3519"/>
    <w:rsid w:val="003D3805"/>
    <w:rsid w:val="003D3C7C"/>
    <w:rsid w:val="003D4148"/>
    <w:rsid w:val="003D4AD2"/>
    <w:rsid w:val="003D4D5C"/>
    <w:rsid w:val="003D4D79"/>
    <w:rsid w:val="003D4FB1"/>
    <w:rsid w:val="003D54FF"/>
    <w:rsid w:val="003D5B04"/>
    <w:rsid w:val="003D607A"/>
    <w:rsid w:val="003D63C2"/>
    <w:rsid w:val="003D6820"/>
    <w:rsid w:val="003D71B4"/>
    <w:rsid w:val="003D7DA7"/>
    <w:rsid w:val="003E0138"/>
    <w:rsid w:val="003E032F"/>
    <w:rsid w:val="003E0F77"/>
    <w:rsid w:val="003E11DB"/>
    <w:rsid w:val="003E153D"/>
    <w:rsid w:val="003E15F8"/>
    <w:rsid w:val="003E1AD7"/>
    <w:rsid w:val="003E1B05"/>
    <w:rsid w:val="003E1CEC"/>
    <w:rsid w:val="003E1E3C"/>
    <w:rsid w:val="003E2B27"/>
    <w:rsid w:val="003E3936"/>
    <w:rsid w:val="003E3D4D"/>
    <w:rsid w:val="003E41CF"/>
    <w:rsid w:val="003E4771"/>
    <w:rsid w:val="003E499E"/>
    <w:rsid w:val="003E50A9"/>
    <w:rsid w:val="003E7262"/>
    <w:rsid w:val="003E77EA"/>
    <w:rsid w:val="003F0205"/>
    <w:rsid w:val="003F02B9"/>
    <w:rsid w:val="003F0312"/>
    <w:rsid w:val="003F0D15"/>
    <w:rsid w:val="003F113E"/>
    <w:rsid w:val="003F1A37"/>
    <w:rsid w:val="003F1F02"/>
    <w:rsid w:val="003F20C1"/>
    <w:rsid w:val="003F287D"/>
    <w:rsid w:val="003F2C9C"/>
    <w:rsid w:val="003F3EAE"/>
    <w:rsid w:val="003F505C"/>
    <w:rsid w:val="003F514E"/>
    <w:rsid w:val="003F5DA1"/>
    <w:rsid w:val="003F66D3"/>
    <w:rsid w:val="003F6B67"/>
    <w:rsid w:val="003F70C8"/>
    <w:rsid w:val="003F73FD"/>
    <w:rsid w:val="003F7803"/>
    <w:rsid w:val="003F7F5A"/>
    <w:rsid w:val="003F7F7B"/>
    <w:rsid w:val="00400439"/>
    <w:rsid w:val="00401EAC"/>
    <w:rsid w:val="00402C9C"/>
    <w:rsid w:val="00402F95"/>
    <w:rsid w:val="00403498"/>
    <w:rsid w:val="004039F3"/>
    <w:rsid w:val="00403A02"/>
    <w:rsid w:val="0040468A"/>
    <w:rsid w:val="00405A9A"/>
    <w:rsid w:val="00406333"/>
    <w:rsid w:val="004065DF"/>
    <w:rsid w:val="00406627"/>
    <w:rsid w:val="004066F9"/>
    <w:rsid w:val="00406C44"/>
    <w:rsid w:val="00407164"/>
    <w:rsid w:val="004074DF"/>
    <w:rsid w:val="004075C9"/>
    <w:rsid w:val="00410168"/>
    <w:rsid w:val="00410A60"/>
    <w:rsid w:val="00410BE5"/>
    <w:rsid w:val="00411039"/>
    <w:rsid w:val="00411DD9"/>
    <w:rsid w:val="004124A6"/>
    <w:rsid w:val="00412552"/>
    <w:rsid w:val="00412D8D"/>
    <w:rsid w:val="004130F0"/>
    <w:rsid w:val="00413688"/>
    <w:rsid w:val="00413AD8"/>
    <w:rsid w:val="00415B46"/>
    <w:rsid w:val="00416BF8"/>
    <w:rsid w:val="004173F5"/>
    <w:rsid w:val="00417542"/>
    <w:rsid w:val="00417557"/>
    <w:rsid w:val="00417A6F"/>
    <w:rsid w:val="00417CD8"/>
    <w:rsid w:val="00417E9D"/>
    <w:rsid w:val="0042075F"/>
    <w:rsid w:val="0042147D"/>
    <w:rsid w:val="00421C03"/>
    <w:rsid w:val="004226C0"/>
    <w:rsid w:val="0042364B"/>
    <w:rsid w:val="00423974"/>
    <w:rsid w:val="00423985"/>
    <w:rsid w:val="004248FA"/>
    <w:rsid w:val="00424B05"/>
    <w:rsid w:val="00425577"/>
    <w:rsid w:val="00425581"/>
    <w:rsid w:val="00425B71"/>
    <w:rsid w:val="00426112"/>
    <w:rsid w:val="004263ED"/>
    <w:rsid w:val="004267BD"/>
    <w:rsid w:val="00426957"/>
    <w:rsid w:val="00427347"/>
    <w:rsid w:val="00427CC1"/>
    <w:rsid w:val="004303D4"/>
    <w:rsid w:val="00430426"/>
    <w:rsid w:val="0043083E"/>
    <w:rsid w:val="00430AD4"/>
    <w:rsid w:val="00431831"/>
    <w:rsid w:val="004321A1"/>
    <w:rsid w:val="00432D36"/>
    <w:rsid w:val="00433690"/>
    <w:rsid w:val="004337DA"/>
    <w:rsid w:val="00434A0B"/>
    <w:rsid w:val="00434B45"/>
    <w:rsid w:val="00434D73"/>
    <w:rsid w:val="00434D81"/>
    <w:rsid w:val="00435085"/>
    <w:rsid w:val="004353A6"/>
    <w:rsid w:val="0043606C"/>
    <w:rsid w:val="00436356"/>
    <w:rsid w:val="00436E95"/>
    <w:rsid w:val="00437689"/>
    <w:rsid w:val="00437BC8"/>
    <w:rsid w:val="00437DED"/>
    <w:rsid w:val="0044003A"/>
    <w:rsid w:val="00440630"/>
    <w:rsid w:val="0044085D"/>
    <w:rsid w:val="00440D31"/>
    <w:rsid w:val="00440E77"/>
    <w:rsid w:val="00440E92"/>
    <w:rsid w:val="00440EC0"/>
    <w:rsid w:val="00442114"/>
    <w:rsid w:val="004430A8"/>
    <w:rsid w:val="00443403"/>
    <w:rsid w:val="00443449"/>
    <w:rsid w:val="0044383B"/>
    <w:rsid w:val="00443914"/>
    <w:rsid w:val="00443A10"/>
    <w:rsid w:val="00443A6A"/>
    <w:rsid w:val="00443AE1"/>
    <w:rsid w:val="0044412F"/>
    <w:rsid w:val="00444390"/>
    <w:rsid w:val="004446F3"/>
    <w:rsid w:val="00444BB5"/>
    <w:rsid w:val="00445A08"/>
    <w:rsid w:val="004461B5"/>
    <w:rsid w:val="0044658F"/>
    <w:rsid w:val="00446A85"/>
    <w:rsid w:val="00446B4A"/>
    <w:rsid w:val="00446BE3"/>
    <w:rsid w:val="00446DD3"/>
    <w:rsid w:val="00447271"/>
    <w:rsid w:val="004479C6"/>
    <w:rsid w:val="00447BC1"/>
    <w:rsid w:val="004501B2"/>
    <w:rsid w:val="00450347"/>
    <w:rsid w:val="00450415"/>
    <w:rsid w:val="0045070C"/>
    <w:rsid w:val="004509C4"/>
    <w:rsid w:val="00450A85"/>
    <w:rsid w:val="00450E0F"/>
    <w:rsid w:val="004511F8"/>
    <w:rsid w:val="00451299"/>
    <w:rsid w:val="004521A9"/>
    <w:rsid w:val="0045251E"/>
    <w:rsid w:val="00452A3B"/>
    <w:rsid w:val="00452A8E"/>
    <w:rsid w:val="00452DE1"/>
    <w:rsid w:val="00452FAB"/>
    <w:rsid w:val="00453389"/>
    <w:rsid w:val="004538FD"/>
    <w:rsid w:val="00453A3B"/>
    <w:rsid w:val="00453D64"/>
    <w:rsid w:val="00453DC1"/>
    <w:rsid w:val="00453EB1"/>
    <w:rsid w:val="00454A74"/>
    <w:rsid w:val="00454E1A"/>
    <w:rsid w:val="00455162"/>
    <w:rsid w:val="00455C52"/>
    <w:rsid w:val="004569DF"/>
    <w:rsid w:val="00456E70"/>
    <w:rsid w:val="0045710B"/>
    <w:rsid w:val="00457509"/>
    <w:rsid w:val="00460958"/>
    <w:rsid w:val="00460C31"/>
    <w:rsid w:val="0046107D"/>
    <w:rsid w:val="00461A08"/>
    <w:rsid w:val="0046296C"/>
    <w:rsid w:val="00462A59"/>
    <w:rsid w:val="00462B72"/>
    <w:rsid w:val="00462C66"/>
    <w:rsid w:val="004637F3"/>
    <w:rsid w:val="00463CB3"/>
    <w:rsid w:val="00463F1E"/>
    <w:rsid w:val="004657BB"/>
    <w:rsid w:val="004664EA"/>
    <w:rsid w:val="00466B6C"/>
    <w:rsid w:val="00466C95"/>
    <w:rsid w:val="004670E0"/>
    <w:rsid w:val="0046748B"/>
    <w:rsid w:val="00470365"/>
    <w:rsid w:val="004705AA"/>
    <w:rsid w:val="004705EC"/>
    <w:rsid w:val="004706E0"/>
    <w:rsid w:val="004713E8"/>
    <w:rsid w:val="0047218C"/>
    <w:rsid w:val="004721EB"/>
    <w:rsid w:val="00473B1E"/>
    <w:rsid w:val="00473C9A"/>
    <w:rsid w:val="00474233"/>
    <w:rsid w:val="00474265"/>
    <w:rsid w:val="004743E8"/>
    <w:rsid w:val="004746E0"/>
    <w:rsid w:val="00480292"/>
    <w:rsid w:val="00480612"/>
    <w:rsid w:val="00480B91"/>
    <w:rsid w:val="00480E82"/>
    <w:rsid w:val="00480F2D"/>
    <w:rsid w:val="004811C1"/>
    <w:rsid w:val="00481ADF"/>
    <w:rsid w:val="00481C10"/>
    <w:rsid w:val="00481E71"/>
    <w:rsid w:val="00482A46"/>
    <w:rsid w:val="00483114"/>
    <w:rsid w:val="00483243"/>
    <w:rsid w:val="00483704"/>
    <w:rsid w:val="004838E8"/>
    <w:rsid w:val="00483BFD"/>
    <w:rsid w:val="0048431B"/>
    <w:rsid w:val="00484387"/>
    <w:rsid w:val="00484E79"/>
    <w:rsid w:val="00485113"/>
    <w:rsid w:val="0048534E"/>
    <w:rsid w:val="00485656"/>
    <w:rsid w:val="004861FB"/>
    <w:rsid w:val="004872F5"/>
    <w:rsid w:val="00487503"/>
    <w:rsid w:val="00487CAA"/>
    <w:rsid w:val="0049013D"/>
    <w:rsid w:val="0049018D"/>
    <w:rsid w:val="004901F5"/>
    <w:rsid w:val="00490653"/>
    <w:rsid w:val="0049120A"/>
    <w:rsid w:val="00492418"/>
    <w:rsid w:val="00492828"/>
    <w:rsid w:val="00493004"/>
    <w:rsid w:val="0049325B"/>
    <w:rsid w:val="00493632"/>
    <w:rsid w:val="00494845"/>
    <w:rsid w:val="004953A7"/>
    <w:rsid w:val="00495432"/>
    <w:rsid w:val="00495BAD"/>
    <w:rsid w:val="00495DDA"/>
    <w:rsid w:val="00496BF6"/>
    <w:rsid w:val="004973E5"/>
    <w:rsid w:val="00497945"/>
    <w:rsid w:val="00497B28"/>
    <w:rsid w:val="004A0390"/>
    <w:rsid w:val="004A0717"/>
    <w:rsid w:val="004A0720"/>
    <w:rsid w:val="004A0845"/>
    <w:rsid w:val="004A0A0A"/>
    <w:rsid w:val="004A0E0B"/>
    <w:rsid w:val="004A1C84"/>
    <w:rsid w:val="004A1E54"/>
    <w:rsid w:val="004A241C"/>
    <w:rsid w:val="004A2815"/>
    <w:rsid w:val="004A2AF7"/>
    <w:rsid w:val="004A3076"/>
    <w:rsid w:val="004A3104"/>
    <w:rsid w:val="004A3310"/>
    <w:rsid w:val="004A343E"/>
    <w:rsid w:val="004A3579"/>
    <w:rsid w:val="004A3809"/>
    <w:rsid w:val="004A38A9"/>
    <w:rsid w:val="004A39F6"/>
    <w:rsid w:val="004A3CD9"/>
    <w:rsid w:val="004A3F40"/>
    <w:rsid w:val="004A442B"/>
    <w:rsid w:val="004A449C"/>
    <w:rsid w:val="004A45FB"/>
    <w:rsid w:val="004A4728"/>
    <w:rsid w:val="004A4C32"/>
    <w:rsid w:val="004A515F"/>
    <w:rsid w:val="004A69FA"/>
    <w:rsid w:val="004A6C79"/>
    <w:rsid w:val="004A74B1"/>
    <w:rsid w:val="004A7707"/>
    <w:rsid w:val="004B15B3"/>
    <w:rsid w:val="004B276D"/>
    <w:rsid w:val="004B2BE8"/>
    <w:rsid w:val="004B2C08"/>
    <w:rsid w:val="004B37FF"/>
    <w:rsid w:val="004B3FF7"/>
    <w:rsid w:val="004B457E"/>
    <w:rsid w:val="004B463F"/>
    <w:rsid w:val="004B490D"/>
    <w:rsid w:val="004B4C6B"/>
    <w:rsid w:val="004B4D2E"/>
    <w:rsid w:val="004B53B4"/>
    <w:rsid w:val="004B568C"/>
    <w:rsid w:val="004B662B"/>
    <w:rsid w:val="004B68C1"/>
    <w:rsid w:val="004B6AC8"/>
    <w:rsid w:val="004B6DA9"/>
    <w:rsid w:val="004B72C6"/>
    <w:rsid w:val="004B769D"/>
    <w:rsid w:val="004B77E5"/>
    <w:rsid w:val="004B7927"/>
    <w:rsid w:val="004C00D8"/>
    <w:rsid w:val="004C0118"/>
    <w:rsid w:val="004C0C84"/>
    <w:rsid w:val="004C176A"/>
    <w:rsid w:val="004C17B5"/>
    <w:rsid w:val="004C21B3"/>
    <w:rsid w:val="004C25A2"/>
    <w:rsid w:val="004C3529"/>
    <w:rsid w:val="004C459A"/>
    <w:rsid w:val="004C46EB"/>
    <w:rsid w:val="004C4B90"/>
    <w:rsid w:val="004C4E67"/>
    <w:rsid w:val="004C53C9"/>
    <w:rsid w:val="004C54C3"/>
    <w:rsid w:val="004C5B20"/>
    <w:rsid w:val="004C6AFF"/>
    <w:rsid w:val="004C6E47"/>
    <w:rsid w:val="004C6FA0"/>
    <w:rsid w:val="004C7752"/>
    <w:rsid w:val="004C7A41"/>
    <w:rsid w:val="004C7DAF"/>
    <w:rsid w:val="004C7F42"/>
    <w:rsid w:val="004D058E"/>
    <w:rsid w:val="004D0F0D"/>
    <w:rsid w:val="004D1621"/>
    <w:rsid w:val="004D1868"/>
    <w:rsid w:val="004D1D53"/>
    <w:rsid w:val="004D2397"/>
    <w:rsid w:val="004D256F"/>
    <w:rsid w:val="004D273D"/>
    <w:rsid w:val="004D2A47"/>
    <w:rsid w:val="004D3EAE"/>
    <w:rsid w:val="004D410A"/>
    <w:rsid w:val="004D41A8"/>
    <w:rsid w:val="004D4333"/>
    <w:rsid w:val="004D43FE"/>
    <w:rsid w:val="004D48DB"/>
    <w:rsid w:val="004D490C"/>
    <w:rsid w:val="004D56B9"/>
    <w:rsid w:val="004D5A8A"/>
    <w:rsid w:val="004D6D2A"/>
    <w:rsid w:val="004D70B2"/>
    <w:rsid w:val="004D70DE"/>
    <w:rsid w:val="004D745B"/>
    <w:rsid w:val="004E06BE"/>
    <w:rsid w:val="004E0899"/>
    <w:rsid w:val="004E0BB3"/>
    <w:rsid w:val="004E0DBA"/>
    <w:rsid w:val="004E1142"/>
    <w:rsid w:val="004E136B"/>
    <w:rsid w:val="004E1FEC"/>
    <w:rsid w:val="004E2691"/>
    <w:rsid w:val="004E3B64"/>
    <w:rsid w:val="004E4624"/>
    <w:rsid w:val="004E4AA5"/>
    <w:rsid w:val="004E4D2A"/>
    <w:rsid w:val="004E50E7"/>
    <w:rsid w:val="004E514E"/>
    <w:rsid w:val="004E52B8"/>
    <w:rsid w:val="004E5575"/>
    <w:rsid w:val="004E60A7"/>
    <w:rsid w:val="004E6F10"/>
    <w:rsid w:val="004E7129"/>
    <w:rsid w:val="004E73EE"/>
    <w:rsid w:val="004E755C"/>
    <w:rsid w:val="004E7623"/>
    <w:rsid w:val="004E7795"/>
    <w:rsid w:val="004E77EB"/>
    <w:rsid w:val="004E7ADD"/>
    <w:rsid w:val="004F02B9"/>
    <w:rsid w:val="004F03F0"/>
    <w:rsid w:val="004F083C"/>
    <w:rsid w:val="004F0B2B"/>
    <w:rsid w:val="004F16B9"/>
    <w:rsid w:val="004F1F6C"/>
    <w:rsid w:val="004F285B"/>
    <w:rsid w:val="004F31FC"/>
    <w:rsid w:val="004F36CA"/>
    <w:rsid w:val="004F3939"/>
    <w:rsid w:val="004F3993"/>
    <w:rsid w:val="004F3A2F"/>
    <w:rsid w:val="004F3E4B"/>
    <w:rsid w:val="004F41B2"/>
    <w:rsid w:val="004F442D"/>
    <w:rsid w:val="004F4922"/>
    <w:rsid w:val="004F4956"/>
    <w:rsid w:val="004F54D5"/>
    <w:rsid w:val="004F5654"/>
    <w:rsid w:val="004F5BB0"/>
    <w:rsid w:val="004F5ECD"/>
    <w:rsid w:val="004F628C"/>
    <w:rsid w:val="004F6B00"/>
    <w:rsid w:val="004F6C1A"/>
    <w:rsid w:val="004F6CF8"/>
    <w:rsid w:val="004F7470"/>
    <w:rsid w:val="004F7F96"/>
    <w:rsid w:val="005000DF"/>
    <w:rsid w:val="00500495"/>
    <w:rsid w:val="00500A4B"/>
    <w:rsid w:val="00500F3E"/>
    <w:rsid w:val="00501D6D"/>
    <w:rsid w:val="005022E9"/>
    <w:rsid w:val="00502764"/>
    <w:rsid w:val="005029BE"/>
    <w:rsid w:val="00502CB5"/>
    <w:rsid w:val="005038AF"/>
    <w:rsid w:val="00503932"/>
    <w:rsid w:val="00503D02"/>
    <w:rsid w:val="00504131"/>
    <w:rsid w:val="005044E5"/>
    <w:rsid w:val="0050600F"/>
    <w:rsid w:val="005065F9"/>
    <w:rsid w:val="005105A7"/>
    <w:rsid w:val="005108DA"/>
    <w:rsid w:val="00510B0C"/>
    <w:rsid w:val="00510CED"/>
    <w:rsid w:val="00510D11"/>
    <w:rsid w:val="00511222"/>
    <w:rsid w:val="00512060"/>
    <w:rsid w:val="005121EE"/>
    <w:rsid w:val="00512473"/>
    <w:rsid w:val="005125B2"/>
    <w:rsid w:val="00512957"/>
    <w:rsid w:val="00512F7F"/>
    <w:rsid w:val="00513031"/>
    <w:rsid w:val="00513210"/>
    <w:rsid w:val="005137C6"/>
    <w:rsid w:val="00514295"/>
    <w:rsid w:val="00516930"/>
    <w:rsid w:val="00517886"/>
    <w:rsid w:val="005178A8"/>
    <w:rsid w:val="0051797A"/>
    <w:rsid w:val="005179B0"/>
    <w:rsid w:val="00517B5F"/>
    <w:rsid w:val="00517F09"/>
    <w:rsid w:val="00520C05"/>
    <w:rsid w:val="00521173"/>
    <w:rsid w:val="0052127D"/>
    <w:rsid w:val="005212DD"/>
    <w:rsid w:val="005217EF"/>
    <w:rsid w:val="00521B7A"/>
    <w:rsid w:val="00521EB1"/>
    <w:rsid w:val="00522054"/>
    <w:rsid w:val="005228C4"/>
    <w:rsid w:val="00522F69"/>
    <w:rsid w:val="00523DF5"/>
    <w:rsid w:val="0052469F"/>
    <w:rsid w:val="00524DC8"/>
    <w:rsid w:val="00524EE6"/>
    <w:rsid w:val="00525581"/>
    <w:rsid w:val="00526008"/>
    <w:rsid w:val="0053079C"/>
    <w:rsid w:val="00531C78"/>
    <w:rsid w:val="00532EB8"/>
    <w:rsid w:val="00533276"/>
    <w:rsid w:val="00533E17"/>
    <w:rsid w:val="00535109"/>
    <w:rsid w:val="00536504"/>
    <w:rsid w:val="0053659E"/>
    <w:rsid w:val="005379BC"/>
    <w:rsid w:val="00537C72"/>
    <w:rsid w:val="00540556"/>
    <w:rsid w:val="00540FEA"/>
    <w:rsid w:val="00541519"/>
    <w:rsid w:val="00541B4E"/>
    <w:rsid w:val="00541D83"/>
    <w:rsid w:val="005420B0"/>
    <w:rsid w:val="00542574"/>
    <w:rsid w:val="005426EC"/>
    <w:rsid w:val="0054271D"/>
    <w:rsid w:val="005427F1"/>
    <w:rsid w:val="00542A9A"/>
    <w:rsid w:val="00543791"/>
    <w:rsid w:val="00543B8F"/>
    <w:rsid w:val="00544F7E"/>
    <w:rsid w:val="005453A7"/>
    <w:rsid w:val="00545490"/>
    <w:rsid w:val="00545873"/>
    <w:rsid w:val="005463B7"/>
    <w:rsid w:val="00546C68"/>
    <w:rsid w:val="00547554"/>
    <w:rsid w:val="00547957"/>
    <w:rsid w:val="00547BFB"/>
    <w:rsid w:val="0055015C"/>
    <w:rsid w:val="005522F2"/>
    <w:rsid w:val="0055257F"/>
    <w:rsid w:val="005526FF"/>
    <w:rsid w:val="00552BAE"/>
    <w:rsid w:val="00552C0D"/>
    <w:rsid w:val="00553F52"/>
    <w:rsid w:val="00554594"/>
    <w:rsid w:val="00554D44"/>
    <w:rsid w:val="00555589"/>
    <w:rsid w:val="005557FC"/>
    <w:rsid w:val="00555BCD"/>
    <w:rsid w:val="0055669F"/>
    <w:rsid w:val="005568E1"/>
    <w:rsid w:val="00556922"/>
    <w:rsid w:val="0055727F"/>
    <w:rsid w:val="00557445"/>
    <w:rsid w:val="0056024C"/>
    <w:rsid w:val="00560848"/>
    <w:rsid w:val="00560B10"/>
    <w:rsid w:val="00560DA4"/>
    <w:rsid w:val="0056137F"/>
    <w:rsid w:val="00561E0A"/>
    <w:rsid w:val="00562418"/>
    <w:rsid w:val="00562D62"/>
    <w:rsid w:val="00562DE0"/>
    <w:rsid w:val="0056312D"/>
    <w:rsid w:val="0056394D"/>
    <w:rsid w:val="00564055"/>
    <w:rsid w:val="00564058"/>
    <w:rsid w:val="00564838"/>
    <w:rsid w:val="00564BD7"/>
    <w:rsid w:val="00564D56"/>
    <w:rsid w:val="005656D7"/>
    <w:rsid w:val="00565950"/>
    <w:rsid w:val="00565D88"/>
    <w:rsid w:val="0056625B"/>
    <w:rsid w:val="00567455"/>
    <w:rsid w:val="00567F49"/>
    <w:rsid w:val="00567FBC"/>
    <w:rsid w:val="00570587"/>
    <w:rsid w:val="00570588"/>
    <w:rsid w:val="00570A8B"/>
    <w:rsid w:val="00571479"/>
    <w:rsid w:val="0057156C"/>
    <w:rsid w:val="005715E6"/>
    <w:rsid w:val="005720B1"/>
    <w:rsid w:val="005723C0"/>
    <w:rsid w:val="005730AA"/>
    <w:rsid w:val="00573344"/>
    <w:rsid w:val="00573D6C"/>
    <w:rsid w:val="00573FBD"/>
    <w:rsid w:val="00574007"/>
    <w:rsid w:val="0057402F"/>
    <w:rsid w:val="005746CE"/>
    <w:rsid w:val="0057504D"/>
    <w:rsid w:val="00576365"/>
    <w:rsid w:val="00576B91"/>
    <w:rsid w:val="00577D30"/>
    <w:rsid w:val="005806A2"/>
    <w:rsid w:val="0058083B"/>
    <w:rsid w:val="00580B03"/>
    <w:rsid w:val="00580CAF"/>
    <w:rsid w:val="00581432"/>
    <w:rsid w:val="005818BF"/>
    <w:rsid w:val="00582125"/>
    <w:rsid w:val="0058246B"/>
    <w:rsid w:val="00582D66"/>
    <w:rsid w:val="00582E9E"/>
    <w:rsid w:val="00582FE8"/>
    <w:rsid w:val="0058301F"/>
    <w:rsid w:val="00583098"/>
    <w:rsid w:val="005832A5"/>
    <w:rsid w:val="005835DB"/>
    <w:rsid w:val="0058364F"/>
    <w:rsid w:val="005836D8"/>
    <w:rsid w:val="00583AB5"/>
    <w:rsid w:val="00583C12"/>
    <w:rsid w:val="005848A4"/>
    <w:rsid w:val="00584BA9"/>
    <w:rsid w:val="00584C9D"/>
    <w:rsid w:val="005868AA"/>
    <w:rsid w:val="00586BA2"/>
    <w:rsid w:val="00587642"/>
    <w:rsid w:val="00587803"/>
    <w:rsid w:val="00590378"/>
    <w:rsid w:val="005912D9"/>
    <w:rsid w:val="00591E6B"/>
    <w:rsid w:val="00592039"/>
    <w:rsid w:val="00592449"/>
    <w:rsid w:val="00592F29"/>
    <w:rsid w:val="00593312"/>
    <w:rsid w:val="0059341B"/>
    <w:rsid w:val="00593432"/>
    <w:rsid w:val="005938BC"/>
    <w:rsid w:val="00593F4F"/>
    <w:rsid w:val="0059509B"/>
    <w:rsid w:val="0059554E"/>
    <w:rsid w:val="005955DE"/>
    <w:rsid w:val="005976A9"/>
    <w:rsid w:val="00597709"/>
    <w:rsid w:val="00597C66"/>
    <w:rsid w:val="00597E08"/>
    <w:rsid w:val="005A0D7C"/>
    <w:rsid w:val="005A11E8"/>
    <w:rsid w:val="005A13C7"/>
    <w:rsid w:val="005A1746"/>
    <w:rsid w:val="005A181B"/>
    <w:rsid w:val="005A19AE"/>
    <w:rsid w:val="005A1BF2"/>
    <w:rsid w:val="005A2581"/>
    <w:rsid w:val="005A3BBC"/>
    <w:rsid w:val="005A463E"/>
    <w:rsid w:val="005A59DD"/>
    <w:rsid w:val="005A64E8"/>
    <w:rsid w:val="005A6521"/>
    <w:rsid w:val="005A6854"/>
    <w:rsid w:val="005A7689"/>
    <w:rsid w:val="005A77A0"/>
    <w:rsid w:val="005B2A0D"/>
    <w:rsid w:val="005B2A2E"/>
    <w:rsid w:val="005B39CE"/>
    <w:rsid w:val="005B3D37"/>
    <w:rsid w:val="005B3E34"/>
    <w:rsid w:val="005B435A"/>
    <w:rsid w:val="005B5981"/>
    <w:rsid w:val="005B5AD7"/>
    <w:rsid w:val="005B6467"/>
    <w:rsid w:val="005B6940"/>
    <w:rsid w:val="005B69ED"/>
    <w:rsid w:val="005B72BD"/>
    <w:rsid w:val="005B757D"/>
    <w:rsid w:val="005C00A7"/>
    <w:rsid w:val="005C1436"/>
    <w:rsid w:val="005C1A6B"/>
    <w:rsid w:val="005C1C59"/>
    <w:rsid w:val="005C1DAB"/>
    <w:rsid w:val="005C1F9C"/>
    <w:rsid w:val="005C2303"/>
    <w:rsid w:val="005C2DB4"/>
    <w:rsid w:val="005C33CC"/>
    <w:rsid w:val="005C34EA"/>
    <w:rsid w:val="005C3AFF"/>
    <w:rsid w:val="005C3E38"/>
    <w:rsid w:val="005C3F15"/>
    <w:rsid w:val="005C4801"/>
    <w:rsid w:val="005C49F2"/>
    <w:rsid w:val="005C519D"/>
    <w:rsid w:val="005C5831"/>
    <w:rsid w:val="005C586D"/>
    <w:rsid w:val="005C6176"/>
    <w:rsid w:val="005C6204"/>
    <w:rsid w:val="005C6779"/>
    <w:rsid w:val="005C6892"/>
    <w:rsid w:val="005C6AC5"/>
    <w:rsid w:val="005C76A8"/>
    <w:rsid w:val="005C7B94"/>
    <w:rsid w:val="005D04FE"/>
    <w:rsid w:val="005D0851"/>
    <w:rsid w:val="005D0DDB"/>
    <w:rsid w:val="005D0EF9"/>
    <w:rsid w:val="005D1095"/>
    <w:rsid w:val="005D18DF"/>
    <w:rsid w:val="005D1A53"/>
    <w:rsid w:val="005D1D19"/>
    <w:rsid w:val="005D1EB9"/>
    <w:rsid w:val="005D2F5A"/>
    <w:rsid w:val="005D378A"/>
    <w:rsid w:val="005D3BF1"/>
    <w:rsid w:val="005D41D9"/>
    <w:rsid w:val="005D49CF"/>
    <w:rsid w:val="005D4AB7"/>
    <w:rsid w:val="005D5354"/>
    <w:rsid w:val="005D5521"/>
    <w:rsid w:val="005D625B"/>
    <w:rsid w:val="005D686A"/>
    <w:rsid w:val="005D73CC"/>
    <w:rsid w:val="005D7CDE"/>
    <w:rsid w:val="005E0592"/>
    <w:rsid w:val="005E121D"/>
    <w:rsid w:val="005E17E9"/>
    <w:rsid w:val="005E1D24"/>
    <w:rsid w:val="005E28A5"/>
    <w:rsid w:val="005E2D17"/>
    <w:rsid w:val="005E31BA"/>
    <w:rsid w:val="005E382A"/>
    <w:rsid w:val="005E41D2"/>
    <w:rsid w:val="005E5A23"/>
    <w:rsid w:val="005E5C6A"/>
    <w:rsid w:val="005E609C"/>
    <w:rsid w:val="005E64CD"/>
    <w:rsid w:val="005E65A6"/>
    <w:rsid w:val="005E6835"/>
    <w:rsid w:val="005E6FCC"/>
    <w:rsid w:val="005E718E"/>
    <w:rsid w:val="005E73CC"/>
    <w:rsid w:val="005E7B61"/>
    <w:rsid w:val="005F01AE"/>
    <w:rsid w:val="005F068C"/>
    <w:rsid w:val="005F0D4E"/>
    <w:rsid w:val="005F0D9E"/>
    <w:rsid w:val="005F0E21"/>
    <w:rsid w:val="005F13E0"/>
    <w:rsid w:val="005F1452"/>
    <w:rsid w:val="005F14FE"/>
    <w:rsid w:val="005F1800"/>
    <w:rsid w:val="005F273A"/>
    <w:rsid w:val="005F2CBD"/>
    <w:rsid w:val="005F2E4A"/>
    <w:rsid w:val="005F35FC"/>
    <w:rsid w:val="005F3B1D"/>
    <w:rsid w:val="005F3DBD"/>
    <w:rsid w:val="005F4B14"/>
    <w:rsid w:val="005F4BD1"/>
    <w:rsid w:val="005F5855"/>
    <w:rsid w:val="005F59C9"/>
    <w:rsid w:val="005F5D38"/>
    <w:rsid w:val="005F5ECB"/>
    <w:rsid w:val="005F60C5"/>
    <w:rsid w:val="005F68B5"/>
    <w:rsid w:val="005F6D15"/>
    <w:rsid w:val="005F6E08"/>
    <w:rsid w:val="005F75AD"/>
    <w:rsid w:val="005F7608"/>
    <w:rsid w:val="005F7B97"/>
    <w:rsid w:val="006004EB"/>
    <w:rsid w:val="0060054F"/>
    <w:rsid w:val="00600886"/>
    <w:rsid w:val="0060118A"/>
    <w:rsid w:val="006014A4"/>
    <w:rsid w:val="00601DE2"/>
    <w:rsid w:val="006023C0"/>
    <w:rsid w:val="00602879"/>
    <w:rsid w:val="00602ABD"/>
    <w:rsid w:val="00602B15"/>
    <w:rsid w:val="00603B30"/>
    <w:rsid w:val="00603F92"/>
    <w:rsid w:val="006048C7"/>
    <w:rsid w:val="00605533"/>
    <w:rsid w:val="00606284"/>
    <w:rsid w:val="0060718B"/>
    <w:rsid w:val="00607278"/>
    <w:rsid w:val="006073C1"/>
    <w:rsid w:val="0060761D"/>
    <w:rsid w:val="00607E8B"/>
    <w:rsid w:val="00607E99"/>
    <w:rsid w:val="0061043C"/>
    <w:rsid w:val="006112E8"/>
    <w:rsid w:val="00611562"/>
    <w:rsid w:val="00611717"/>
    <w:rsid w:val="00611889"/>
    <w:rsid w:val="00611D41"/>
    <w:rsid w:val="0061208B"/>
    <w:rsid w:val="00612556"/>
    <w:rsid w:val="00612694"/>
    <w:rsid w:val="0061319F"/>
    <w:rsid w:val="0061323A"/>
    <w:rsid w:val="00613E21"/>
    <w:rsid w:val="00613F53"/>
    <w:rsid w:val="00614820"/>
    <w:rsid w:val="00615334"/>
    <w:rsid w:val="00615364"/>
    <w:rsid w:val="0061559A"/>
    <w:rsid w:val="00616046"/>
    <w:rsid w:val="00616603"/>
    <w:rsid w:val="006166A2"/>
    <w:rsid w:val="0061772E"/>
    <w:rsid w:val="00617BC1"/>
    <w:rsid w:val="00620279"/>
    <w:rsid w:val="006204B2"/>
    <w:rsid w:val="006213EF"/>
    <w:rsid w:val="00621479"/>
    <w:rsid w:val="00621942"/>
    <w:rsid w:val="00621C9C"/>
    <w:rsid w:val="006221DE"/>
    <w:rsid w:val="006225AA"/>
    <w:rsid w:val="00622B16"/>
    <w:rsid w:val="00623173"/>
    <w:rsid w:val="0062436C"/>
    <w:rsid w:val="00624FC8"/>
    <w:rsid w:val="0062545A"/>
    <w:rsid w:val="00625825"/>
    <w:rsid w:val="00625B45"/>
    <w:rsid w:val="00625E16"/>
    <w:rsid w:val="00626193"/>
    <w:rsid w:val="006263F8"/>
    <w:rsid w:val="006263FC"/>
    <w:rsid w:val="00626421"/>
    <w:rsid w:val="006272C2"/>
    <w:rsid w:val="00627365"/>
    <w:rsid w:val="00627542"/>
    <w:rsid w:val="006278B2"/>
    <w:rsid w:val="00627EFA"/>
    <w:rsid w:val="006304B1"/>
    <w:rsid w:val="00630871"/>
    <w:rsid w:val="0063087F"/>
    <w:rsid w:val="00630B26"/>
    <w:rsid w:val="00630C42"/>
    <w:rsid w:val="00630E05"/>
    <w:rsid w:val="00631014"/>
    <w:rsid w:val="00631172"/>
    <w:rsid w:val="006311AA"/>
    <w:rsid w:val="00631592"/>
    <w:rsid w:val="00632156"/>
    <w:rsid w:val="00632C26"/>
    <w:rsid w:val="00632F9E"/>
    <w:rsid w:val="00633123"/>
    <w:rsid w:val="0063387B"/>
    <w:rsid w:val="00634625"/>
    <w:rsid w:val="00634DF5"/>
    <w:rsid w:val="00635477"/>
    <w:rsid w:val="006354B0"/>
    <w:rsid w:val="006356DF"/>
    <w:rsid w:val="006358A4"/>
    <w:rsid w:val="00636634"/>
    <w:rsid w:val="006367E9"/>
    <w:rsid w:val="00637A66"/>
    <w:rsid w:val="006406E8"/>
    <w:rsid w:val="006407E7"/>
    <w:rsid w:val="00641098"/>
    <w:rsid w:val="0064123A"/>
    <w:rsid w:val="006417C4"/>
    <w:rsid w:val="00641C23"/>
    <w:rsid w:val="00642946"/>
    <w:rsid w:val="00642977"/>
    <w:rsid w:val="006429B3"/>
    <w:rsid w:val="006434F0"/>
    <w:rsid w:val="00643881"/>
    <w:rsid w:val="00643BC1"/>
    <w:rsid w:val="00643C09"/>
    <w:rsid w:val="00643C99"/>
    <w:rsid w:val="00643E8A"/>
    <w:rsid w:val="00644410"/>
    <w:rsid w:val="00644917"/>
    <w:rsid w:val="00644E23"/>
    <w:rsid w:val="006468B8"/>
    <w:rsid w:val="00647B67"/>
    <w:rsid w:val="00650758"/>
    <w:rsid w:val="00650ABC"/>
    <w:rsid w:val="00650B82"/>
    <w:rsid w:val="00650BFA"/>
    <w:rsid w:val="00650F2B"/>
    <w:rsid w:val="006510B1"/>
    <w:rsid w:val="00651AF2"/>
    <w:rsid w:val="00652039"/>
    <w:rsid w:val="00652629"/>
    <w:rsid w:val="00652654"/>
    <w:rsid w:val="00652DD6"/>
    <w:rsid w:val="00653395"/>
    <w:rsid w:val="00653B0C"/>
    <w:rsid w:val="00654606"/>
    <w:rsid w:val="00654B92"/>
    <w:rsid w:val="00655036"/>
    <w:rsid w:val="006550D1"/>
    <w:rsid w:val="00655802"/>
    <w:rsid w:val="00655CDD"/>
    <w:rsid w:val="00655E15"/>
    <w:rsid w:val="006565C8"/>
    <w:rsid w:val="00656904"/>
    <w:rsid w:val="00657088"/>
    <w:rsid w:val="0065741E"/>
    <w:rsid w:val="00657D3F"/>
    <w:rsid w:val="0066062A"/>
    <w:rsid w:val="00661273"/>
    <w:rsid w:val="00661FB5"/>
    <w:rsid w:val="00662042"/>
    <w:rsid w:val="006622D9"/>
    <w:rsid w:val="00662693"/>
    <w:rsid w:val="00662ADE"/>
    <w:rsid w:val="00662C6C"/>
    <w:rsid w:val="00662D4D"/>
    <w:rsid w:val="006631B2"/>
    <w:rsid w:val="006633F9"/>
    <w:rsid w:val="00663F95"/>
    <w:rsid w:val="0066456C"/>
    <w:rsid w:val="00664B25"/>
    <w:rsid w:val="00664B7D"/>
    <w:rsid w:val="00664EA8"/>
    <w:rsid w:val="00664EB2"/>
    <w:rsid w:val="00664FE2"/>
    <w:rsid w:val="00665922"/>
    <w:rsid w:val="00665A76"/>
    <w:rsid w:val="0066695C"/>
    <w:rsid w:val="00666B55"/>
    <w:rsid w:val="0066717F"/>
    <w:rsid w:val="006671EF"/>
    <w:rsid w:val="00667DA3"/>
    <w:rsid w:val="00667EFF"/>
    <w:rsid w:val="006713ED"/>
    <w:rsid w:val="00672838"/>
    <w:rsid w:val="006730FC"/>
    <w:rsid w:val="00673425"/>
    <w:rsid w:val="00673D71"/>
    <w:rsid w:val="006744D4"/>
    <w:rsid w:val="00674F64"/>
    <w:rsid w:val="00675492"/>
    <w:rsid w:val="00675750"/>
    <w:rsid w:val="00675D6F"/>
    <w:rsid w:val="00675DAD"/>
    <w:rsid w:val="006765D7"/>
    <w:rsid w:val="00676E17"/>
    <w:rsid w:val="006770E3"/>
    <w:rsid w:val="00677102"/>
    <w:rsid w:val="006773F1"/>
    <w:rsid w:val="006775AF"/>
    <w:rsid w:val="0067761B"/>
    <w:rsid w:val="0067782D"/>
    <w:rsid w:val="0067788F"/>
    <w:rsid w:val="00677F85"/>
    <w:rsid w:val="0068071F"/>
    <w:rsid w:val="006809C8"/>
    <w:rsid w:val="00681019"/>
    <w:rsid w:val="0068124D"/>
    <w:rsid w:val="00681880"/>
    <w:rsid w:val="006824B1"/>
    <w:rsid w:val="0068270B"/>
    <w:rsid w:val="00682735"/>
    <w:rsid w:val="0068276C"/>
    <w:rsid w:val="00682B62"/>
    <w:rsid w:val="00682C35"/>
    <w:rsid w:val="0068329C"/>
    <w:rsid w:val="00683348"/>
    <w:rsid w:val="0068379C"/>
    <w:rsid w:val="00683A99"/>
    <w:rsid w:val="00683BFD"/>
    <w:rsid w:val="0068534B"/>
    <w:rsid w:val="0068537C"/>
    <w:rsid w:val="00685737"/>
    <w:rsid w:val="00685838"/>
    <w:rsid w:val="006866C7"/>
    <w:rsid w:val="0068674F"/>
    <w:rsid w:val="00686CB3"/>
    <w:rsid w:val="00687A8C"/>
    <w:rsid w:val="00687BB7"/>
    <w:rsid w:val="0069011D"/>
    <w:rsid w:val="00690366"/>
    <w:rsid w:val="00690480"/>
    <w:rsid w:val="00690488"/>
    <w:rsid w:val="006908EA"/>
    <w:rsid w:val="006910CB"/>
    <w:rsid w:val="00691685"/>
    <w:rsid w:val="006917A9"/>
    <w:rsid w:val="00692288"/>
    <w:rsid w:val="00692781"/>
    <w:rsid w:val="00693190"/>
    <w:rsid w:val="006931C0"/>
    <w:rsid w:val="00693239"/>
    <w:rsid w:val="00693F5E"/>
    <w:rsid w:val="006947E3"/>
    <w:rsid w:val="00694DF6"/>
    <w:rsid w:val="006951D1"/>
    <w:rsid w:val="006954F6"/>
    <w:rsid w:val="006956ED"/>
    <w:rsid w:val="006962A9"/>
    <w:rsid w:val="006968B5"/>
    <w:rsid w:val="006974F8"/>
    <w:rsid w:val="006A16E0"/>
    <w:rsid w:val="006A217E"/>
    <w:rsid w:val="006A2981"/>
    <w:rsid w:val="006A2B2A"/>
    <w:rsid w:val="006A2B66"/>
    <w:rsid w:val="006A2B9E"/>
    <w:rsid w:val="006A2C04"/>
    <w:rsid w:val="006A2F06"/>
    <w:rsid w:val="006A3231"/>
    <w:rsid w:val="006A37BE"/>
    <w:rsid w:val="006A4312"/>
    <w:rsid w:val="006A43B1"/>
    <w:rsid w:val="006A4679"/>
    <w:rsid w:val="006A47A3"/>
    <w:rsid w:val="006A4814"/>
    <w:rsid w:val="006A49E2"/>
    <w:rsid w:val="006A4B94"/>
    <w:rsid w:val="006A4D7E"/>
    <w:rsid w:val="006A572E"/>
    <w:rsid w:val="006A5F6B"/>
    <w:rsid w:val="006A617E"/>
    <w:rsid w:val="006A6828"/>
    <w:rsid w:val="006A6C04"/>
    <w:rsid w:val="006A6D4A"/>
    <w:rsid w:val="006A75BA"/>
    <w:rsid w:val="006A7789"/>
    <w:rsid w:val="006A7A0B"/>
    <w:rsid w:val="006B02AD"/>
    <w:rsid w:val="006B08AB"/>
    <w:rsid w:val="006B093D"/>
    <w:rsid w:val="006B0D22"/>
    <w:rsid w:val="006B0F7B"/>
    <w:rsid w:val="006B1196"/>
    <w:rsid w:val="006B17F6"/>
    <w:rsid w:val="006B20A4"/>
    <w:rsid w:val="006B296A"/>
    <w:rsid w:val="006B3036"/>
    <w:rsid w:val="006B364A"/>
    <w:rsid w:val="006B411E"/>
    <w:rsid w:val="006B4291"/>
    <w:rsid w:val="006B439B"/>
    <w:rsid w:val="006B464D"/>
    <w:rsid w:val="006B4752"/>
    <w:rsid w:val="006B4A45"/>
    <w:rsid w:val="006B5509"/>
    <w:rsid w:val="006B5899"/>
    <w:rsid w:val="006B6986"/>
    <w:rsid w:val="006B6FEF"/>
    <w:rsid w:val="006B7614"/>
    <w:rsid w:val="006B7662"/>
    <w:rsid w:val="006B7A00"/>
    <w:rsid w:val="006B7C2C"/>
    <w:rsid w:val="006C005F"/>
    <w:rsid w:val="006C0660"/>
    <w:rsid w:val="006C0D10"/>
    <w:rsid w:val="006C0F03"/>
    <w:rsid w:val="006C13A3"/>
    <w:rsid w:val="006C16A3"/>
    <w:rsid w:val="006C1A0B"/>
    <w:rsid w:val="006C2150"/>
    <w:rsid w:val="006C2367"/>
    <w:rsid w:val="006C24E3"/>
    <w:rsid w:val="006C2628"/>
    <w:rsid w:val="006C2681"/>
    <w:rsid w:val="006C2FED"/>
    <w:rsid w:val="006C35A6"/>
    <w:rsid w:val="006C3813"/>
    <w:rsid w:val="006C3A8C"/>
    <w:rsid w:val="006C3B46"/>
    <w:rsid w:val="006C5548"/>
    <w:rsid w:val="006C574A"/>
    <w:rsid w:val="006C5D6B"/>
    <w:rsid w:val="006C6098"/>
    <w:rsid w:val="006C649E"/>
    <w:rsid w:val="006C6D73"/>
    <w:rsid w:val="006C77AC"/>
    <w:rsid w:val="006D1329"/>
    <w:rsid w:val="006D1606"/>
    <w:rsid w:val="006D2090"/>
    <w:rsid w:val="006D2705"/>
    <w:rsid w:val="006D2D52"/>
    <w:rsid w:val="006D2DE4"/>
    <w:rsid w:val="006D402A"/>
    <w:rsid w:val="006D419C"/>
    <w:rsid w:val="006D42FA"/>
    <w:rsid w:val="006D45DF"/>
    <w:rsid w:val="006D4C37"/>
    <w:rsid w:val="006D4E41"/>
    <w:rsid w:val="006D5D7B"/>
    <w:rsid w:val="006D65ED"/>
    <w:rsid w:val="006D6AB3"/>
    <w:rsid w:val="006D74A7"/>
    <w:rsid w:val="006D77F0"/>
    <w:rsid w:val="006D780E"/>
    <w:rsid w:val="006D7A85"/>
    <w:rsid w:val="006E0725"/>
    <w:rsid w:val="006E0AD0"/>
    <w:rsid w:val="006E13E8"/>
    <w:rsid w:val="006E1570"/>
    <w:rsid w:val="006E16FA"/>
    <w:rsid w:val="006E18D8"/>
    <w:rsid w:val="006E1C04"/>
    <w:rsid w:val="006E28ED"/>
    <w:rsid w:val="006E2B22"/>
    <w:rsid w:val="006E2C76"/>
    <w:rsid w:val="006E3EAF"/>
    <w:rsid w:val="006E47B7"/>
    <w:rsid w:val="006E48B6"/>
    <w:rsid w:val="006E4BFD"/>
    <w:rsid w:val="006E5157"/>
    <w:rsid w:val="006E527D"/>
    <w:rsid w:val="006E5568"/>
    <w:rsid w:val="006E61A8"/>
    <w:rsid w:val="006E6394"/>
    <w:rsid w:val="006E63F9"/>
    <w:rsid w:val="006E6974"/>
    <w:rsid w:val="006E6E38"/>
    <w:rsid w:val="006E6E69"/>
    <w:rsid w:val="006E6E96"/>
    <w:rsid w:val="006F02E4"/>
    <w:rsid w:val="006F0415"/>
    <w:rsid w:val="006F07B8"/>
    <w:rsid w:val="006F089B"/>
    <w:rsid w:val="006F1478"/>
    <w:rsid w:val="006F1ADE"/>
    <w:rsid w:val="006F222F"/>
    <w:rsid w:val="006F2F09"/>
    <w:rsid w:val="006F3B3F"/>
    <w:rsid w:val="006F3F58"/>
    <w:rsid w:val="006F4296"/>
    <w:rsid w:val="006F439E"/>
    <w:rsid w:val="006F53FB"/>
    <w:rsid w:val="006F5D8A"/>
    <w:rsid w:val="006F678E"/>
    <w:rsid w:val="006F6C01"/>
    <w:rsid w:val="006F7DC1"/>
    <w:rsid w:val="00700801"/>
    <w:rsid w:val="00700A24"/>
    <w:rsid w:val="00701A26"/>
    <w:rsid w:val="00701F43"/>
    <w:rsid w:val="0070269F"/>
    <w:rsid w:val="00702DBE"/>
    <w:rsid w:val="00704715"/>
    <w:rsid w:val="00705538"/>
    <w:rsid w:val="00705C57"/>
    <w:rsid w:val="007060E7"/>
    <w:rsid w:val="00706150"/>
    <w:rsid w:val="007063B4"/>
    <w:rsid w:val="00706D98"/>
    <w:rsid w:val="00707646"/>
    <w:rsid w:val="00710744"/>
    <w:rsid w:val="00710A2A"/>
    <w:rsid w:val="00710F30"/>
    <w:rsid w:val="007110C2"/>
    <w:rsid w:val="00711154"/>
    <w:rsid w:val="00712067"/>
    <w:rsid w:val="0071215B"/>
    <w:rsid w:val="0071260F"/>
    <w:rsid w:val="007129CF"/>
    <w:rsid w:val="00712B1A"/>
    <w:rsid w:val="007130B2"/>
    <w:rsid w:val="0071446E"/>
    <w:rsid w:val="00714F19"/>
    <w:rsid w:val="007151F1"/>
    <w:rsid w:val="00715C09"/>
    <w:rsid w:val="00716231"/>
    <w:rsid w:val="007165F8"/>
    <w:rsid w:val="007166F9"/>
    <w:rsid w:val="00717A69"/>
    <w:rsid w:val="00717BB4"/>
    <w:rsid w:val="00720571"/>
    <w:rsid w:val="00721D22"/>
    <w:rsid w:val="00721F1C"/>
    <w:rsid w:val="00722213"/>
    <w:rsid w:val="00722421"/>
    <w:rsid w:val="007236BC"/>
    <w:rsid w:val="0072393E"/>
    <w:rsid w:val="00723ACD"/>
    <w:rsid w:val="00724031"/>
    <w:rsid w:val="0072423F"/>
    <w:rsid w:val="007243D3"/>
    <w:rsid w:val="007246F8"/>
    <w:rsid w:val="007248D2"/>
    <w:rsid w:val="007248F9"/>
    <w:rsid w:val="00724CC7"/>
    <w:rsid w:val="00726003"/>
    <w:rsid w:val="00726234"/>
    <w:rsid w:val="007265BF"/>
    <w:rsid w:val="0072691C"/>
    <w:rsid w:val="00726AE4"/>
    <w:rsid w:val="00726B87"/>
    <w:rsid w:val="0072746C"/>
    <w:rsid w:val="00727D90"/>
    <w:rsid w:val="00727DEF"/>
    <w:rsid w:val="007301F0"/>
    <w:rsid w:val="00730358"/>
    <w:rsid w:val="00730552"/>
    <w:rsid w:val="007318D4"/>
    <w:rsid w:val="0073190D"/>
    <w:rsid w:val="00732910"/>
    <w:rsid w:val="00732916"/>
    <w:rsid w:val="0073455E"/>
    <w:rsid w:val="007365B8"/>
    <w:rsid w:val="00736904"/>
    <w:rsid w:val="00736B07"/>
    <w:rsid w:val="00740141"/>
    <w:rsid w:val="00740492"/>
    <w:rsid w:val="00740997"/>
    <w:rsid w:val="0074180E"/>
    <w:rsid w:val="00742852"/>
    <w:rsid w:val="00742E91"/>
    <w:rsid w:val="007432A6"/>
    <w:rsid w:val="007432CB"/>
    <w:rsid w:val="00743B5D"/>
    <w:rsid w:val="00744319"/>
    <w:rsid w:val="007444CB"/>
    <w:rsid w:val="00744BAF"/>
    <w:rsid w:val="007453B5"/>
    <w:rsid w:val="007458EC"/>
    <w:rsid w:val="00745E11"/>
    <w:rsid w:val="00745FC2"/>
    <w:rsid w:val="007464DC"/>
    <w:rsid w:val="007467F9"/>
    <w:rsid w:val="00746AA6"/>
    <w:rsid w:val="00746E61"/>
    <w:rsid w:val="00747493"/>
    <w:rsid w:val="007475C9"/>
    <w:rsid w:val="007509C5"/>
    <w:rsid w:val="00750AA5"/>
    <w:rsid w:val="00750BCC"/>
    <w:rsid w:val="00750C3E"/>
    <w:rsid w:val="00750F51"/>
    <w:rsid w:val="007511A9"/>
    <w:rsid w:val="0075169E"/>
    <w:rsid w:val="00752E9E"/>
    <w:rsid w:val="00753438"/>
    <w:rsid w:val="00753AB2"/>
    <w:rsid w:val="007550F0"/>
    <w:rsid w:val="00755B90"/>
    <w:rsid w:val="00756367"/>
    <w:rsid w:val="00756A3E"/>
    <w:rsid w:val="0075767F"/>
    <w:rsid w:val="007579F4"/>
    <w:rsid w:val="00757C76"/>
    <w:rsid w:val="007608E3"/>
    <w:rsid w:val="00761D4D"/>
    <w:rsid w:val="007623F2"/>
    <w:rsid w:val="00762982"/>
    <w:rsid w:val="007630B9"/>
    <w:rsid w:val="0076342F"/>
    <w:rsid w:val="0076377C"/>
    <w:rsid w:val="00763A04"/>
    <w:rsid w:val="00764288"/>
    <w:rsid w:val="0076548E"/>
    <w:rsid w:val="007654C1"/>
    <w:rsid w:val="0076594B"/>
    <w:rsid w:val="007659D8"/>
    <w:rsid w:val="00765C27"/>
    <w:rsid w:val="00766059"/>
    <w:rsid w:val="007663EF"/>
    <w:rsid w:val="007664DA"/>
    <w:rsid w:val="00766B3D"/>
    <w:rsid w:val="007672FB"/>
    <w:rsid w:val="0076784B"/>
    <w:rsid w:val="00767A51"/>
    <w:rsid w:val="00770D8A"/>
    <w:rsid w:val="00770F9D"/>
    <w:rsid w:val="007719E7"/>
    <w:rsid w:val="007727DE"/>
    <w:rsid w:val="00773218"/>
    <w:rsid w:val="00773737"/>
    <w:rsid w:val="007737C4"/>
    <w:rsid w:val="00773C7A"/>
    <w:rsid w:val="00774FD0"/>
    <w:rsid w:val="00775468"/>
    <w:rsid w:val="00775E32"/>
    <w:rsid w:val="00776674"/>
    <w:rsid w:val="00777563"/>
    <w:rsid w:val="00777FFB"/>
    <w:rsid w:val="00780381"/>
    <w:rsid w:val="00780502"/>
    <w:rsid w:val="00780E90"/>
    <w:rsid w:val="0078152D"/>
    <w:rsid w:val="00781CB1"/>
    <w:rsid w:val="007820BE"/>
    <w:rsid w:val="00782D32"/>
    <w:rsid w:val="00783018"/>
    <w:rsid w:val="0078323C"/>
    <w:rsid w:val="007836AA"/>
    <w:rsid w:val="007837E3"/>
    <w:rsid w:val="0078419A"/>
    <w:rsid w:val="007845E0"/>
    <w:rsid w:val="007854DF"/>
    <w:rsid w:val="007854E7"/>
    <w:rsid w:val="007855A7"/>
    <w:rsid w:val="00786222"/>
    <w:rsid w:val="007867CA"/>
    <w:rsid w:val="00786FFD"/>
    <w:rsid w:val="00787A92"/>
    <w:rsid w:val="00790BAD"/>
    <w:rsid w:val="00791DE5"/>
    <w:rsid w:val="00791EA5"/>
    <w:rsid w:val="0079218C"/>
    <w:rsid w:val="007921C3"/>
    <w:rsid w:val="00792905"/>
    <w:rsid w:val="00792F9B"/>
    <w:rsid w:val="00793CFD"/>
    <w:rsid w:val="00794241"/>
    <w:rsid w:val="007942A0"/>
    <w:rsid w:val="00794B5A"/>
    <w:rsid w:val="00795177"/>
    <w:rsid w:val="007955CC"/>
    <w:rsid w:val="00795690"/>
    <w:rsid w:val="00795DE9"/>
    <w:rsid w:val="0079603E"/>
    <w:rsid w:val="0079667A"/>
    <w:rsid w:val="00797595"/>
    <w:rsid w:val="00797C66"/>
    <w:rsid w:val="007A0271"/>
    <w:rsid w:val="007A0636"/>
    <w:rsid w:val="007A07D5"/>
    <w:rsid w:val="007A0873"/>
    <w:rsid w:val="007A0B8F"/>
    <w:rsid w:val="007A0C16"/>
    <w:rsid w:val="007A14E8"/>
    <w:rsid w:val="007A154F"/>
    <w:rsid w:val="007A1696"/>
    <w:rsid w:val="007A1FAB"/>
    <w:rsid w:val="007A2676"/>
    <w:rsid w:val="007A2A10"/>
    <w:rsid w:val="007A3071"/>
    <w:rsid w:val="007A37F2"/>
    <w:rsid w:val="007A37F9"/>
    <w:rsid w:val="007A3C81"/>
    <w:rsid w:val="007A452E"/>
    <w:rsid w:val="007A48A7"/>
    <w:rsid w:val="007A4999"/>
    <w:rsid w:val="007A4AEF"/>
    <w:rsid w:val="007A4B52"/>
    <w:rsid w:val="007A5380"/>
    <w:rsid w:val="007A5506"/>
    <w:rsid w:val="007A6DFC"/>
    <w:rsid w:val="007A7238"/>
    <w:rsid w:val="007A742A"/>
    <w:rsid w:val="007A751E"/>
    <w:rsid w:val="007B07C4"/>
    <w:rsid w:val="007B1836"/>
    <w:rsid w:val="007B2845"/>
    <w:rsid w:val="007B29A7"/>
    <w:rsid w:val="007B2A66"/>
    <w:rsid w:val="007B2BDC"/>
    <w:rsid w:val="007B32CD"/>
    <w:rsid w:val="007B384E"/>
    <w:rsid w:val="007B392B"/>
    <w:rsid w:val="007B45F9"/>
    <w:rsid w:val="007B4AA3"/>
    <w:rsid w:val="007B4D12"/>
    <w:rsid w:val="007B52BB"/>
    <w:rsid w:val="007B68D8"/>
    <w:rsid w:val="007B6CE6"/>
    <w:rsid w:val="007B7763"/>
    <w:rsid w:val="007C04FD"/>
    <w:rsid w:val="007C0834"/>
    <w:rsid w:val="007C0D78"/>
    <w:rsid w:val="007C12AE"/>
    <w:rsid w:val="007C1417"/>
    <w:rsid w:val="007C14C2"/>
    <w:rsid w:val="007C1539"/>
    <w:rsid w:val="007C1827"/>
    <w:rsid w:val="007C1A2C"/>
    <w:rsid w:val="007C1E04"/>
    <w:rsid w:val="007C2643"/>
    <w:rsid w:val="007C27E7"/>
    <w:rsid w:val="007C2C86"/>
    <w:rsid w:val="007C2F8E"/>
    <w:rsid w:val="007C302C"/>
    <w:rsid w:val="007C3B1B"/>
    <w:rsid w:val="007C42AE"/>
    <w:rsid w:val="007C4D04"/>
    <w:rsid w:val="007C5C6C"/>
    <w:rsid w:val="007C6485"/>
    <w:rsid w:val="007C6BBB"/>
    <w:rsid w:val="007C7CE2"/>
    <w:rsid w:val="007D0F02"/>
    <w:rsid w:val="007D14BE"/>
    <w:rsid w:val="007D155E"/>
    <w:rsid w:val="007D1931"/>
    <w:rsid w:val="007D203C"/>
    <w:rsid w:val="007D26FD"/>
    <w:rsid w:val="007D2869"/>
    <w:rsid w:val="007D2AD0"/>
    <w:rsid w:val="007D2E0C"/>
    <w:rsid w:val="007D37D5"/>
    <w:rsid w:val="007D405B"/>
    <w:rsid w:val="007D4442"/>
    <w:rsid w:val="007D4D2C"/>
    <w:rsid w:val="007D4EE8"/>
    <w:rsid w:val="007D602C"/>
    <w:rsid w:val="007D6151"/>
    <w:rsid w:val="007D6284"/>
    <w:rsid w:val="007D66A0"/>
    <w:rsid w:val="007D6E33"/>
    <w:rsid w:val="007D7988"/>
    <w:rsid w:val="007D7A14"/>
    <w:rsid w:val="007D7A2B"/>
    <w:rsid w:val="007E0379"/>
    <w:rsid w:val="007E0444"/>
    <w:rsid w:val="007E0609"/>
    <w:rsid w:val="007E089D"/>
    <w:rsid w:val="007E0D3D"/>
    <w:rsid w:val="007E1E93"/>
    <w:rsid w:val="007E1FA4"/>
    <w:rsid w:val="007E3418"/>
    <w:rsid w:val="007E388A"/>
    <w:rsid w:val="007E414D"/>
    <w:rsid w:val="007E47CC"/>
    <w:rsid w:val="007E58A6"/>
    <w:rsid w:val="007E5DA7"/>
    <w:rsid w:val="007E5ECB"/>
    <w:rsid w:val="007E5FE3"/>
    <w:rsid w:val="007E6953"/>
    <w:rsid w:val="007E6ECA"/>
    <w:rsid w:val="007E7902"/>
    <w:rsid w:val="007F022C"/>
    <w:rsid w:val="007F06C4"/>
    <w:rsid w:val="007F1814"/>
    <w:rsid w:val="007F1A0C"/>
    <w:rsid w:val="007F1A7E"/>
    <w:rsid w:val="007F26E1"/>
    <w:rsid w:val="007F2D2D"/>
    <w:rsid w:val="007F2DA3"/>
    <w:rsid w:val="007F2FA0"/>
    <w:rsid w:val="007F3064"/>
    <w:rsid w:val="007F3851"/>
    <w:rsid w:val="007F3BA8"/>
    <w:rsid w:val="007F3E94"/>
    <w:rsid w:val="007F4973"/>
    <w:rsid w:val="007F5D45"/>
    <w:rsid w:val="007F6700"/>
    <w:rsid w:val="007F6873"/>
    <w:rsid w:val="007F6D51"/>
    <w:rsid w:val="007F71AB"/>
    <w:rsid w:val="007F7884"/>
    <w:rsid w:val="007F7D6E"/>
    <w:rsid w:val="00800071"/>
    <w:rsid w:val="0080081B"/>
    <w:rsid w:val="008008B2"/>
    <w:rsid w:val="00800917"/>
    <w:rsid w:val="00800F5A"/>
    <w:rsid w:val="00801238"/>
    <w:rsid w:val="00801AE5"/>
    <w:rsid w:val="00801D90"/>
    <w:rsid w:val="00801FEE"/>
    <w:rsid w:val="00802E8D"/>
    <w:rsid w:val="0080363F"/>
    <w:rsid w:val="00803E9A"/>
    <w:rsid w:val="00804065"/>
    <w:rsid w:val="008043FA"/>
    <w:rsid w:val="00804A03"/>
    <w:rsid w:val="00805728"/>
    <w:rsid w:val="00805B9D"/>
    <w:rsid w:val="00806A47"/>
    <w:rsid w:val="00807252"/>
    <w:rsid w:val="00810AA4"/>
    <w:rsid w:val="00811ADD"/>
    <w:rsid w:val="0081290C"/>
    <w:rsid w:val="008136F5"/>
    <w:rsid w:val="0081375A"/>
    <w:rsid w:val="00814271"/>
    <w:rsid w:val="00815730"/>
    <w:rsid w:val="00815E07"/>
    <w:rsid w:val="008163D3"/>
    <w:rsid w:val="00816470"/>
    <w:rsid w:val="00816527"/>
    <w:rsid w:val="00816DFC"/>
    <w:rsid w:val="0081740C"/>
    <w:rsid w:val="00817A74"/>
    <w:rsid w:val="00820784"/>
    <w:rsid w:val="008208EE"/>
    <w:rsid w:val="00820AD9"/>
    <w:rsid w:val="00820C28"/>
    <w:rsid w:val="00820FFB"/>
    <w:rsid w:val="0082136B"/>
    <w:rsid w:val="00821AFE"/>
    <w:rsid w:val="0082226F"/>
    <w:rsid w:val="0082230E"/>
    <w:rsid w:val="008224FD"/>
    <w:rsid w:val="00822878"/>
    <w:rsid w:val="00824024"/>
    <w:rsid w:val="0082466B"/>
    <w:rsid w:val="00824773"/>
    <w:rsid w:val="00824806"/>
    <w:rsid w:val="00824860"/>
    <w:rsid w:val="00824BAB"/>
    <w:rsid w:val="00825BC7"/>
    <w:rsid w:val="00826340"/>
    <w:rsid w:val="00826508"/>
    <w:rsid w:val="00826C32"/>
    <w:rsid w:val="0082705C"/>
    <w:rsid w:val="008273FE"/>
    <w:rsid w:val="00827552"/>
    <w:rsid w:val="0082760B"/>
    <w:rsid w:val="00827A60"/>
    <w:rsid w:val="00827BF1"/>
    <w:rsid w:val="00827D94"/>
    <w:rsid w:val="00827DCB"/>
    <w:rsid w:val="00830033"/>
    <w:rsid w:val="008305AF"/>
    <w:rsid w:val="008308D5"/>
    <w:rsid w:val="00830970"/>
    <w:rsid w:val="0083193E"/>
    <w:rsid w:val="00831D00"/>
    <w:rsid w:val="00831D40"/>
    <w:rsid w:val="008321CE"/>
    <w:rsid w:val="00832B9A"/>
    <w:rsid w:val="008333E2"/>
    <w:rsid w:val="0083540D"/>
    <w:rsid w:val="00835532"/>
    <w:rsid w:val="00835A45"/>
    <w:rsid w:val="00835CCC"/>
    <w:rsid w:val="00836918"/>
    <w:rsid w:val="0083699E"/>
    <w:rsid w:val="00836EB6"/>
    <w:rsid w:val="00837242"/>
    <w:rsid w:val="008373C2"/>
    <w:rsid w:val="0083797A"/>
    <w:rsid w:val="00840194"/>
    <w:rsid w:val="008405CE"/>
    <w:rsid w:val="008407D3"/>
    <w:rsid w:val="00840B6A"/>
    <w:rsid w:val="00840CB7"/>
    <w:rsid w:val="00841003"/>
    <w:rsid w:val="00841273"/>
    <w:rsid w:val="008415D2"/>
    <w:rsid w:val="008418BF"/>
    <w:rsid w:val="00842862"/>
    <w:rsid w:val="0084288E"/>
    <w:rsid w:val="0084300E"/>
    <w:rsid w:val="008433B1"/>
    <w:rsid w:val="008438C7"/>
    <w:rsid w:val="008446E2"/>
    <w:rsid w:val="00844773"/>
    <w:rsid w:val="00844893"/>
    <w:rsid w:val="00844A48"/>
    <w:rsid w:val="00844F88"/>
    <w:rsid w:val="00845448"/>
    <w:rsid w:val="00845507"/>
    <w:rsid w:val="008458EA"/>
    <w:rsid w:val="008463DF"/>
    <w:rsid w:val="0084768A"/>
    <w:rsid w:val="0084792B"/>
    <w:rsid w:val="00847E63"/>
    <w:rsid w:val="0085045B"/>
    <w:rsid w:val="0085088C"/>
    <w:rsid w:val="0085093D"/>
    <w:rsid w:val="00850988"/>
    <w:rsid w:val="00850D55"/>
    <w:rsid w:val="00851489"/>
    <w:rsid w:val="00851DD5"/>
    <w:rsid w:val="00852475"/>
    <w:rsid w:val="00852CB3"/>
    <w:rsid w:val="00852CEC"/>
    <w:rsid w:val="00853785"/>
    <w:rsid w:val="00854A58"/>
    <w:rsid w:val="00854F8B"/>
    <w:rsid w:val="008553F6"/>
    <w:rsid w:val="00855858"/>
    <w:rsid w:val="0085686C"/>
    <w:rsid w:val="00857B03"/>
    <w:rsid w:val="008601DD"/>
    <w:rsid w:val="00860A72"/>
    <w:rsid w:val="00860B8D"/>
    <w:rsid w:val="00860D7D"/>
    <w:rsid w:val="0086154E"/>
    <w:rsid w:val="00861570"/>
    <w:rsid w:val="00861F91"/>
    <w:rsid w:val="0086205D"/>
    <w:rsid w:val="00864C34"/>
    <w:rsid w:val="00864F16"/>
    <w:rsid w:val="00865145"/>
    <w:rsid w:val="0086537E"/>
    <w:rsid w:val="008664B6"/>
    <w:rsid w:val="00866B62"/>
    <w:rsid w:val="00870156"/>
    <w:rsid w:val="008710C1"/>
    <w:rsid w:val="0087134E"/>
    <w:rsid w:val="008715D1"/>
    <w:rsid w:val="00871D90"/>
    <w:rsid w:val="008725FB"/>
    <w:rsid w:val="00872878"/>
    <w:rsid w:val="008729E6"/>
    <w:rsid w:val="008730CF"/>
    <w:rsid w:val="00873423"/>
    <w:rsid w:val="00873C29"/>
    <w:rsid w:val="00873F03"/>
    <w:rsid w:val="0087435F"/>
    <w:rsid w:val="0087441E"/>
    <w:rsid w:val="00874BAD"/>
    <w:rsid w:val="00874CC0"/>
    <w:rsid w:val="00875321"/>
    <w:rsid w:val="00875CF1"/>
    <w:rsid w:val="00875ECC"/>
    <w:rsid w:val="00876212"/>
    <w:rsid w:val="00876645"/>
    <w:rsid w:val="00876A39"/>
    <w:rsid w:val="0087707E"/>
    <w:rsid w:val="00877428"/>
    <w:rsid w:val="008777FC"/>
    <w:rsid w:val="00877CF1"/>
    <w:rsid w:val="0088049E"/>
    <w:rsid w:val="00880AE1"/>
    <w:rsid w:val="00881533"/>
    <w:rsid w:val="008817A3"/>
    <w:rsid w:val="00881C12"/>
    <w:rsid w:val="008824D7"/>
    <w:rsid w:val="00882B3D"/>
    <w:rsid w:val="00883119"/>
    <w:rsid w:val="00883FBB"/>
    <w:rsid w:val="0088423C"/>
    <w:rsid w:val="008858CB"/>
    <w:rsid w:val="00885B2C"/>
    <w:rsid w:val="00886111"/>
    <w:rsid w:val="00886B86"/>
    <w:rsid w:val="0088729D"/>
    <w:rsid w:val="008878C3"/>
    <w:rsid w:val="00887E11"/>
    <w:rsid w:val="00890522"/>
    <w:rsid w:val="0089062C"/>
    <w:rsid w:val="00890793"/>
    <w:rsid w:val="0089086C"/>
    <w:rsid w:val="00890B89"/>
    <w:rsid w:val="00891189"/>
    <w:rsid w:val="008912D4"/>
    <w:rsid w:val="00891A31"/>
    <w:rsid w:val="00891B03"/>
    <w:rsid w:val="00891DCA"/>
    <w:rsid w:val="00892218"/>
    <w:rsid w:val="008926F4"/>
    <w:rsid w:val="00892AB1"/>
    <w:rsid w:val="00893997"/>
    <w:rsid w:val="00893AAB"/>
    <w:rsid w:val="00893AC7"/>
    <w:rsid w:val="00894287"/>
    <w:rsid w:val="0089490C"/>
    <w:rsid w:val="00894BFD"/>
    <w:rsid w:val="00894C1F"/>
    <w:rsid w:val="00894E7B"/>
    <w:rsid w:val="00894ECD"/>
    <w:rsid w:val="00894F62"/>
    <w:rsid w:val="00895053"/>
    <w:rsid w:val="00895093"/>
    <w:rsid w:val="008959F4"/>
    <w:rsid w:val="00895F4B"/>
    <w:rsid w:val="008960A6"/>
    <w:rsid w:val="00896158"/>
    <w:rsid w:val="00896552"/>
    <w:rsid w:val="008967D7"/>
    <w:rsid w:val="00896AA8"/>
    <w:rsid w:val="0089703F"/>
    <w:rsid w:val="00897F9D"/>
    <w:rsid w:val="008A0ACE"/>
    <w:rsid w:val="008A0EB1"/>
    <w:rsid w:val="008A1BE2"/>
    <w:rsid w:val="008A24BC"/>
    <w:rsid w:val="008A2969"/>
    <w:rsid w:val="008A3C79"/>
    <w:rsid w:val="008A4347"/>
    <w:rsid w:val="008A4769"/>
    <w:rsid w:val="008A5A32"/>
    <w:rsid w:val="008A5B33"/>
    <w:rsid w:val="008A5DAC"/>
    <w:rsid w:val="008A61F0"/>
    <w:rsid w:val="008A6551"/>
    <w:rsid w:val="008A7177"/>
    <w:rsid w:val="008A7D74"/>
    <w:rsid w:val="008B034B"/>
    <w:rsid w:val="008B0565"/>
    <w:rsid w:val="008B15B9"/>
    <w:rsid w:val="008B172F"/>
    <w:rsid w:val="008B173E"/>
    <w:rsid w:val="008B197E"/>
    <w:rsid w:val="008B1A8A"/>
    <w:rsid w:val="008B29C1"/>
    <w:rsid w:val="008B29EF"/>
    <w:rsid w:val="008B2CB7"/>
    <w:rsid w:val="008B2D8D"/>
    <w:rsid w:val="008B2E42"/>
    <w:rsid w:val="008B31CE"/>
    <w:rsid w:val="008B3312"/>
    <w:rsid w:val="008B363A"/>
    <w:rsid w:val="008B37F0"/>
    <w:rsid w:val="008B389B"/>
    <w:rsid w:val="008B4080"/>
    <w:rsid w:val="008B428B"/>
    <w:rsid w:val="008B44E3"/>
    <w:rsid w:val="008B4979"/>
    <w:rsid w:val="008B4E4D"/>
    <w:rsid w:val="008B548D"/>
    <w:rsid w:val="008B54AE"/>
    <w:rsid w:val="008B58A5"/>
    <w:rsid w:val="008B623F"/>
    <w:rsid w:val="008B669D"/>
    <w:rsid w:val="008B699D"/>
    <w:rsid w:val="008B6FAF"/>
    <w:rsid w:val="008B7C45"/>
    <w:rsid w:val="008C1019"/>
    <w:rsid w:val="008C19C4"/>
    <w:rsid w:val="008C1FA9"/>
    <w:rsid w:val="008C1FC4"/>
    <w:rsid w:val="008C20E4"/>
    <w:rsid w:val="008C2498"/>
    <w:rsid w:val="008C2737"/>
    <w:rsid w:val="008C2B91"/>
    <w:rsid w:val="008C36FD"/>
    <w:rsid w:val="008C3A44"/>
    <w:rsid w:val="008C422D"/>
    <w:rsid w:val="008C46B5"/>
    <w:rsid w:val="008C46C8"/>
    <w:rsid w:val="008C48E2"/>
    <w:rsid w:val="008C4A0F"/>
    <w:rsid w:val="008C505D"/>
    <w:rsid w:val="008C5B4C"/>
    <w:rsid w:val="008C5E72"/>
    <w:rsid w:val="008C6986"/>
    <w:rsid w:val="008C6A9C"/>
    <w:rsid w:val="008C6BAB"/>
    <w:rsid w:val="008C72C2"/>
    <w:rsid w:val="008C75EC"/>
    <w:rsid w:val="008D005A"/>
    <w:rsid w:val="008D041A"/>
    <w:rsid w:val="008D0508"/>
    <w:rsid w:val="008D1A05"/>
    <w:rsid w:val="008D20A7"/>
    <w:rsid w:val="008D2118"/>
    <w:rsid w:val="008D23AD"/>
    <w:rsid w:val="008D2D67"/>
    <w:rsid w:val="008D2E55"/>
    <w:rsid w:val="008D33F1"/>
    <w:rsid w:val="008D3B10"/>
    <w:rsid w:val="008D44B5"/>
    <w:rsid w:val="008D4B59"/>
    <w:rsid w:val="008D5C8A"/>
    <w:rsid w:val="008D6BA4"/>
    <w:rsid w:val="008D710D"/>
    <w:rsid w:val="008D7218"/>
    <w:rsid w:val="008D75CB"/>
    <w:rsid w:val="008E023D"/>
    <w:rsid w:val="008E035C"/>
    <w:rsid w:val="008E03BD"/>
    <w:rsid w:val="008E0AE5"/>
    <w:rsid w:val="008E11D2"/>
    <w:rsid w:val="008E1320"/>
    <w:rsid w:val="008E1575"/>
    <w:rsid w:val="008E19FC"/>
    <w:rsid w:val="008E1A17"/>
    <w:rsid w:val="008E1DE9"/>
    <w:rsid w:val="008E2776"/>
    <w:rsid w:val="008E29F7"/>
    <w:rsid w:val="008E2DAE"/>
    <w:rsid w:val="008E324C"/>
    <w:rsid w:val="008E33BA"/>
    <w:rsid w:val="008E33E1"/>
    <w:rsid w:val="008E374B"/>
    <w:rsid w:val="008E3E78"/>
    <w:rsid w:val="008E59A1"/>
    <w:rsid w:val="008E63A6"/>
    <w:rsid w:val="008E6865"/>
    <w:rsid w:val="008E69A2"/>
    <w:rsid w:val="008E7823"/>
    <w:rsid w:val="008E7B28"/>
    <w:rsid w:val="008E7CB7"/>
    <w:rsid w:val="008E7F76"/>
    <w:rsid w:val="008F0A2C"/>
    <w:rsid w:val="008F0A30"/>
    <w:rsid w:val="008F17E5"/>
    <w:rsid w:val="008F2108"/>
    <w:rsid w:val="008F37A3"/>
    <w:rsid w:val="008F4002"/>
    <w:rsid w:val="008F4019"/>
    <w:rsid w:val="008F4FFE"/>
    <w:rsid w:val="008F506D"/>
    <w:rsid w:val="008F5329"/>
    <w:rsid w:val="008F592E"/>
    <w:rsid w:val="008F6178"/>
    <w:rsid w:val="008F620C"/>
    <w:rsid w:val="008F625F"/>
    <w:rsid w:val="008F68EB"/>
    <w:rsid w:val="008F690E"/>
    <w:rsid w:val="008F69BD"/>
    <w:rsid w:val="008F728C"/>
    <w:rsid w:val="008F73C7"/>
    <w:rsid w:val="008F7A93"/>
    <w:rsid w:val="00900DFB"/>
    <w:rsid w:val="00901080"/>
    <w:rsid w:val="009020CE"/>
    <w:rsid w:val="00902234"/>
    <w:rsid w:val="009024AF"/>
    <w:rsid w:val="009026C5"/>
    <w:rsid w:val="009038D6"/>
    <w:rsid w:val="0090397A"/>
    <w:rsid w:val="00904155"/>
    <w:rsid w:val="00904660"/>
    <w:rsid w:val="00904B18"/>
    <w:rsid w:val="00904BBF"/>
    <w:rsid w:val="00904C65"/>
    <w:rsid w:val="009055B7"/>
    <w:rsid w:val="00905C56"/>
    <w:rsid w:val="009061FC"/>
    <w:rsid w:val="009062E0"/>
    <w:rsid w:val="00906507"/>
    <w:rsid w:val="00906B06"/>
    <w:rsid w:val="00907054"/>
    <w:rsid w:val="00907331"/>
    <w:rsid w:val="00907CB9"/>
    <w:rsid w:val="00907D36"/>
    <w:rsid w:val="009103CC"/>
    <w:rsid w:val="0091096E"/>
    <w:rsid w:val="00911251"/>
    <w:rsid w:val="0091189B"/>
    <w:rsid w:val="00911ECA"/>
    <w:rsid w:val="0091287C"/>
    <w:rsid w:val="00912FF9"/>
    <w:rsid w:val="0091330B"/>
    <w:rsid w:val="009136FA"/>
    <w:rsid w:val="00913FEE"/>
    <w:rsid w:val="00914476"/>
    <w:rsid w:val="00914C1C"/>
    <w:rsid w:val="00914FBA"/>
    <w:rsid w:val="009150B1"/>
    <w:rsid w:val="009151BF"/>
    <w:rsid w:val="009155B0"/>
    <w:rsid w:val="00915826"/>
    <w:rsid w:val="00915B3D"/>
    <w:rsid w:val="00916026"/>
    <w:rsid w:val="00916B60"/>
    <w:rsid w:val="00916C2B"/>
    <w:rsid w:val="00917882"/>
    <w:rsid w:val="00917A28"/>
    <w:rsid w:val="00920806"/>
    <w:rsid w:val="00920E89"/>
    <w:rsid w:val="00920F59"/>
    <w:rsid w:val="00921A82"/>
    <w:rsid w:val="0092271B"/>
    <w:rsid w:val="009235AE"/>
    <w:rsid w:val="0092366B"/>
    <w:rsid w:val="009237B5"/>
    <w:rsid w:val="0092429A"/>
    <w:rsid w:val="009242DE"/>
    <w:rsid w:val="009243E0"/>
    <w:rsid w:val="00924980"/>
    <w:rsid w:val="00924A8C"/>
    <w:rsid w:val="00924D25"/>
    <w:rsid w:val="00925ADD"/>
    <w:rsid w:val="00925B99"/>
    <w:rsid w:val="0092619D"/>
    <w:rsid w:val="0092624B"/>
    <w:rsid w:val="00926295"/>
    <w:rsid w:val="00926435"/>
    <w:rsid w:val="00926642"/>
    <w:rsid w:val="00926650"/>
    <w:rsid w:val="009267E5"/>
    <w:rsid w:val="00926A05"/>
    <w:rsid w:val="00926C51"/>
    <w:rsid w:val="009276BB"/>
    <w:rsid w:val="00927E85"/>
    <w:rsid w:val="00930015"/>
    <w:rsid w:val="00930DCD"/>
    <w:rsid w:val="00930F70"/>
    <w:rsid w:val="0093220E"/>
    <w:rsid w:val="009322C8"/>
    <w:rsid w:val="0093233B"/>
    <w:rsid w:val="00932613"/>
    <w:rsid w:val="00932C5D"/>
    <w:rsid w:val="0093342A"/>
    <w:rsid w:val="00933A9E"/>
    <w:rsid w:val="00933EDA"/>
    <w:rsid w:val="00933F51"/>
    <w:rsid w:val="0093434E"/>
    <w:rsid w:val="0093455F"/>
    <w:rsid w:val="009356F8"/>
    <w:rsid w:val="00935787"/>
    <w:rsid w:val="00935DD9"/>
    <w:rsid w:val="009361B2"/>
    <w:rsid w:val="00936356"/>
    <w:rsid w:val="009366CA"/>
    <w:rsid w:val="009369BB"/>
    <w:rsid w:val="00936CED"/>
    <w:rsid w:val="00937978"/>
    <w:rsid w:val="00937B95"/>
    <w:rsid w:val="0094019A"/>
    <w:rsid w:val="0094024B"/>
    <w:rsid w:val="0094036A"/>
    <w:rsid w:val="009407C6"/>
    <w:rsid w:val="009410AF"/>
    <w:rsid w:val="00941195"/>
    <w:rsid w:val="00941288"/>
    <w:rsid w:val="00941CC1"/>
    <w:rsid w:val="00941DB4"/>
    <w:rsid w:val="009424AA"/>
    <w:rsid w:val="009425DA"/>
    <w:rsid w:val="00942958"/>
    <w:rsid w:val="00943580"/>
    <w:rsid w:val="00943873"/>
    <w:rsid w:val="00943BD3"/>
    <w:rsid w:val="0094439B"/>
    <w:rsid w:val="00944C01"/>
    <w:rsid w:val="00944EC9"/>
    <w:rsid w:val="00945229"/>
    <w:rsid w:val="00945743"/>
    <w:rsid w:val="009461A6"/>
    <w:rsid w:val="00946B48"/>
    <w:rsid w:val="00947745"/>
    <w:rsid w:val="009478ED"/>
    <w:rsid w:val="00947ACB"/>
    <w:rsid w:val="00947AFF"/>
    <w:rsid w:val="00947B0C"/>
    <w:rsid w:val="00947C8C"/>
    <w:rsid w:val="00950FCD"/>
    <w:rsid w:val="009513C6"/>
    <w:rsid w:val="00951A33"/>
    <w:rsid w:val="00951C62"/>
    <w:rsid w:val="009530D0"/>
    <w:rsid w:val="00953A0C"/>
    <w:rsid w:val="00953D7A"/>
    <w:rsid w:val="009549B6"/>
    <w:rsid w:val="00954F16"/>
    <w:rsid w:val="009554F5"/>
    <w:rsid w:val="00955505"/>
    <w:rsid w:val="00955C48"/>
    <w:rsid w:val="009560C0"/>
    <w:rsid w:val="00956257"/>
    <w:rsid w:val="009563C7"/>
    <w:rsid w:val="00956575"/>
    <w:rsid w:val="00956C97"/>
    <w:rsid w:val="0095765B"/>
    <w:rsid w:val="00957975"/>
    <w:rsid w:val="00957EF6"/>
    <w:rsid w:val="0096047D"/>
    <w:rsid w:val="00960C44"/>
    <w:rsid w:val="0096148F"/>
    <w:rsid w:val="009614E1"/>
    <w:rsid w:val="009615D6"/>
    <w:rsid w:val="0096163B"/>
    <w:rsid w:val="00961DC7"/>
    <w:rsid w:val="00961E03"/>
    <w:rsid w:val="0096221B"/>
    <w:rsid w:val="00962630"/>
    <w:rsid w:val="00963565"/>
    <w:rsid w:val="0096411E"/>
    <w:rsid w:val="0096465B"/>
    <w:rsid w:val="009649C0"/>
    <w:rsid w:val="00964A81"/>
    <w:rsid w:val="009654B3"/>
    <w:rsid w:val="00965A8D"/>
    <w:rsid w:val="00965CC1"/>
    <w:rsid w:val="00965D6A"/>
    <w:rsid w:val="0096640D"/>
    <w:rsid w:val="0096643A"/>
    <w:rsid w:val="00966F16"/>
    <w:rsid w:val="00967FAF"/>
    <w:rsid w:val="009706E4"/>
    <w:rsid w:val="00970CD7"/>
    <w:rsid w:val="00970E84"/>
    <w:rsid w:val="00970EE1"/>
    <w:rsid w:val="009717A5"/>
    <w:rsid w:val="009728EF"/>
    <w:rsid w:val="00972A5B"/>
    <w:rsid w:val="0097319B"/>
    <w:rsid w:val="009731AC"/>
    <w:rsid w:val="009731DE"/>
    <w:rsid w:val="00973953"/>
    <w:rsid w:val="00974D75"/>
    <w:rsid w:val="00974E9E"/>
    <w:rsid w:val="009751A1"/>
    <w:rsid w:val="00975C7F"/>
    <w:rsid w:val="00975CDE"/>
    <w:rsid w:val="00975EA0"/>
    <w:rsid w:val="009764AF"/>
    <w:rsid w:val="009764FF"/>
    <w:rsid w:val="00976A5E"/>
    <w:rsid w:val="00976D4A"/>
    <w:rsid w:val="00976F4D"/>
    <w:rsid w:val="0097740F"/>
    <w:rsid w:val="009774E2"/>
    <w:rsid w:val="00980057"/>
    <w:rsid w:val="00980BCD"/>
    <w:rsid w:val="00980F65"/>
    <w:rsid w:val="00980FBB"/>
    <w:rsid w:val="0098121D"/>
    <w:rsid w:val="00981498"/>
    <w:rsid w:val="009817C9"/>
    <w:rsid w:val="00981D9D"/>
    <w:rsid w:val="009820CC"/>
    <w:rsid w:val="00982245"/>
    <w:rsid w:val="0098264A"/>
    <w:rsid w:val="009828DB"/>
    <w:rsid w:val="009832A1"/>
    <w:rsid w:val="009837FE"/>
    <w:rsid w:val="00983A2C"/>
    <w:rsid w:val="00983F9E"/>
    <w:rsid w:val="00984354"/>
    <w:rsid w:val="00984CC3"/>
    <w:rsid w:val="00985637"/>
    <w:rsid w:val="00986852"/>
    <w:rsid w:val="0098686D"/>
    <w:rsid w:val="0098714B"/>
    <w:rsid w:val="00987C86"/>
    <w:rsid w:val="00987D6A"/>
    <w:rsid w:val="00987E14"/>
    <w:rsid w:val="00990234"/>
    <w:rsid w:val="00990A85"/>
    <w:rsid w:val="00991101"/>
    <w:rsid w:val="009911FE"/>
    <w:rsid w:val="00991857"/>
    <w:rsid w:val="00991993"/>
    <w:rsid w:val="009919CA"/>
    <w:rsid w:val="00992162"/>
    <w:rsid w:val="00993235"/>
    <w:rsid w:val="009944FD"/>
    <w:rsid w:val="009946C9"/>
    <w:rsid w:val="009958AB"/>
    <w:rsid w:val="009961D4"/>
    <w:rsid w:val="0099674D"/>
    <w:rsid w:val="00996AFD"/>
    <w:rsid w:val="0099718A"/>
    <w:rsid w:val="009A04AE"/>
    <w:rsid w:val="009A0C5D"/>
    <w:rsid w:val="009A1EA0"/>
    <w:rsid w:val="009A2E5F"/>
    <w:rsid w:val="009A30AF"/>
    <w:rsid w:val="009A30B6"/>
    <w:rsid w:val="009A31CD"/>
    <w:rsid w:val="009A3514"/>
    <w:rsid w:val="009A3944"/>
    <w:rsid w:val="009A3B77"/>
    <w:rsid w:val="009A3E09"/>
    <w:rsid w:val="009A4244"/>
    <w:rsid w:val="009A4885"/>
    <w:rsid w:val="009A4BBC"/>
    <w:rsid w:val="009A5710"/>
    <w:rsid w:val="009A5D89"/>
    <w:rsid w:val="009A6210"/>
    <w:rsid w:val="009A6320"/>
    <w:rsid w:val="009A6AB4"/>
    <w:rsid w:val="009A6AB7"/>
    <w:rsid w:val="009B0008"/>
    <w:rsid w:val="009B00E0"/>
    <w:rsid w:val="009B0606"/>
    <w:rsid w:val="009B07B5"/>
    <w:rsid w:val="009B17FB"/>
    <w:rsid w:val="009B1BA5"/>
    <w:rsid w:val="009B215B"/>
    <w:rsid w:val="009B30F9"/>
    <w:rsid w:val="009B420B"/>
    <w:rsid w:val="009B444B"/>
    <w:rsid w:val="009B4BFD"/>
    <w:rsid w:val="009B4DE9"/>
    <w:rsid w:val="009B57AC"/>
    <w:rsid w:val="009B595B"/>
    <w:rsid w:val="009B601B"/>
    <w:rsid w:val="009B6C9F"/>
    <w:rsid w:val="009B6E5C"/>
    <w:rsid w:val="009B6F7B"/>
    <w:rsid w:val="009B6FB8"/>
    <w:rsid w:val="009B78EA"/>
    <w:rsid w:val="009B79E6"/>
    <w:rsid w:val="009C03BE"/>
    <w:rsid w:val="009C03E6"/>
    <w:rsid w:val="009C07A3"/>
    <w:rsid w:val="009C11DE"/>
    <w:rsid w:val="009C1665"/>
    <w:rsid w:val="009C16A2"/>
    <w:rsid w:val="009C2228"/>
    <w:rsid w:val="009C280E"/>
    <w:rsid w:val="009C3A0C"/>
    <w:rsid w:val="009C3DA6"/>
    <w:rsid w:val="009C3EA5"/>
    <w:rsid w:val="009C50E8"/>
    <w:rsid w:val="009C56A5"/>
    <w:rsid w:val="009C5B4E"/>
    <w:rsid w:val="009C5C1D"/>
    <w:rsid w:val="009C5FE8"/>
    <w:rsid w:val="009C65D4"/>
    <w:rsid w:val="009C7111"/>
    <w:rsid w:val="009C7FD3"/>
    <w:rsid w:val="009D03FF"/>
    <w:rsid w:val="009D053A"/>
    <w:rsid w:val="009D2357"/>
    <w:rsid w:val="009D2458"/>
    <w:rsid w:val="009D25A1"/>
    <w:rsid w:val="009D3297"/>
    <w:rsid w:val="009D33F1"/>
    <w:rsid w:val="009D397A"/>
    <w:rsid w:val="009D3AF4"/>
    <w:rsid w:val="009D3E65"/>
    <w:rsid w:val="009D483A"/>
    <w:rsid w:val="009D4D19"/>
    <w:rsid w:val="009D5661"/>
    <w:rsid w:val="009D59FD"/>
    <w:rsid w:val="009D5DE9"/>
    <w:rsid w:val="009D5E7C"/>
    <w:rsid w:val="009D60A0"/>
    <w:rsid w:val="009D617F"/>
    <w:rsid w:val="009D6360"/>
    <w:rsid w:val="009D6C6E"/>
    <w:rsid w:val="009D6EE3"/>
    <w:rsid w:val="009D6FA9"/>
    <w:rsid w:val="009D75A1"/>
    <w:rsid w:val="009D78DA"/>
    <w:rsid w:val="009D79BF"/>
    <w:rsid w:val="009D7BCD"/>
    <w:rsid w:val="009D7E62"/>
    <w:rsid w:val="009E00C2"/>
    <w:rsid w:val="009E0D9E"/>
    <w:rsid w:val="009E11E0"/>
    <w:rsid w:val="009E1407"/>
    <w:rsid w:val="009E1481"/>
    <w:rsid w:val="009E18EE"/>
    <w:rsid w:val="009E224C"/>
    <w:rsid w:val="009E2B3C"/>
    <w:rsid w:val="009E2FC2"/>
    <w:rsid w:val="009E37BC"/>
    <w:rsid w:val="009E4000"/>
    <w:rsid w:val="009E44B3"/>
    <w:rsid w:val="009E464A"/>
    <w:rsid w:val="009E4719"/>
    <w:rsid w:val="009E4EA6"/>
    <w:rsid w:val="009E515F"/>
    <w:rsid w:val="009E532C"/>
    <w:rsid w:val="009E5623"/>
    <w:rsid w:val="009E61C8"/>
    <w:rsid w:val="009E6851"/>
    <w:rsid w:val="009E6D9C"/>
    <w:rsid w:val="009E7692"/>
    <w:rsid w:val="009E79D7"/>
    <w:rsid w:val="009E7AB1"/>
    <w:rsid w:val="009E7FA9"/>
    <w:rsid w:val="009F0708"/>
    <w:rsid w:val="009F0C8D"/>
    <w:rsid w:val="009F0EB7"/>
    <w:rsid w:val="009F1A4C"/>
    <w:rsid w:val="009F1ADC"/>
    <w:rsid w:val="009F3209"/>
    <w:rsid w:val="009F4601"/>
    <w:rsid w:val="009F476B"/>
    <w:rsid w:val="009F47D0"/>
    <w:rsid w:val="009F5B9B"/>
    <w:rsid w:val="009F6766"/>
    <w:rsid w:val="009F6A61"/>
    <w:rsid w:val="009F6B24"/>
    <w:rsid w:val="009F6D0D"/>
    <w:rsid w:val="009F7681"/>
    <w:rsid w:val="00A00392"/>
    <w:rsid w:val="00A00BA5"/>
    <w:rsid w:val="00A011CE"/>
    <w:rsid w:val="00A01BF7"/>
    <w:rsid w:val="00A0234E"/>
    <w:rsid w:val="00A02C99"/>
    <w:rsid w:val="00A03724"/>
    <w:rsid w:val="00A03B63"/>
    <w:rsid w:val="00A03FB2"/>
    <w:rsid w:val="00A0404A"/>
    <w:rsid w:val="00A0454E"/>
    <w:rsid w:val="00A0459A"/>
    <w:rsid w:val="00A04BEF"/>
    <w:rsid w:val="00A062B8"/>
    <w:rsid w:val="00A06534"/>
    <w:rsid w:val="00A06650"/>
    <w:rsid w:val="00A06AD3"/>
    <w:rsid w:val="00A06CDB"/>
    <w:rsid w:val="00A07184"/>
    <w:rsid w:val="00A1002E"/>
    <w:rsid w:val="00A101AC"/>
    <w:rsid w:val="00A10219"/>
    <w:rsid w:val="00A1032F"/>
    <w:rsid w:val="00A10A03"/>
    <w:rsid w:val="00A10A83"/>
    <w:rsid w:val="00A10BFE"/>
    <w:rsid w:val="00A10EDB"/>
    <w:rsid w:val="00A11750"/>
    <w:rsid w:val="00A1176D"/>
    <w:rsid w:val="00A1177E"/>
    <w:rsid w:val="00A11836"/>
    <w:rsid w:val="00A11BFB"/>
    <w:rsid w:val="00A12516"/>
    <w:rsid w:val="00A12999"/>
    <w:rsid w:val="00A12EBD"/>
    <w:rsid w:val="00A131A4"/>
    <w:rsid w:val="00A1393F"/>
    <w:rsid w:val="00A1429D"/>
    <w:rsid w:val="00A142FE"/>
    <w:rsid w:val="00A14989"/>
    <w:rsid w:val="00A1503A"/>
    <w:rsid w:val="00A150F0"/>
    <w:rsid w:val="00A1519F"/>
    <w:rsid w:val="00A15CD4"/>
    <w:rsid w:val="00A15F59"/>
    <w:rsid w:val="00A1653A"/>
    <w:rsid w:val="00A1685D"/>
    <w:rsid w:val="00A17B77"/>
    <w:rsid w:val="00A2096A"/>
    <w:rsid w:val="00A20F52"/>
    <w:rsid w:val="00A21100"/>
    <w:rsid w:val="00A212FD"/>
    <w:rsid w:val="00A2140B"/>
    <w:rsid w:val="00A225CF"/>
    <w:rsid w:val="00A23E7B"/>
    <w:rsid w:val="00A24A59"/>
    <w:rsid w:val="00A25719"/>
    <w:rsid w:val="00A26783"/>
    <w:rsid w:val="00A267A6"/>
    <w:rsid w:val="00A26A11"/>
    <w:rsid w:val="00A27469"/>
    <w:rsid w:val="00A278AD"/>
    <w:rsid w:val="00A30280"/>
    <w:rsid w:val="00A30BDF"/>
    <w:rsid w:val="00A30F56"/>
    <w:rsid w:val="00A3110E"/>
    <w:rsid w:val="00A32127"/>
    <w:rsid w:val="00A3231D"/>
    <w:rsid w:val="00A3234D"/>
    <w:rsid w:val="00A3258D"/>
    <w:rsid w:val="00A3290D"/>
    <w:rsid w:val="00A33AFE"/>
    <w:rsid w:val="00A33C80"/>
    <w:rsid w:val="00A33FAA"/>
    <w:rsid w:val="00A34131"/>
    <w:rsid w:val="00A34722"/>
    <w:rsid w:val="00A35208"/>
    <w:rsid w:val="00A35703"/>
    <w:rsid w:val="00A35A0A"/>
    <w:rsid w:val="00A35CD2"/>
    <w:rsid w:val="00A371A5"/>
    <w:rsid w:val="00A37725"/>
    <w:rsid w:val="00A37B27"/>
    <w:rsid w:val="00A409EE"/>
    <w:rsid w:val="00A40CC7"/>
    <w:rsid w:val="00A412AB"/>
    <w:rsid w:val="00A42C75"/>
    <w:rsid w:val="00A43568"/>
    <w:rsid w:val="00A43B19"/>
    <w:rsid w:val="00A450DA"/>
    <w:rsid w:val="00A4582D"/>
    <w:rsid w:val="00A461FB"/>
    <w:rsid w:val="00A46421"/>
    <w:rsid w:val="00A4696F"/>
    <w:rsid w:val="00A47A66"/>
    <w:rsid w:val="00A50A56"/>
    <w:rsid w:val="00A5107E"/>
    <w:rsid w:val="00A511C1"/>
    <w:rsid w:val="00A51253"/>
    <w:rsid w:val="00A51988"/>
    <w:rsid w:val="00A519CC"/>
    <w:rsid w:val="00A51B29"/>
    <w:rsid w:val="00A51C3C"/>
    <w:rsid w:val="00A52775"/>
    <w:rsid w:val="00A52AC7"/>
    <w:rsid w:val="00A5329E"/>
    <w:rsid w:val="00A55E2F"/>
    <w:rsid w:val="00A55E87"/>
    <w:rsid w:val="00A5645C"/>
    <w:rsid w:val="00A565AE"/>
    <w:rsid w:val="00A56720"/>
    <w:rsid w:val="00A578AF"/>
    <w:rsid w:val="00A579C3"/>
    <w:rsid w:val="00A60058"/>
    <w:rsid w:val="00A60BB5"/>
    <w:rsid w:val="00A61326"/>
    <w:rsid w:val="00A61673"/>
    <w:rsid w:val="00A61F0B"/>
    <w:rsid w:val="00A61F29"/>
    <w:rsid w:val="00A62996"/>
    <w:rsid w:val="00A62EA0"/>
    <w:rsid w:val="00A6313C"/>
    <w:rsid w:val="00A631C3"/>
    <w:rsid w:val="00A632AE"/>
    <w:rsid w:val="00A64559"/>
    <w:rsid w:val="00A64A55"/>
    <w:rsid w:val="00A64DDA"/>
    <w:rsid w:val="00A65010"/>
    <w:rsid w:val="00A65031"/>
    <w:rsid w:val="00A655F0"/>
    <w:rsid w:val="00A65A3D"/>
    <w:rsid w:val="00A65B55"/>
    <w:rsid w:val="00A65E46"/>
    <w:rsid w:val="00A6620A"/>
    <w:rsid w:val="00A66737"/>
    <w:rsid w:val="00A66B6A"/>
    <w:rsid w:val="00A66BF3"/>
    <w:rsid w:val="00A6779A"/>
    <w:rsid w:val="00A679BF"/>
    <w:rsid w:val="00A67E9D"/>
    <w:rsid w:val="00A7067F"/>
    <w:rsid w:val="00A70CDE"/>
    <w:rsid w:val="00A70E95"/>
    <w:rsid w:val="00A711B4"/>
    <w:rsid w:val="00A71452"/>
    <w:rsid w:val="00A73A5D"/>
    <w:rsid w:val="00A73B42"/>
    <w:rsid w:val="00A73D0C"/>
    <w:rsid w:val="00A74411"/>
    <w:rsid w:val="00A74589"/>
    <w:rsid w:val="00A74F1C"/>
    <w:rsid w:val="00A75119"/>
    <w:rsid w:val="00A75461"/>
    <w:rsid w:val="00A75466"/>
    <w:rsid w:val="00A75BF8"/>
    <w:rsid w:val="00A75C20"/>
    <w:rsid w:val="00A76733"/>
    <w:rsid w:val="00A767BF"/>
    <w:rsid w:val="00A769FB"/>
    <w:rsid w:val="00A76F8D"/>
    <w:rsid w:val="00A775FC"/>
    <w:rsid w:val="00A7792A"/>
    <w:rsid w:val="00A77CA5"/>
    <w:rsid w:val="00A77F9A"/>
    <w:rsid w:val="00A806AA"/>
    <w:rsid w:val="00A81528"/>
    <w:rsid w:val="00A81660"/>
    <w:rsid w:val="00A81743"/>
    <w:rsid w:val="00A81F2C"/>
    <w:rsid w:val="00A81F68"/>
    <w:rsid w:val="00A820CB"/>
    <w:rsid w:val="00A82A83"/>
    <w:rsid w:val="00A82E27"/>
    <w:rsid w:val="00A83477"/>
    <w:rsid w:val="00A839E6"/>
    <w:rsid w:val="00A8440C"/>
    <w:rsid w:val="00A8472C"/>
    <w:rsid w:val="00A8542C"/>
    <w:rsid w:val="00A85514"/>
    <w:rsid w:val="00A868E2"/>
    <w:rsid w:val="00A86F6F"/>
    <w:rsid w:val="00A877A7"/>
    <w:rsid w:val="00A878D3"/>
    <w:rsid w:val="00A8798A"/>
    <w:rsid w:val="00A90B4D"/>
    <w:rsid w:val="00A90CB5"/>
    <w:rsid w:val="00A912EB"/>
    <w:rsid w:val="00A922B8"/>
    <w:rsid w:val="00A9241F"/>
    <w:rsid w:val="00A92516"/>
    <w:rsid w:val="00A927D3"/>
    <w:rsid w:val="00A92F77"/>
    <w:rsid w:val="00A93106"/>
    <w:rsid w:val="00A9314D"/>
    <w:rsid w:val="00A9336C"/>
    <w:rsid w:val="00A94EB1"/>
    <w:rsid w:val="00A9503F"/>
    <w:rsid w:val="00A95D85"/>
    <w:rsid w:val="00A96431"/>
    <w:rsid w:val="00A96A8C"/>
    <w:rsid w:val="00A970B4"/>
    <w:rsid w:val="00A970C5"/>
    <w:rsid w:val="00A9758A"/>
    <w:rsid w:val="00AA00EA"/>
    <w:rsid w:val="00AA128A"/>
    <w:rsid w:val="00AA15D5"/>
    <w:rsid w:val="00AA16F8"/>
    <w:rsid w:val="00AA18E3"/>
    <w:rsid w:val="00AA23B1"/>
    <w:rsid w:val="00AA32CE"/>
    <w:rsid w:val="00AA3398"/>
    <w:rsid w:val="00AA54E1"/>
    <w:rsid w:val="00AA564C"/>
    <w:rsid w:val="00AA616F"/>
    <w:rsid w:val="00AA6B44"/>
    <w:rsid w:val="00AA6DA2"/>
    <w:rsid w:val="00AA7248"/>
    <w:rsid w:val="00AA7755"/>
    <w:rsid w:val="00AB080F"/>
    <w:rsid w:val="00AB0CBF"/>
    <w:rsid w:val="00AB0D12"/>
    <w:rsid w:val="00AB135F"/>
    <w:rsid w:val="00AB1AF8"/>
    <w:rsid w:val="00AB1BAE"/>
    <w:rsid w:val="00AB1CEA"/>
    <w:rsid w:val="00AB1F9A"/>
    <w:rsid w:val="00AB2036"/>
    <w:rsid w:val="00AB384F"/>
    <w:rsid w:val="00AB3C56"/>
    <w:rsid w:val="00AB44C9"/>
    <w:rsid w:val="00AB4736"/>
    <w:rsid w:val="00AB47F3"/>
    <w:rsid w:val="00AB4830"/>
    <w:rsid w:val="00AB4C3D"/>
    <w:rsid w:val="00AB4DBF"/>
    <w:rsid w:val="00AB51B3"/>
    <w:rsid w:val="00AB56CB"/>
    <w:rsid w:val="00AB6C3E"/>
    <w:rsid w:val="00AB6DC9"/>
    <w:rsid w:val="00AB6EE0"/>
    <w:rsid w:val="00AB7078"/>
    <w:rsid w:val="00AB7C3E"/>
    <w:rsid w:val="00AC060C"/>
    <w:rsid w:val="00AC077F"/>
    <w:rsid w:val="00AC0DD7"/>
    <w:rsid w:val="00AC107A"/>
    <w:rsid w:val="00AC16D0"/>
    <w:rsid w:val="00AC18FD"/>
    <w:rsid w:val="00AC1D81"/>
    <w:rsid w:val="00AC33E7"/>
    <w:rsid w:val="00AC3622"/>
    <w:rsid w:val="00AC38A2"/>
    <w:rsid w:val="00AC3A29"/>
    <w:rsid w:val="00AC3ABC"/>
    <w:rsid w:val="00AC419A"/>
    <w:rsid w:val="00AC4641"/>
    <w:rsid w:val="00AC505F"/>
    <w:rsid w:val="00AC5412"/>
    <w:rsid w:val="00AC54D5"/>
    <w:rsid w:val="00AC566B"/>
    <w:rsid w:val="00AC5BB2"/>
    <w:rsid w:val="00AC6D45"/>
    <w:rsid w:val="00AC715B"/>
    <w:rsid w:val="00AC7D19"/>
    <w:rsid w:val="00AD028A"/>
    <w:rsid w:val="00AD07D0"/>
    <w:rsid w:val="00AD0B98"/>
    <w:rsid w:val="00AD109C"/>
    <w:rsid w:val="00AD17F1"/>
    <w:rsid w:val="00AD1BC4"/>
    <w:rsid w:val="00AD1E8F"/>
    <w:rsid w:val="00AD27EF"/>
    <w:rsid w:val="00AD2B47"/>
    <w:rsid w:val="00AD3026"/>
    <w:rsid w:val="00AD32DB"/>
    <w:rsid w:val="00AD373E"/>
    <w:rsid w:val="00AD49B0"/>
    <w:rsid w:val="00AD4DA8"/>
    <w:rsid w:val="00AD5BC1"/>
    <w:rsid w:val="00AD5C68"/>
    <w:rsid w:val="00AD6146"/>
    <w:rsid w:val="00AD65BE"/>
    <w:rsid w:val="00AD6650"/>
    <w:rsid w:val="00AD670E"/>
    <w:rsid w:val="00AD6FFE"/>
    <w:rsid w:val="00AD7592"/>
    <w:rsid w:val="00AD773C"/>
    <w:rsid w:val="00AE006E"/>
    <w:rsid w:val="00AE012B"/>
    <w:rsid w:val="00AE06C5"/>
    <w:rsid w:val="00AE155B"/>
    <w:rsid w:val="00AE1D75"/>
    <w:rsid w:val="00AE2591"/>
    <w:rsid w:val="00AE25B8"/>
    <w:rsid w:val="00AE2997"/>
    <w:rsid w:val="00AE2B04"/>
    <w:rsid w:val="00AE2C5B"/>
    <w:rsid w:val="00AE3468"/>
    <w:rsid w:val="00AE4AB4"/>
    <w:rsid w:val="00AE517F"/>
    <w:rsid w:val="00AE53A0"/>
    <w:rsid w:val="00AE54C6"/>
    <w:rsid w:val="00AE5885"/>
    <w:rsid w:val="00AE60D5"/>
    <w:rsid w:val="00AE6A4A"/>
    <w:rsid w:val="00AE6AB6"/>
    <w:rsid w:val="00AE6C2D"/>
    <w:rsid w:val="00AE7049"/>
    <w:rsid w:val="00AE74E6"/>
    <w:rsid w:val="00AE78CA"/>
    <w:rsid w:val="00AE79EF"/>
    <w:rsid w:val="00AF04C1"/>
    <w:rsid w:val="00AF0577"/>
    <w:rsid w:val="00AF0662"/>
    <w:rsid w:val="00AF0A11"/>
    <w:rsid w:val="00AF0C91"/>
    <w:rsid w:val="00AF110D"/>
    <w:rsid w:val="00AF1749"/>
    <w:rsid w:val="00AF1872"/>
    <w:rsid w:val="00AF1F5B"/>
    <w:rsid w:val="00AF22C8"/>
    <w:rsid w:val="00AF2A2E"/>
    <w:rsid w:val="00AF2D4A"/>
    <w:rsid w:val="00AF35AF"/>
    <w:rsid w:val="00AF36FA"/>
    <w:rsid w:val="00AF38C0"/>
    <w:rsid w:val="00AF4002"/>
    <w:rsid w:val="00AF437B"/>
    <w:rsid w:val="00AF4F5E"/>
    <w:rsid w:val="00AF595B"/>
    <w:rsid w:val="00AF5F35"/>
    <w:rsid w:val="00AF64C1"/>
    <w:rsid w:val="00AF65CD"/>
    <w:rsid w:val="00AF6D1B"/>
    <w:rsid w:val="00AF703F"/>
    <w:rsid w:val="00AF7076"/>
    <w:rsid w:val="00AF7336"/>
    <w:rsid w:val="00AF767A"/>
    <w:rsid w:val="00B00202"/>
    <w:rsid w:val="00B002D2"/>
    <w:rsid w:val="00B00A40"/>
    <w:rsid w:val="00B0153D"/>
    <w:rsid w:val="00B01776"/>
    <w:rsid w:val="00B01802"/>
    <w:rsid w:val="00B018E3"/>
    <w:rsid w:val="00B019C9"/>
    <w:rsid w:val="00B02515"/>
    <w:rsid w:val="00B02DB7"/>
    <w:rsid w:val="00B02E5E"/>
    <w:rsid w:val="00B036A8"/>
    <w:rsid w:val="00B03842"/>
    <w:rsid w:val="00B03EC0"/>
    <w:rsid w:val="00B044BF"/>
    <w:rsid w:val="00B0477F"/>
    <w:rsid w:val="00B04C32"/>
    <w:rsid w:val="00B04D41"/>
    <w:rsid w:val="00B05D28"/>
    <w:rsid w:val="00B05E43"/>
    <w:rsid w:val="00B060A5"/>
    <w:rsid w:val="00B06170"/>
    <w:rsid w:val="00B06BA2"/>
    <w:rsid w:val="00B0707E"/>
    <w:rsid w:val="00B07DA4"/>
    <w:rsid w:val="00B07DBD"/>
    <w:rsid w:val="00B103B4"/>
    <w:rsid w:val="00B10870"/>
    <w:rsid w:val="00B10FA7"/>
    <w:rsid w:val="00B11468"/>
    <w:rsid w:val="00B11A3F"/>
    <w:rsid w:val="00B1240B"/>
    <w:rsid w:val="00B12AB1"/>
    <w:rsid w:val="00B136EB"/>
    <w:rsid w:val="00B13CA4"/>
    <w:rsid w:val="00B1502E"/>
    <w:rsid w:val="00B152A9"/>
    <w:rsid w:val="00B15C99"/>
    <w:rsid w:val="00B15EE2"/>
    <w:rsid w:val="00B1626B"/>
    <w:rsid w:val="00B1670E"/>
    <w:rsid w:val="00B16E23"/>
    <w:rsid w:val="00B17210"/>
    <w:rsid w:val="00B179BB"/>
    <w:rsid w:val="00B17B2F"/>
    <w:rsid w:val="00B17CE9"/>
    <w:rsid w:val="00B20477"/>
    <w:rsid w:val="00B209A3"/>
    <w:rsid w:val="00B21047"/>
    <w:rsid w:val="00B211D8"/>
    <w:rsid w:val="00B21ABD"/>
    <w:rsid w:val="00B2300E"/>
    <w:rsid w:val="00B23380"/>
    <w:rsid w:val="00B23DCE"/>
    <w:rsid w:val="00B242A0"/>
    <w:rsid w:val="00B25611"/>
    <w:rsid w:val="00B257A1"/>
    <w:rsid w:val="00B2667E"/>
    <w:rsid w:val="00B2674A"/>
    <w:rsid w:val="00B26D34"/>
    <w:rsid w:val="00B277AB"/>
    <w:rsid w:val="00B27ADD"/>
    <w:rsid w:val="00B27B61"/>
    <w:rsid w:val="00B27B7E"/>
    <w:rsid w:val="00B27EAF"/>
    <w:rsid w:val="00B301AE"/>
    <w:rsid w:val="00B306CB"/>
    <w:rsid w:val="00B30B85"/>
    <w:rsid w:val="00B30D5A"/>
    <w:rsid w:val="00B30FFD"/>
    <w:rsid w:val="00B3166F"/>
    <w:rsid w:val="00B31680"/>
    <w:rsid w:val="00B32016"/>
    <w:rsid w:val="00B32027"/>
    <w:rsid w:val="00B32BDB"/>
    <w:rsid w:val="00B32C18"/>
    <w:rsid w:val="00B32EB5"/>
    <w:rsid w:val="00B3378B"/>
    <w:rsid w:val="00B33CE0"/>
    <w:rsid w:val="00B343DF"/>
    <w:rsid w:val="00B35049"/>
    <w:rsid w:val="00B35461"/>
    <w:rsid w:val="00B356EF"/>
    <w:rsid w:val="00B35955"/>
    <w:rsid w:val="00B35B32"/>
    <w:rsid w:val="00B35DC7"/>
    <w:rsid w:val="00B35E0F"/>
    <w:rsid w:val="00B3654B"/>
    <w:rsid w:val="00B367E0"/>
    <w:rsid w:val="00B379CE"/>
    <w:rsid w:val="00B37CAD"/>
    <w:rsid w:val="00B4058C"/>
    <w:rsid w:val="00B409F6"/>
    <w:rsid w:val="00B40D84"/>
    <w:rsid w:val="00B40ED0"/>
    <w:rsid w:val="00B4105A"/>
    <w:rsid w:val="00B412A5"/>
    <w:rsid w:val="00B41454"/>
    <w:rsid w:val="00B4153B"/>
    <w:rsid w:val="00B41679"/>
    <w:rsid w:val="00B41712"/>
    <w:rsid w:val="00B41A51"/>
    <w:rsid w:val="00B41C5F"/>
    <w:rsid w:val="00B421E3"/>
    <w:rsid w:val="00B4230D"/>
    <w:rsid w:val="00B42E98"/>
    <w:rsid w:val="00B43666"/>
    <w:rsid w:val="00B449A7"/>
    <w:rsid w:val="00B44C98"/>
    <w:rsid w:val="00B44EE4"/>
    <w:rsid w:val="00B45014"/>
    <w:rsid w:val="00B4547B"/>
    <w:rsid w:val="00B456F8"/>
    <w:rsid w:val="00B45AE1"/>
    <w:rsid w:val="00B45EF4"/>
    <w:rsid w:val="00B463FF"/>
    <w:rsid w:val="00B46CC8"/>
    <w:rsid w:val="00B47491"/>
    <w:rsid w:val="00B479F2"/>
    <w:rsid w:val="00B47F51"/>
    <w:rsid w:val="00B47FBF"/>
    <w:rsid w:val="00B50129"/>
    <w:rsid w:val="00B504E0"/>
    <w:rsid w:val="00B50FC3"/>
    <w:rsid w:val="00B51008"/>
    <w:rsid w:val="00B51522"/>
    <w:rsid w:val="00B51B21"/>
    <w:rsid w:val="00B51CA0"/>
    <w:rsid w:val="00B52029"/>
    <w:rsid w:val="00B52493"/>
    <w:rsid w:val="00B52F95"/>
    <w:rsid w:val="00B5329B"/>
    <w:rsid w:val="00B555EE"/>
    <w:rsid w:val="00B55C20"/>
    <w:rsid w:val="00B561CC"/>
    <w:rsid w:val="00B5686C"/>
    <w:rsid w:val="00B56C49"/>
    <w:rsid w:val="00B5778C"/>
    <w:rsid w:val="00B610F1"/>
    <w:rsid w:val="00B62444"/>
    <w:rsid w:val="00B6277D"/>
    <w:rsid w:val="00B62857"/>
    <w:rsid w:val="00B63AB2"/>
    <w:rsid w:val="00B63F41"/>
    <w:rsid w:val="00B63F65"/>
    <w:rsid w:val="00B6428A"/>
    <w:rsid w:val="00B64A59"/>
    <w:rsid w:val="00B64DB2"/>
    <w:rsid w:val="00B64DD1"/>
    <w:rsid w:val="00B651C8"/>
    <w:rsid w:val="00B65287"/>
    <w:rsid w:val="00B6571A"/>
    <w:rsid w:val="00B6626D"/>
    <w:rsid w:val="00B66794"/>
    <w:rsid w:val="00B66A7E"/>
    <w:rsid w:val="00B66C1A"/>
    <w:rsid w:val="00B700DC"/>
    <w:rsid w:val="00B70520"/>
    <w:rsid w:val="00B70E06"/>
    <w:rsid w:val="00B71EBD"/>
    <w:rsid w:val="00B744C3"/>
    <w:rsid w:val="00B74EBF"/>
    <w:rsid w:val="00B76424"/>
    <w:rsid w:val="00B7696D"/>
    <w:rsid w:val="00B76F5C"/>
    <w:rsid w:val="00B772FB"/>
    <w:rsid w:val="00B77760"/>
    <w:rsid w:val="00B77AE4"/>
    <w:rsid w:val="00B77D4C"/>
    <w:rsid w:val="00B80015"/>
    <w:rsid w:val="00B801A9"/>
    <w:rsid w:val="00B8021D"/>
    <w:rsid w:val="00B81421"/>
    <w:rsid w:val="00B81F8B"/>
    <w:rsid w:val="00B82129"/>
    <w:rsid w:val="00B82B4F"/>
    <w:rsid w:val="00B82CD1"/>
    <w:rsid w:val="00B82F93"/>
    <w:rsid w:val="00B8315B"/>
    <w:rsid w:val="00B8584F"/>
    <w:rsid w:val="00B86535"/>
    <w:rsid w:val="00B865B3"/>
    <w:rsid w:val="00B86AB6"/>
    <w:rsid w:val="00B86D53"/>
    <w:rsid w:val="00B86EEF"/>
    <w:rsid w:val="00B873DA"/>
    <w:rsid w:val="00B87875"/>
    <w:rsid w:val="00B90A9B"/>
    <w:rsid w:val="00B911DA"/>
    <w:rsid w:val="00B912C8"/>
    <w:rsid w:val="00B914AE"/>
    <w:rsid w:val="00B917CA"/>
    <w:rsid w:val="00B919A9"/>
    <w:rsid w:val="00B91ACA"/>
    <w:rsid w:val="00B9217C"/>
    <w:rsid w:val="00B92677"/>
    <w:rsid w:val="00B933E6"/>
    <w:rsid w:val="00B93468"/>
    <w:rsid w:val="00B935C7"/>
    <w:rsid w:val="00B9376E"/>
    <w:rsid w:val="00B93A59"/>
    <w:rsid w:val="00B93EF3"/>
    <w:rsid w:val="00B940A4"/>
    <w:rsid w:val="00B9459D"/>
    <w:rsid w:val="00B94C4D"/>
    <w:rsid w:val="00B95909"/>
    <w:rsid w:val="00B95AAF"/>
    <w:rsid w:val="00B97483"/>
    <w:rsid w:val="00B977C8"/>
    <w:rsid w:val="00BA08B2"/>
    <w:rsid w:val="00BA0A3A"/>
    <w:rsid w:val="00BA0A82"/>
    <w:rsid w:val="00BA109E"/>
    <w:rsid w:val="00BA136F"/>
    <w:rsid w:val="00BA17B1"/>
    <w:rsid w:val="00BA184A"/>
    <w:rsid w:val="00BA1AD8"/>
    <w:rsid w:val="00BA1F1B"/>
    <w:rsid w:val="00BA26F8"/>
    <w:rsid w:val="00BA294E"/>
    <w:rsid w:val="00BA29A1"/>
    <w:rsid w:val="00BA2B9C"/>
    <w:rsid w:val="00BA2F17"/>
    <w:rsid w:val="00BA3449"/>
    <w:rsid w:val="00BA4371"/>
    <w:rsid w:val="00BA44B6"/>
    <w:rsid w:val="00BA4DD6"/>
    <w:rsid w:val="00BA4F8E"/>
    <w:rsid w:val="00BA4FF4"/>
    <w:rsid w:val="00BA4FF6"/>
    <w:rsid w:val="00BA5338"/>
    <w:rsid w:val="00BA55A4"/>
    <w:rsid w:val="00BA57BA"/>
    <w:rsid w:val="00BA5EDC"/>
    <w:rsid w:val="00BA61C4"/>
    <w:rsid w:val="00BA7537"/>
    <w:rsid w:val="00BA7558"/>
    <w:rsid w:val="00BA7F92"/>
    <w:rsid w:val="00BA7FAB"/>
    <w:rsid w:val="00BB01D1"/>
    <w:rsid w:val="00BB046D"/>
    <w:rsid w:val="00BB0715"/>
    <w:rsid w:val="00BB093E"/>
    <w:rsid w:val="00BB0B52"/>
    <w:rsid w:val="00BB0D90"/>
    <w:rsid w:val="00BB1587"/>
    <w:rsid w:val="00BB1B2E"/>
    <w:rsid w:val="00BB2D4E"/>
    <w:rsid w:val="00BB2EEB"/>
    <w:rsid w:val="00BB31BD"/>
    <w:rsid w:val="00BB367D"/>
    <w:rsid w:val="00BB3ABB"/>
    <w:rsid w:val="00BB3BBE"/>
    <w:rsid w:val="00BB4DAB"/>
    <w:rsid w:val="00BB50BA"/>
    <w:rsid w:val="00BB5402"/>
    <w:rsid w:val="00BB5545"/>
    <w:rsid w:val="00BB5596"/>
    <w:rsid w:val="00BB647F"/>
    <w:rsid w:val="00BB6A7F"/>
    <w:rsid w:val="00BB6F7C"/>
    <w:rsid w:val="00BB713C"/>
    <w:rsid w:val="00BB7353"/>
    <w:rsid w:val="00BB7937"/>
    <w:rsid w:val="00BB7C38"/>
    <w:rsid w:val="00BC01F6"/>
    <w:rsid w:val="00BC0559"/>
    <w:rsid w:val="00BC11EF"/>
    <w:rsid w:val="00BC2B7E"/>
    <w:rsid w:val="00BC3345"/>
    <w:rsid w:val="00BC3507"/>
    <w:rsid w:val="00BC4A48"/>
    <w:rsid w:val="00BC5063"/>
    <w:rsid w:val="00BC5251"/>
    <w:rsid w:val="00BC55FD"/>
    <w:rsid w:val="00BC6BC0"/>
    <w:rsid w:val="00BC7834"/>
    <w:rsid w:val="00BC7C0B"/>
    <w:rsid w:val="00BD09D2"/>
    <w:rsid w:val="00BD0D16"/>
    <w:rsid w:val="00BD0E63"/>
    <w:rsid w:val="00BD154B"/>
    <w:rsid w:val="00BD1853"/>
    <w:rsid w:val="00BD1950"/>
    <w:rsid w:val="00BD21AE"/>
    <w:rsid w:val="00BD2385"/>
    <w:rsid w:val="00BD2832"/>
    <w:rsid w:val="00BD2B1A"/>
    <w:rsid w:val="00BD2CD4"/>
    <w:rsid w:val="00BD3D15"/>
    <w:rsid w:val="00BD40BA"/>
    <w:rsid w:val="00BD414D"/>
    <w:rsid w:val="00BD5873"/>
    <w:rsid w:val="00BD5EA5"/>
    <w:rsid w:val="00BD6659"/>
    <w:rsid w:val="00BD6FB2"/>
    <w:rsid w:val="00BD759E"/>
    <w:rsid w:val="00BE097A"/>
    <w:rsid w:val="00BE0994"/>
    <w:rsid w:val="00BE1368"/>
    <w:rsid w:val="00BE19D2"/>
    <w:rsid w:val="00BE1C94"/>
    <w:rsid w:val="00BE1DCE"/>
    <w:rsid w:val="00BE1F15"/>
    <w:rsid w:val="00BE246F"/>
    <w:rsid w:val="00BE2503"/>
    <w:rsid w:val="00BE2D39"/>
    <w:rsid w:val="00BE2D78"/>
    <w:rsid w:val="00BE345D"/>
    <w:rsid w:val="00BE38B1"/>
    <w:rsid w:val="00BE38FF"/>
    <w:rsid w:val="00BE3C8A"/>
    <w:rsid w:val="00BE41C2"/>
    <w:rsid w:val="00BE4435"/>
    <w:rsid w:val="00BE44D8"/>
    <w:rsid w:val="00BE44F1"/>
    <w:rsid w:val="00BE4541"/>
    <w:rsid w:val="00BE46E5"/>
    <w:rsid w:val="00BE474E"/>
    <w:rsid w:val="00BE4E3C"/>
    <w:rsid w:val="00BE52F7"/>
    <w:rsid w:val="00BE57EE"/>
    <w:rsid w:val="00BE5857"/>
    <w:rsid w:val="00BE5B04"/>
    <w:rsid w:val="00BE607E"/>
    <w:rsid w:val="00BE64C4"/>
    <w:rsid w:val="00BE6F11"/>
    <w:rsid w:val="00BE6FB9"/>
    <w:rsid w:val="00BE7D2C"/>
    <w:rsid w:val="00BF0095"/>
    <w:rsid w:val="00BF0223"/>
    <w:rsid w:val="00BF043A"/>
    <w:rsid w:val="00BF06AF"/>
    <w:rsid w:val="00BF2420"/>
    <w:rsid w:val="00BF2CC0"/>
    <w:rsid w:val="00BF2DB0"/>
    <w:rsid w:val="00BF3376"/>
    <w:rsid w:val="00BF3530"/>
    <w:rsid w:val="00BF3BCD"/>
    <w:rsid w:val="00BF44B6"/>
    <w:rsid w:val="00BF44BC"/>
    <w:rsid w:val="00BF5083"/>
    <w:rsid w:val="00BF56AC"/>
    <w:rsid w:val="00BF630C"/>
    <w:rsid w:val="00BF6D1F"/>
    <w:rsid w:val="00BF6F3B"/>
    <w:rsid w:val="00BF796A"/>
    <w:rsid w:val="00BF7D64"/>
    <w:rsid w:val="00C000E6"/>
    <w:rsid w:val="00C001A5"/>
    <w:rsid w:val="00C00F1A"/>
    <w:rsid w:val="00C0138D"/>
    <w:rsid w:val="00C017EF"/>
    <w:rsid w:val="00C01FC9"/>
    <w:rsid w:val="00C024CF"/>
    <w:rsid w:val="00C032F5"/>
    <w:rsid w:val="00C036C9"/>
    <w:rsid w:val="00C04DA0"/>
    <w:rsid w:val="00C05022"/>
    <w:rsid w:val="00C05782"/>
    <w:rsid w:val="00C062DA"/>
    <w:rsid w:val="00C065BC"/>
    <w:rsid w:val="00C06698"/>
    <w:rsid w:val="00C068FC"/>
    <w:rsid w:val="00C06D86"/>
    <w:rsid w:val="00C06E8C"/>
    <w:rsid w:val="00C0743D"/>
    <w:rsid w:val="00C0761F"/>
    <w:rsid w:val="00C07CA5"/>
    <w:rsid w:val="00C10331"/>
    <w:rsid w:val="00C1100D"/>
    <w:rsid w:val="00C115C5"/>
    <w:rsid w:val="00C116E9"/>
    <w:rsid w:val="00C11937"/>
    <w:rsid w:val="00C121B0"/>
    <w:rsid w:val="00C13362"/>
    <w:rsid w:val="00C13A83"/>
    <w:rsid w:val="00C13AD5"/>
    <w:rsid w:val="00C149B6"/>
    <w:rsid w:val="00C14FBE"/>
    <w:rsid w:val="00C1551E"/>
    <w:rsid w:val="00C1599F"/>
    <w:rsid w:val="00C15D5E"/>
    <w:rsid w:val="00C164E3"/>
    <w:rsid w:val="00C16649"/>
    <w:rsid w:val="00C16A86"/>
    <w:rsid w:val="00C1719B"/>
    <w:rsid w:val="00C17B83"/>
    <w:rsid w:val="00C17CFA"/>
    <w:rsid w:val="00C2065B"/>
    <w:rsid w:val="00C20CC5"/>
    <w:rsid w:val="00C216ED"/>
    <w:rsid w:val="00C21CE5"/>
    <w:rsid w:val="00C22014"/>
    <w:rsid w:val="00C2254E"/>
    <w:rsid w:val="00C225ED"/>
    <w:rsid w:val="00C22657"/>
    <w:rsid w:val="00C22814"/>
    <w:rsid w:val="00C230E9"/>
    <w:rsid w:val="00C2325C"/>
    <w:rsid w:val="00C23C44"/>
    <w:rsid w:val="00C23F05"/>
    <w:rsid w:val="00C24580"/>
    <w:rsid w:val="00C24842"/>
    <w:rsid w:val="00C24C00"/>
    <w:rsid w:val="00C25AEA"/>
    <w:rsid w:val="00C25FB6"/>
    <w:rsid w:val="00C260A1"/>
    <w:rsid w:val="00C263C1"/>
    <w:rsid w:val="00C263DC"/>
    <w:rsid w:val="00C272DD"/>
    <w:rsid w:val="00C273FA"/>
    <w:rsid w:val="00C278DC"/>
    <w:rsid w:val="00C278F6"/>
    <w:rsid w:val="00C27F62"/>
    <w:rsid w:val="00C27FDE"/>
    <w:rsid w:val="00C27FE9"/>
    <w:rsid w:val="00C308D8"/>
    <w:rsid w:val="00C315A8"/>
    <w:rsid w:val="00C32679"/>
    <w:rsid w:val="00C3275B"/>
    <w:rsid w:val="00C32A52"/>
    <w:rsid w:val="00C32A82"/>
    <w:rsid w:val="00C335C3"/>
    <w:rsid w:val="00C339AF"/>
    <w:rsid w:val="00C358FA"/>
    <w:rsid w:val="00C35B8C"/>
    <w:rsid w:val="00C35DFE"/>
    <w:rsid w:val="00C36081"/>
    <w:rsid w:val="00C360A2"/>
    <w:rsid w:val="00C36185"/>
    <w:rsid w:val="00C36192"/>
    <w:rsid w:val="00C36564"/>
    <w:rsid w:val="00C368A4"/>
    <w:rsid w:val="00C36C58"/>
    <w:rsid w:val="00C3779D"/>
    <w:rsid w:val="00C4028D"/>
    <w:rsid w:val="00C40BF7"/>
    <w:rsid w:val="00C410A7"/>
    <w:rsid w:val="00C41292"/>
    <w:rsid w:val="00C413A5"/>
    <w:rsid w:val="00C41557"/>
    <w:rsid w:val="00C415ED"/>
    <w:rsid w:val="00C41B11"/>
    <w:rsid w:val="00C41BB9"/>
    <w:rsid w:val="00C42366"/>
    <w:rsid w:val="00C428FB"/>
    <w:rsid w:val="00C42B68"/>
    <w:rsid w:val="00C43441"/>
    <w:rsid w:val="00C43BD3"/>
    <w:rsid w:val="00C43F4C"/>
    <w:rsid w:val="00C443BF"/>
    <w:rsid w:val="00C4473A"/>
    <w:rsid w:val="00C44E99"/>
    <w:rsid w:val="00C4526D"/>
    <w:rsid w:val="00C4530C"/>
    <w:rsid w:val="00C4547D"/>
    <w:rsid w:val="00C457C8"/>
    <w:rsid w:val="00C45CDE"/>
    <w:rsid w:val="00C4604F"/>
    <w:rsid w:val="00C46A0F"/>
    <w:rsid w:val="00C477C4"/>
    <w:rsid w:val="00C4795E"/>
    <w:rsid w:val="00C47FC5"/>
    <w:rsid w:val="00C50A51"/>
    <w:rsid w:val="00C50E5C"/>
    <w:rsid w:val="00C50F29"/>
    <w:rsid w:val="00C52569"/>
    <w:rsid w:val="00C5352A"/>
    <w:rsid w:val="00C536CD"/>
    <w:rsid w:val="00C536F4"/>
    <w:rsid w:val="00C53A48"/>
    <w:rsid w:val="00C53C47"/>
    <w:rsid w:val="00C53D6C"/>
    <w:rsid w:val="00C53FAB"/>
    <w:rsid w:val="00C53FEE"/>
    <w:rsid w:val="00C540C3"/>
    <w:rsid w:val="00C54C67"/>
    <w:rsid w:val="00C557C3"/>
    <w:rsid w:val="00C5638D"/>
    <w:rsid w:val="00C56962"/>
    <w:rsid w:val="00C56F8C"/>
    <w:rsid w:val="00C57134"/>
    <w:rsid w:val="00C602AC"/>
    <w:rsid w:val="00C6033A"/>
    <w:rsid w:val="00C60667"/>
    <w:rsid w:val="00C60E4C"/>
    <w:rsid w:val="00C61FD5"/>
    <w:rsid w:val="00C62E76"/>
    <w:rsid w:val="00C6316F"/>
    <w:rsid w:val="00C631EB"/>
    <w:rsid w:val="00C63CE2"/>
    <w:rsid w:val="00C64170"/>
    <w:rsid w:val="00C641F2"/>
    <w:rsid w:val="00C6434F"/>
    <w:rsid w:val="00C6440E"/>
    <w:rsid w:val="00C644FD"/>
    <w:rsid w:val="00C6493B"/>
    <w:rsid w:val="00C64962"/>
    <w:rsid w:val="00C64AA0"/>
    <w:rsid w:val="00C65A8E"/>
    <w:rsid w:val="00C660CE"/>
    <w:rsid w:val="00C665F0"/>
    <w:rsid w:val="00C67B57"/>
    <w:rsid w:val="00C67B6F"/>
    <w:rsid w:val="00C67ED2"/>
    <w:rsid w:val="00C70078"/>
    <w:rsid w:val="00C70416"/>
    <w:rsid w:val="00C70D6A"/>
    <w:rsid w:val="00C7122C"/>
    <w:rsid w:val="00C71B78"/>
    <w:rsid w:val="00C71C58"/>
    <w:rsid w:val="00C71EAA"/>
    <w:rsid w:val="00C722A9"/>
    <w:rsid w:val="00C722B8"/>
    <w:rsid w:val="00C72453"/>
    <w:rsid w:val="00C7339E"/>
    <w:rsid w:val="00C73548"/>
    <w:rsid w:val="00C74B37"/>
    <w:rsid w:val="00C75365"/>
    <w:rsid w:val="00C7611E"/>
    <w:rsid w:val="00C76CB3"/>
    <w:rsid w:val="00C77098"/>
    <w:rsid w:val="00C773D6"/>
    <w:rsid w:val="00C8000C"/>
    <w:rsid w:val="00C80372"/>
    <w:rsid w:val="00C803E5"/>
    <w:rsid w:val="00C803EA"/>
    <w:rsid w:val="00C80600"/>
    <w:rsid w:val="00C80E50"/>
    <w:rsid w:val="00C825F4"/>
    <w:rsid w:val="00C82E6D"/>
    <w:rsid w:val="00C83304"/>
    <w:rsid w:val="00C83708"/>
    <w:rsid w:val="00C83795"/>
    <w:rsid w:val="00C83A05"/>
    <w:rsid w:val="00C8418F"/>
    <w:rsid w:val="00C845BC"/>
    <w:rsid w:val="00C846E4"/>
    <w:rsid w:val="00C847E7"/>
    <w:rsid w:val="00C84D63"/>
    <w:rsid w:val="00C84D9F"/>
    <w:rsid w:val="00C856F6"/>
    <w:rsid w:val="00C85D7C"/>
    <w:rsid w:val="00C86294"/>
    <w:rsid w:val="00C86707"/>
    <w:rsid w:val="00C86A30"/>
    <w:rsid w:val="00C87165"/>
    <w:rsid w:val="00C90010"/>
    <w:rsid w:val="00C9098D"/>
    <w:rsid w:val="00C90BC0"/>
    <w:rsid w:val="00C911A5"/>
    <w:rsid w:val="00C91770"/>
    <w:rsid w:val="00C92B09"/>
    <w:rsid w:val="00C92D22"/>
    <w:rsid w:val="00C92E2D"/>
    <w:rsid w:val="00C93480"/>
    <w:rsid w:val="00C93B0E"/>
    <w:rsid w:val="00C93F6E"/>
    <w:rsid w:val="00C9415D"/>
    <w:rsid w:val="00C942DA"/>
    <w:rsid w:val="00C94999"/>
    <w:rsid w:val="00C95647"/>
    <w:rsid w:val="00C969CD"/>
    <w:rsid w:val="00C96D53"/>
    <w:rsid w:val="00C97032"/>
    <w:rsid w:val="00C97FB9"/>
    <w:rsid w:val="00CA0066"/>
    <w:rsid w:val="00CA06A7"/>
    <w:rsid w:val="00CA090B"/>
    <w:rsid w:val="00CA0923"/>
    <w:rsid w:val="00CA0989"/>
    <w:rsid w:val="00CA18F5"/>
    <w:rsid w:val="00CA1BBD"/>
    <w:rsid w:val="00CA1EBD"/>
    <w:rsid w:val="00CA1F89"/>
    <w:rsid w:val="00CA279F"/>
    <w:rsid w:val="00CA2942"/>
    <w:rsid w:val="00CA2D2A"/>
    <w:rsid w:val="00CA404D"/>
    <w:rsid w:val="00CA4B1E"/>
    <w:rsid w:val="00CA4D24"/>
    <w:rsid w:val="00CA50B1"/>
    <w:rsid w:val="00CA55E7"/>
    <w:rsid w:val="00CA6E89"/>
    <w:rsid w:val="00CA77C4"/>
    <w:rsid w:val="00CA7FC0"/>
    <w:rsid w:val="00CB09E3"/>
    <w:rsid w:val="00CB0A3C"/>
    <w:rsid w:val="00CB0E66"/>
    <w:rsid w:val="00CB0FD8"/>
    <w:rsid w:val="00CB13A4"/>
    <w:rsid w:val="00CB14BB"/>
    <w:rsid w:val="00CB1BCB"/>
    <w:rsid w:val="00CB2365"/>
    <w:rsid w:val="00CB27F1"/>
    <w:rsid w:val="00CB3181"/>
    <w:rsid w:val="00CB3808"/>
    <w:rsid w:val="00CB4316"/>
    <w:rsid w:val="00CB5813"/>
    <w:rsid w:val="00CB589A"/>
    <w:rsid w:val="00CB58BE"/>
    <w:rsid w:val="00CB5AF4"/>
    <w:rsid w:val="00CB5F95"/>
    <w:rsid w:val="00CB6045"/>
    <w:rsid w:val="00CB62BC"/>
    <w:rsid w:val="00CB62D7"/>
    <w:rsid w:val="00CB662F"/>
    <w:rsid w:val="00CB68ED"/>
    <w:rsid w:val="00CB6C19"/>
    <w:rsid w:val="00CB7796"/>
    <w:rsid w:val="00CB7908"/>
    <w:rsid w:val="00CB7966"/>
    <w:rsid w:val="00CB7BCE"/>
    <w:rsid w:val="00CB7DEC"/>
    <w:rsid w:val="00CC084C"/>
    <w:rsid w:val="00CC08EE"/>
    <w:rsid w:val="00CC11B6"/>
    <w:rsid w:val="00CC1ED8"/>
    <w:rsid w:val="00CC2330"/>
    <w:rsid w:val="00CC23A4"/>
    <w:rsid w:val="00CC2A29"/>
    <w:rsid w:val="00CC2D46"/>
    <w:rsid w:val="00CC3F35"/>
    <w:rsid w:val="00CC4195"/>
    <w:rsid w:val="00CC43C6"/>
    <w:rsid w:val="00CC4604"/>
    <w:rsid w:val="00CC4BEA"/>
    <w:rsid w:val="00CC4F04"/>
    <w:rsid w:val="00CC59B0"/>
    <w:rsid w:val="00CC5FAF"/>
    <w:rsid w:val="00CC645F"/>
    <w:rsid w:val="00CC6CE2"/>
    <w:rsid w:val="00CD05C2"/>
    <w:rsid w:val="00CD0E6A"/>
    <w:rsid w:val="00CD0F9A"/>
    <w:rsid w:val="00CD1D2F"/>
    <w:rsid w:val="00CD2562"/>
    <w:rsid w:val="00CD35E6"/>
    <w:rsid w:val="00CD3ADF"/>
    <w:rsid w:val="00CD53E2"/>
    <w:rsid w:val="00CD53E6"/>
    <w:rsid w:val="00CD5474"/>
    <w:rsid w:val="00CD55E7"/>
    <w:rsid w:val="00CD63C9"/>
    <w:rsid w:val="00CD645A"/>
    <w:rsid w:val="00CD64AB"/>
    <w:rsid w:val="00CD66A5"/>
    <w:rsid w:val="00CD6715"/>
    <w:rsid w:val="00CD6734"/>
    <w:rsid w:val="00CD6C91"/>
    <w:rsid w:val="00CD6F54"/>
    <w:rsid w:val="00CD756D"/>
    <w:rsid w:val="00CE08FE"/>
    <w:rsid w:val="00CE099A"/>
    <w:rsid w:val="00CE0C3D"/>
    <w:rsid w:val="00CE0E97"/>
    <w:rsid w:val="00CE0EDC"/>
    <w:rsid w:val="00CE1347"/>
    <w:rsid w:val="00CE22CF"/>
    <w:rsid w:val="00CE22D9"/>
    <w:rsid w:val="00CE2542"/>
    <w:rsid w:val="00CE26F5"/>
    <w:rsid w:val="00CE2806"/>
    <w:rsid w:val="00CE2983"/>
    <w:rsid w:val="00CE329B"/>
    <w:rsid w:val="00CE3551"/>
    <w:rsid w:val="00CE37CE"/>
    <w:rsid w:val="00CE3FD4"/>
    <w:rsid w:val="00CE401A"/>
    <w:rsid w:val="00CE47CA"/>
    <w:rsid w:val="00CE4DB8"/>
    <w:rsid w:val="00CE4FE2"/>
    <w:rsid w:val="00CE5359"/>
    <w:rsid w:val="00CE5D77"/>
    <w:rsid w:val="00CE5D8C"/>
    <w:rsid w:val="00CE639E"/>
    <w:rsid w:val="00CE683C"/>
    <w:rsid w:val="00CE6E48"/>
    <w:rsid w:val="00CE72E7"/>
    <w:rsid w:val="00CE75C1"/>
    <w:rsid w:val="00CE773A"/>
    <w:rsid w:val="00CF0E41"/>
    <w:rsid w:val="00CF1278"/>
    <w:rsid w:val="00CF1448"/>
    <w:rsid w:val="00CF1AAE"/>
    <w:rsid w:val="00CF2E14"/>
    <w:rsid w:val="00CF3324"/>
    <w:rsid w:val="00CF34D7"/>
    <w:rsid w:val="00CF363D"/>
    <w:rsid w:val="00CF3796"/>
    <w:rsid w:val="00CF4315"/>
    <w:rsid w:val="00CF48FE"/>
    <w:rsid w:val="00CF4CBF"/>
    <w:rsid w:val="00CF4E2A"/>
    <w:rsid w:val="00CF6915"/>
    <w:rsid w:val="00CF6C90"/>
    <w:rsid w:val="00CF6E88"/>
    <w:rsid w:val="00CF7A6A"/>
    <w:rsid w:val="00D00ABE"/>
    <w:rsid w:val="00D00D55"/>
    <w:rsid w:val="00D010D6"/>
    <w:rsid w:val="00D01226"/>
    <w:rsid w:val="00D01C96"/>
    <w:rsid w:val="00D01D78"/>
    <w:rsid w:val="00D01D96"/>
    <w:rsid w:val="00D022DE"/>
    <w:rsid w:val="00D024B7"/>
    <w:rsid w:val="00D02559"/>
    <w:rsid w:val="00D0272C"/>
    <w:rsid w:val="00D02899"/>
    <w:rsid w:val="00D037E3"/>
    <w:rsid w:val="00D0482E"/>
    <w:rsid w:val="00D0497A"/>
    <w:rsid w:val="00D04BA8"/>
    <w:rsid w:val="00D05055"/>
    <w:rsid w:val="00D0571A"/>
    <w:rsid w:val="00D05BAF"/>
    <w:rsid w:val="00D0629E"/>
    <w:rsid w:val="00D062D3"/>
    <w:rsid w:val="00D070C3"/>
    <w:rsid w:val="00D0726F"/>
    <w:rsid w:val="00D075B3"/>
    <w:rsid w:val="00D07AD7"/>
    <w:rsid w:val="00D104C1"/>
    <w:rsid w:val="00D10B86"/>
    <w:rsid w:val="00D11257"/>
    <w:rsid w:val="00D1131E"/>
    <w:rsid w:val="00D12256"/>
    <w:rsid w:val="00D123DD"/>
    <w:rsid w:val="00D12A92"/>
    <w:rsid w:val="00D13E4E"/>
    <w:rsid w:val="00D147C8"/>
    <w:rsid w:val="00D14A06"/>
    <w:rsid w:val="00D14AAC"/>
    <w:rsid w:val="00D14BE0"/>
    <w:rsid w:val="00D15343"/>
    <w:rsid w:val="00D153CE"/>
    <w:rsid w:val="00D15728"/>
    <w:rsid w:val="00D159DD"/>
    <w:rsid w:val="00D15E8A"/>
    <w:rsid w:val="00D165E4"/>
    <w:rsid w:val="00D16C59"/>
    <w:rsid w:val="00D16D58"/>
    <w:rsid w:val="00D205DF"/>
    <w:rsid w:val="00D21B0D"/>
    <w:rsid w:val="00D21BBD"/>
    <w:rsid w:val="00D2244E"/>
    <w:rsid w:val="00D229C3"/>
    <w:rsid w:val="00D22DC0"/>
    <w:rsid w:val="00D22E15"/>
    <w:rsid w:val="00D22F1B"/>
    <w:rsid w:val="00D23BE4"/>
    <w:rsid w:val="00D23C01"/>
    <w:rsid w:val="00D23C06"/>
    <w:rsid w:val="00D24340"/>
    <w:rsid w:val="00D244D0"/>
    <w:rsid w:val="00D25726"/>
    <w:rsid w:val="00D25F5E"/>
    <w:rsid w:val="00D269FE"/>
    <w:rsid w:val="00D26C2E"/>
    <w:rsid w:val="00D2742B"/>
    <w:rsid w:val="00D27AC9"/>
    <w:rsid w:val="00D30251"/>
    <w:rsid w:val="00D308BF"/>
    <w:rsid w:val="00D30FC9"/>
    <w:rsid w:val="00D312F6"/>
    <w:rsid w:val="00D31BC4"/>
    <w:rsid w:val="00D31F96"/>
    <w:rsid w:val="00D32034"/>
    <w:rsid w:val="00D32268"/>
    <w:rsid w:val="00D32372"/>
    <w:rsid w:val="00D32585"/>
    <w:rsid w:val="00D327F2"/>
    <w:rsid w:val="00D32E7F"/>
    <w:rsid w:val="00D33626"/>
    <w:rsid w:val="00D3402F"/>
    <w:rsid w:val="00D34775"/>
    <w:rsid w:val="00D34885"/>
    <w:rsid w:val="00D34A56"/>
    <w:rsid w:val="00D35496"/>
    <w:rsid w:val="00D35928"/>
    <w:rsid w:val="00D37081"/>
    <w:rsid w:val="00D371FE"/>
    <w:rsid w:val="00D3779D"/>
    <w:rsid w:val="00D40106"/>
    <w:rsid w:val="00D401A3"/>
    <w:rsid w:val="00D41E48"/>
    <w:rsid w:val="00D41F78"/>
    <w:rsid w:val="00D42104"/>
    <w:rsid w:val="00D42E75"/>
    <w:rsid w:val="00D42F8A"/>
    <w:rsid w:val="00D43621"/>
    <w:rsid w:val="00D441EA"/>
    <w:rsid w:val="00D4464C"/>
    <w:rsid w:val="00D45A45"/>
    <w:rsid w:val="00D471E2"/>
    <w:rsid w:val="00D474AD"/>
    <w:rsid w:val="00D4755C"/>
    <w:rsid w:val="00D50477"/>
    <w:rsid w:val="00D5094C"/>
    <w:rsid w:val="00D50AA3"/>
    <w:rsid w:val="00D50ABE"/>
    <w:rsid w:val="00D50C74"/>
    <w:rsid w:val="00D510E3"/>
    <w:rsid w:val="00D51AB7"/>
    <w:rsid w:val="00D51CD7"/>
    <w:rsid w:val="00D51D26"/>
    <w:rsid w:val="00D51EF2"/>
    <w:rsid w:val="00D522F8"/>
    <w:rsid w:val="00D52CBC"/>
    <w:rsid w:val="00D537C6"/>
    <w:rsid w:val="00D53C08"/>
    <w:rsid w:val="00D53C3A"/>
    <w:rsid w:val="00D53D61"/>
    <w:rsid w:val="00D53D9B"/>
    <w:rsid w:val="00D5458D"/>
    <w:rsid w:val="00D54F86"/>
    <w:rsid w:val="00D54FEB"/>
    <w:rsid w:val="00D55D05"/>
    <w:rsid w:val="00D55D19"/>
    <w:rsid w:val="00D56D62"/>
    <w:rsid w:val="00D57591"/>
    <w:rsid w:val="00D57AF4"/>
    <w:rsid w:val="00D6013C"/>
    <w:rsid w:val="00D602A2"/>
    <w:rsid w:val="00D608EA"/>
    <w:rsid w:val="00D60C26"/>
    <w:rsid w:val="00D60CF3"/>
    <w:rsid w:val="00D628AF"/>
    <w:rsid w:val="00D630A2"/>
    <w:rsid w:val="00D632A8"/>
    <w:rsid w:val="00D632D9"/>
    <w:rsid w:val="00D63322"/>
    <w:rsid w:val="00D6427C"/>
    <w:rsid w:val="00D642A4"/>
    <w:rsid w:val="00D64A77"/>
    <w:rsid w:val="00D64B97"/>
    <w:rsid w:val="00D651A2"/>
    <w:rsid w:val="00D65385"/>
    <w:rsid w:val="00D653EE"/>
    <w:rsid w:val="00D65948"/>
    <w:rsid w:val="00D65D96"/>
    <w:rsid w:val="00D66958"/>
    <w:rsid w:val="00D669FD"/>
    <w:rsid w:val="00D66E93"/>
    <w:rsid w:val="00D67555"/>
    <w:rsid w:val="00D67583"/>
    <w:rsid w:val="00D67906"/>
    <w:rsid w:val="00D700E5"/>
    <w:rsid w:val="00D70B09"/>
    <w:rsid w:val="00D70DB9"/>
    <w:rsid w:val="00D71113"/>
    <w:rsid w:val="00D71712"/>
    <w:rsid w:val="00D71E5D"/>
    <w:rsid w:val="00D71ED2"/>
    <w:rsid w:val="00D71F24"/>
    <w:rsid w:val="00D71FF4"/>
    <w:rsid w:val="00D7207D"/>
    <w:rsid w:val="00D7255F"/>
    <w:rsid w:val="00D7256F"/>
    <w:rsid w:val="00D729D0"/>
    <w:rsid w:val="00D73336"/>
    <w:rsid w:val="00D73A8C"/>
    <w:rsid w:val="00D73FD4"/>
    <w:rsid w:val="00D74808"/>
    <w:rsid w:val="00D7486C"/>
    <w:rsid w:val="00D757D7"/>
    <w:rsid w:val="00D75D33"/>
    <w:rsid w:val="00D761E1"/>
    <w:rsid w:val="00D763F3"/>
    <w:rsid w:val="00D767AA"/>
    <w:rsid w:val="00D767AC"/>
    <w:rsid w:val="00D767E3"/>
    <w:rsid w:val="00D76EF0"/>
    <w:rsid w:val="00D770A4"/>
    <w:rsid w:val="00D77801"/>
    <w:rsid w:val="00D779E7"/>
    <w:rsid w:val="00D80071"/>
    <w:rsid w:val="00D8007F"/>
    <w:rsid w:val="00D80AFE"/>
    <w:rsid w:val="00D810A7"/>
    <w:rsid w:val="00D8154F"/>
    <w:rsid w:val="00D819F2"/>
    <w:rsid w:val="00D81A9C"/>
    <w:rsid w:val="00D82643"/>
    <w:rsid w:val="00D827D9"/>
    <w:rsid w:val="00D83030"/>
    <w:rsid w:val="00D83D3F"/>
    <w:rsid w:val="00D84C9A"/>
    <w:rsid w:val="00D84CFE"/>
    <w:rsid w:val="00D84F38"/>
    <w:rsid w:val="00D85925"/>
    <w:rsid w:val="00D85CCF"/>
    <w:rsid w:val="00D86B3D"/>
    <w:rsid w:val="00D86BAB"/>
    <w:rsid w:val="00D876D3"/>
    <w:rsid w:val="00D87797"/>
    <w:rsid w:val="00D877F2"/>
    <w:rsid w:val="00D90025"/>
    <w:rsid w:val="00D91003"/>
    <w:rsid w:val="00D91AAE"/>
    <w:rsid w:val="00D91E96"/>
    <w:rsid w:val="00D91F9B"/>
    <w:rsid w:val="00D920FB"/>
    <w:rsid w:val="00D92583"/>
    <w:rsid w:val="00D92E60"/>
    <w:rsid w:val="00D93DBE"/>
    <w:rsid w:val="00D949F3"/>
    <w:rsid w:val="00D94DC5"/>
    <w:rsid w:val="00D94EE8"/>
    <w:rsid w:val="00D95166"/>
    <w:rsid w:val="00D95499"/>
    <w:rsid w:val="00D96326"/>
    <w:rsid w:val="00D969CF"/>
    <w:rsid w:val="00D96C9E"/>
    <w:rsid w:val="00D96E5E"/>
    <w:rsid w:val="00D978A9"/>
    <w:rsid w:val="00DA0DFD"/>
    <w:rsid w:val="00DA1944"/>
    <w:rsid w:val="00DA1F1C"/>
    <w:rsid w:val="00DA217A"/>
    <w:rsid w:val="00DA2ABD"/>
    <w:rsid w:val="00DA2C47"/>
    <w:rsid w:val="00DA37F5"/>
    <w:rsid w:val="00DA3828"/>
    <w:rsid w:val="00DA3889"/>
    <w:rsid w:val="00DA3D4F"/>
    <w:rsid w:val="00DA42F1"/>
    <w:rsid w:val="00DA5784"/>
    <w:rsid w:val="00DA5AB7"/>
    <w:rsid w:val="00DA5C06"/>
    <w:rsid w:val="00DA67DC"/>
    <w:rsid w:val="00DA6F3F"/>
    <w:rsid w:val="00DA6F4B"/>
    <w:rsid w:val="00DA70F3"/>
    <w:rsid w:val="00DA761B"/>
    <w:rsid w:val="00DA7D10"/>
    <w:rsid w:val="00DA7FDF"/>
    <w:rsid w:val="00DB0390"/>
    <w:rsid w:val="00DB0875"/>
    <w:rsid w:val="00DB0BAE"/>
    <w:rsid w:val="00DB0F84"/>
    <w:rsid w:val="00DB0FBE"/>
    <w:rsid w:val="00DB1171"/>
    <w:rsid w:val="00DB140C"/>
    <w:rsid w:val="00DB1976"/>
    <w:rsid w:val="00DB1B2C"/>
    <w:rsid w:val="00DB1B42"/>
    <w:rsid w:val="00DB2217"/>
    <w:rsid w:val="00DB247D"/>
    <w:rsid w:val="00DB2965"/>
    <w:rsid w:val="00DB3DF9"/>
    <w:rsid w:val="00DB402A"/>
    <w:rsid w:val="00DB43F9"/>
    <w:rsid w:val="00DB4969"/>
    <w:rsid w:val="00DB5419"/>
    <w:rsid w:val="00DB59D4"/>
    <w:rsid w:val="00DB64E0"/>
    <w:rsid w:val="00DB7313"/>
    <w:rsid w:val="00DB7588"/>
    <w:rsid w:val="00DB772F"/>
    <w:rsid w:val="00DB7F93"/>
    <w:rsid w:val="00DC16CC"/>
    <w:rsid w:val="00DC1B99"/>
    <w:rsid w:val="00DC3172"/>
    <w:rsid w:val="00DC3D2B"/>
    <w:rsid w:val="00DC493C"/>
    <w:rsid w:val="00DC578F"/>
    <w:rsid w:val="00DC5956"/>
    <w:rsid w:val="00DC62B2"/>
    <w:rsid w:val="00DC63CB"/>
    <w:rsid w:val="00DC723D"/>
    <w:rsid w:val="00DD0314"/>
    <w:rsid w:val="00DD035D"/>
    <w:rsid w:val="00DD0381"/>
    <w:rsid w:val="00DD09F3"/>
    <w:rsid w:val="00DD0AC2"/>
    <w:rsid w:val="00DD12F2"/>
    <w:rsid w:val="00DD187E"/>
    <w:rsid w:val="00DD24CC"/>
    <w:rsid w:val="00DD289C"/>
    <w:rsid w:val="00DD2BE0"/>
    <w:rsid w:val="00DD2EEB"/>
    <w:rsid w:val="00DD3099"/>
    <w:rsid w:val="00DD3210"/>
    <w:rsid w:val="00DD4692"/>
    <w:rsid w:val="00DD554F"/>
    <w:rsid w:val="00DD5BF1"/>
    <w:rsid w:val="00DD63E3"/>
    <w:rsid w:val="00DD6716"/>
    <w:rsid w:val="00DD7793"/>
    <w:rsid w:val="00DD7BCF"/>
    <w:rsid w:val="00DE0417"/>
    <w:rsid w:val="00DE0A56"/>
    <w:rsid w:val="00DE1172"/>
    <w:rsid w:val="00DE145F"/>
    <w:rsid w:val="00DE1EE4"/>
    <w:rsid w:val="00DE2017"/>
    <w:rsid w:val="00DE22C6"/>
    <w:rsid w:val="00DE2521"/>
    <w:rsid w:val="00DE3143"/>
    <w:rsid w:val="00DE3298"/>
    <w:rsid w:val="00DE3602"/>
    <w:rsid w:val="00DE3F17"/>
    <w:rsid w:val="00DE4D74"/>
    <w:rsid w:val="00DE4F84"/>
    <w:rsid w:val="00DE5417"/>
    <w:rsid w:val="00DE5457"/>
    <w:rsid w:val="00DE5499"/>
    <w:rsid w:val="00DE54AB"/>
    <w:rsid w:val="00DE550D"/>
    <w:rsid w:val="00DE6837"/>
    <w:rsid w:val="00DE6ECE"/>
    <w:rsid w:val="00DE75DC"/>
    <w:rsid w:val="00DE77B7"/>
    <w:rsid w:val="00DE7B1C"/>
    <w:rsid w:val="00DE7B47"/>
    <w:rsid w:val="00DE7C13"/>
    <w:rsid w:val="00DF00DF"/>
    <w:rsid w:val="00DF0675"/>
    <w:rsid w:val="00DF07B8"/>
    <w:rsid w:val="00DF0FC0"/>
    <w:rsid w:val="00DF158D"/>
    <w:rsid w:val="00DF1C59"/>
    <w:rsid w:val="00DF1F0B"/>
    <w:rsid w:val="00DF227D"/>
    <w:rsid w:val="00DF3034"/>
    <w:rsid w:val="00DF3237"/>
    <w:rsid w:val="00DF3532"/>
    <w:rsid w:val="00DF3A78"/>
    <w:rsid w:val="00DF3B24"/>
    <w:rsid w:val="00DF3BE1"/>
    <w:rsid w:val="00DF40F5"/>
    <w:rsid w:val="00DF4B1D"/>
    <w:rsid w:val="00DF5551"/>
    <w:rsid w:val="00DF5657"/>
    <w:rsid w:val="00DF59EB"/>
    <w:rsid w:val="00DF5FA1"/>
    <w:rsid w:val="00DF67DE"/>
    <w:rsid w:val="00DF681F"/>
    <w:rsid w:val="00DF72FD"/>
    <w:rsid w:val="00DF73FB"/>
    <w:rsid w:val="00DF75D8"/>
    <w:rsid w:val="00DF7988"/>
    <w:rsid w:val="00DF7D47"/>
    <w:rsid w:val="00E009FE"/>
    <w:rsid w:val="00E00A01"/>
    <w:rsid w:val="00E00CAF"/>
    <w:rsid w:val="00E0107C"/>
    <w:rsid w:val="00E011D7"/>
    <w:rsid w:val="00E0132B"/>
    <w:rsid w:val="00E019D4"/>
    <w:rsid w:val="00E02D92"/>
    <w:rsid w:val="00E0335C"/>
    <w:rsid w:val="00E03C8F"/>
    <w:rsid w:val="00E03D83"/>
    <w:rsid w:val="00E04446"/>
    <w:rsid w:val="00E04971"/>
    <w:rsid w:val="00E04A97"/>
    <w:rsid w:val="00E0501B"/>
    <w:rsid w:val="00E0539F"/>
    <w:rsid w:val="00E05890"/>
    <w:rsid w:val="00E05BD7"/>
    <w:rsid w:val="00E05DD3"/>
    <w:rsid w:val="00E06107"/>
    <w:rsid w:val="00E074B6"/>
    <w:rsid w:val="00E078B6"/>
    <w:rsid w:val="00E103DC"/>
    <w:rsid w:val="00E10476"/>
    <w:rsid w:val="00E11780"/>
    <w:rsid w:val="00E1194A"/>
    <w:rsid w:val="00E12464"/>
    <w:rsid w:val="00E12509"/>
    <w:rsid w:val="00E12853"/>
    <w:rsid w:val="00E12E67"/>
    <w:rsid w:val="00E13281"/>
    <w:rsid w:val="00E13727"/>
    <w:rsid w:val="00E13F62"/>
    <w:rsid w:val="00E14800"/>
    <w:rsid w:val="00E14B63"/>
    <w:rsid w:val="00E154CF"/>
    <w:rsid w:val="00E15C41"/>
    <w:rsid w:val="00E15DDD"/>
    <w:rsid w:val="00E15E3A"/>
    <w:rsid w:val="00E15F2F"/>
    <w:rsid w:val="00E16105"/>
    <w:rsid w:val="00E165A3"/>
    <w:rsid w:val="00E178E1"/>
    <w:rsid w:val="00E178EA"/>
    <w:rsid w:val="00E201A9"/>
    <w:rsid w:val="00E201D4"/>
    <w:rsid w:val="00E202AC"/>
    <w:rsid w:val="00E203D6"/>
    <w:rsid w:val="00E20922"/>
    <w:rsid w:val="00E217E9"/>
    <w:rsid w:val="00E2209B"/>
    <w:rsid w:val="00E2221E"/>
    <w:rsid w:val="00E229C4"/>
    <w:rsid w:val="00E23519"/>
    <w:rsid w:val="00E23A99"/>
    <w:rsid w:val="00E24D98"/>
    <w:rsid w:val="00E24DE4"/>
    <w:rsid w:val="00E25B0A"/>
    <w:rsid w:val="00E26069"/>
    <w:rsid w:val="00E2738B"/>
    <w:rsid w:val="00E279EC"/>
    <w:rsid w:val="00E306F5"/>
    <w:rsid w:val="00E30EA5"/>
    <w:rsid w:val="00E31004"/>
    <w:rsid w:val="00E31AF9"/>
    <w:rsid w:val="00E31C72"/>
    <w:rsid w:val="00E31D49"/>
    <w:rsid w:val="00E31E44"/>
    <w:rsid w:val="00E31F10"/>
    <w:rsid w:val="00E32006"/>
    <w:rsid w:val="00E32B80"/>
    <w:rsid w:val="00E33335"/>
    <w:rsid w:val="00E33709"/>
    <w:rsid w:val="00E344DC"/>
    <w:rsid w:val="00E35020"/>
    <w:rsid w:val="00E35643"/>
    <w:rsid w:val="00E35C0F"/>
    <w:rsid w:val="00E363E9"/>
    <w:rsid w:val="00E36B63"/>
    <w:rsid w:val="00E36E10"/>
    <w:rsid w:val="00E3749A"/>
    <w:rsid w:val="00E37D70"/>
    <w:rsid w:val="00E37E36"/>
    <w:rsid w:val="00E37E9A"/>
    <w:rsid w:val="00E40620"/>
    <w:rsid w:val="00E409DD"/>
    <w:rsid w:val="00E411ED"/>
    <w:rsid w:val="00E41A78"/>
    <w:rsid w:val="00E41BAA"/>
    <w:rsid w:val="00E41F0D"/>
    <w:rsid w:val="00E420FD"/>
    <w:rsid w:val="00E4212D"/>
    <w:rsid w:val="00E4218C"/>
    <w:rsid w:val="00E421DE"/>
    <w:rsid w:val="00E4251B"/>
    <w:rsid w:val="00E427AD"/>
    <w:rsid w:val="00E42D32"/>
    <w:rsid w:val="00E435F8"/>
    <w:rsid w:val="00E4377E"/>
    <w:rsid w:val="00E437F8"/>
    <w:rsid w:val="00E43995"/>
    <w:rsid w:val="00E43A74"/>
    <w:rsid w:val="00E44438"/>
    <w:rsid w:val="00E45163"/>
    <w:rsid w:val="00E451D6"/>
    <w:rsid w:val="00E453FA"/>
    <w:rsid w:val="00E4551B"/>
    <w:rsid w:val="00E45E8B"/>
    <w:rsid w:val="00E46AD6"/>
    <w:rsid w:val="00E46BFB"/>
    <w:rsid w:val="00E4733C"/>
    <w:rsid w:val="00E4747E"/>
    <w:rsid w:val="00E50E22"/>
    <w:rsid w:val="00E51053"/>
    <w:rsid w:val="00E5127C"/>
    <w:rsid w:val="00E512CD"/>
    <w:rsid w:val="00E51937"/>
    <w:rsid w:val="00E51971"/>
    <w:rsid w:val="00E51E8C"/>
    <w:rsid w:val="00E520AB"/>
    <w:rsid w:val="00E521D6"/>
    <w:rsid w:val="00E523EA"/>
    <w:rsid w:val="00E524E3"/>
    <w:rsid w:val="00E53600"/>
    <w:rsid w:val="00E53722"/>
    <w:rsid w:val="00E5378A"/>
    <w:rsid w:val="00E5418B"/>
    <w:rsid w:val="00E550CC"/>
    <w:rsid w:val="00E55553"/>
    <w:rsid w:val="00E55E2A"/>
    <w:rsid w:val="00E56A3A"/>
    <w:rsid w:val="00E6023E"/>
    <w:rsid w:val="00E60251"/>
    <w:rsid w:val="00E6043D"/>
    <w:rsid w:val="00E6051A"/>
    <w:rsid w:val="00E60C29"/>
    <w:rsid w:val="00E60D1F"/>
    <w:rsid w:val="00E614A0"/>
    <w:rsid w:val="00E61A7E"/>
    <w:rsid w:val="00E62180"/>
    <w:rsid w:val="00E62AD7"/>
    <w:rsid w:val="00E63922"/>
    <w:rsid w:val="00E63B7C"/>
    <w:rsid w:val="00E63F6E"/>
    <w:rsid w:val="00E64C36"/>
    <w:rsid w:val="00E663F7"/>
    <w:rsid w:val="00E6675F"/>
    <w:rsid w:val="00E66C1E"/>
    <w:rsid w:val="00E6739F"/>
    <w:rsid w:val="00E67473"/>
    <w:rsid w:val="00E677F0"/>
    <w:rsid w:val="00E67E99"/>
    <w:rsid w:val="00E70E61"/>
    <w:rsid w:val="00E71075"/>
    <w:rsid w:val="00E71099"/>
    <w:rsid w:val="00E71EBA"/>
    <w:rsid w:val="00E73076"/>
    <w:rsid w:val="00E730AD"/>
    <w:rsid w:val="00E7374E"/>
    <w:rsid w:val="00E743E1"/>
    <w:rsid w:val="00E745E5"/>
    <w:rsid w:val="00E74AAB"/>
    <w:rsid w:val="00E74C66"/>
    <w:rsid w:val="00E75407"/>
    <w:rsid w:val="00E754CA"/>
    <w:rsid w:val="00E75CC2"/>
    <w:rsid w:val="00E75D2A"/>
    <w:rsid w:val="00E762E2"/>
    <w:rsid w:val="00E762FA"/>
    <w:rsid w:val="00E764A1"/>
    <w:rsid w:val="00E770FB"/>
    <w:rsid w:val="00E77161"/>
    <w:rsid w:val="00E808B3"/>
    <w:rsid w:val="00E80B9E"/>
    <w:rsid w:val="00E815B5"/>
    <w:rsid w:val="00E81BB7"/>
    <w:rsid w:val="00E8246F"/>
    <w:rsid w:val="00E82C87"/>
    <w:rsid w:val="00E82FBB"/>
    <w:rsid w:val="00E83342"/>
    <w:rsid w:val="00E8366B"/>
    <w:rsid w:val="00E83852"/>
    <w:rsid w:val="00E83F79"/>
    <w:rsid w:val="00E85205"/>
    <w:rsid w:val="00E85D39"/>
    <w:rsid w:val="00E8674D"/>
    <w:rsid w:val="00E868FA"/>
    <w:rsid w:val="00E86AF0"/>
    <w:rsid w:val="00E872EA"/>
    <w:rsid w:val="00E8739C"/>
    <w:rsid w:val="00E87A1E"/>
    <w:rsid w:val="00E87B45"/>
    <w:rsid w:val="00E87DC6"/>
    <w:rsid w:val="00E87F34"/>
    <w:rsid w:val="00E90B5A"/>
    <w:rsid w:val="00E90C71"/>
    <w:rsid w:val="00E91621"/>
    <w:rsid w:val="00E91C2E"/>
    <w:rsid w:val="00E92508"/>
    <w:rsid w:val="00E92628"/>
    <w:rsid w:val="00E928FC"/>
    <w:rsid w:val="00E930E6"/>
    <w:rsid w:val="00E934A4"/>
    <w:rsid w:val="00E93620"/>
    <w:rsid w:val="00E93D17"/>
    <w:rsid w:val="00E942DE"/>
    <w:rsid w:val="00E954B2"/>
    <w:rsid w:val="00E95F64"/>
    <w:rsid w:val="00E9607F"/>
    <w:rsid w:val="00E96274"/>
    <w:rsid w:val="00E97769"/>
    <w:rsid w:val="00E977B6"/>
    <w:rsid w:val="00E97825"/>
    <w:rsid w:val="00E97AF4"/>
    <w:rsid w:val="00EA02D6"/>
    <w:rsid w:val="00EA1903"/>
    <w:rsid w:val="00EA1D06"/>
    <w:rsid w:val="00EA1F09"/>
    <w:rsid w:val="00EA21D8"/>
    <w:rsid w:val="00EA245C"/>
    <w:rsid w:val="00EA25CB"/>
    <w:rsid w:val="00EA2AB4"/>
    <w:rsid w:val="00EA2C93"/>
    <w:rsid w:val="00EA2FE5"/>
    <w:rsid w:val="00EA3886"/>
    <w:rsid w:val="00EA3931"/>
    <w:rsid w:val="00EA399D"/>
    <w:rsid w:val="00EA47F3"/>
    <w:rsid w:val="00EA5F51"/>
    <w:rsid w:val="00EA75FE"/>
    <w:rsid w:val="00EA7627"/>
    <w:rsid w:val="00EA7C4B"/>
    <w:rsid w:val="00EA7E47"/>
    <w:rsid w:val="00EB0DE7"/>
    <w:rsid w:val="00EB106B"/>
    <w:rsid w:val="00EB185F"/>
    <w:rsid w:val="00EB1F46"/>
    <w:rsid w:val="00EB20CF"/>
    <w:rsid w:val="00EB2251"/>
    <w:rsid w:val="00EB41A7"/>
    <w:rsid w:val="00EB433E"/>
    <w:rsid w:val="00EB46E5"/>
    <w:rsid w:val="00EB5345"/>
    <w:rsid w:val="00EB5E12"/>
    <w:rsid w:val="00EB5FFE"/>
    <w:rsid w:val="00EB6CA9"/>
    <w:rsid w:val="00EB75C0"/>
    <w:rsid w:val="00EB75D1"/>
    <w:rsid w:val="00EB7996"/>
    <w:rsid w:val="00EC0C06"/>
    <w:rsid w:val="00EC116F"/>
    <w:rsid w:val="00EC1174"/>
    <w:rsid w:val="00EC1B6D"/>
    <w:rsid w:val="00EC1E71"/>
    <w:rsid w:val="00EC1F54"/>
    <w:rsid w:val="00EC2795"/>
    <w:rsid w:val="00EC27B3"/>
    <w:rsid w:val="00EC3116"/>
    <w:rsid w:val="00EC4169"/>
    <w:rsid w:val="00EC5A68"/>
    <w:rsid w:val="00EC5B21"/>
    <w:rsid w:val="00EC5BB0"/>
    <w:rsid w:val="00EC7153"/>
    <w:rsid w:val="00EC7435"/>
    <w:rsid w:val="00EC7B79"/>
    <w:rsid w:val="00EC7E63"/>
    <w:rsid w:val="00EC7ECC"/>
    <w:rsid w:val="00ED06C0"/>
    <w:rsid w:val="00ED081F"/>
    <w:rsid w:val="00ED0BAB"/>
    <w:rsid w:val="00ED0D45"/>
    <w:rsid w:val="00ED0DA2"/>
    <w:rsid w:val="00ED19BD"/>
    <w:rsid w:val="00ED1AC6"/>
    <w:rsid w:val="00ED1E3B"/>
    <w:rsid w:val="00ED252E"/>
    <w:rsid w:val="00ED35DD"/>
    <w:rsid w:val="00ED5238"/>
    <w:rsid w:val="00ED5261"/>
    <w:rsid w:val="00ED54E6"/>
    <w:rsid w:val="00ED5548"/>
    <w:rsid w:val="00ED6745"/>
    <w:rsid w:val="00ED757E"/>
    <w:rsid w:val="00ED7CC3"/>
    <w:rsid w:val="00ED7EE6"/>
    <w:rsid w:val="00EE0034"/>
    <w:rsid w:val="00EE1DCD"/>
    <w:rsid w:val="00EE2428"/>
    <w:rsid w:val="00EE24EA"/>
    <w:rsid w:val="00EE2D8A"/>
    <w:rsid w:val="00EE30DB"/>
    <w:rsid w:val="00EE3745"/>
    <w:rsid w:val="00EE4007"/>
    <w:rsid w:val="00EE40CD"/>
    <w:rsid w:val="00EE4125"/>
    <w:rsid w:val="00EE445D"/>
    <w:rsid w:val="00EE4797"/>
    <w:rsid w:val="00EE481E"/>
    <w:rsid w:val="00EE4AD3"/>
    <w:rsid w:val="00EE557E"/>
    <w:rsid w:val="00EE6112"/>
    <w:rsid w:val="00EE61F3"/>
    <w:rsid w:val="00EE6B4D"/>
    <w:rsid w:val="00EE6D7B"/>
    <w:rsid w:val="00EE704C"/>
    <w:rsid w:val="00EE731C"/>
    <w:rsid w:val="00EE7424"/>
    <w:rsid w:val="00EE793E"/>
    <w:rsid w:val="00EF0352"/>
    <w:rsid w:val="00EF1792"/>
    <w:rsid w:val="00EF185B"/>
    <w:rsid w:val="00EF2430"/>
    <w:rsid w:val="00EF26CD"/>
    <w:rsid w:val="00EF29AB"/>
    <w:rsid w:val="00EF33C2"/>
    <w:rsid w:val="00EF35B7"/>
    <w:rsid w:val="00EF4472"/>
    <w:rsid w:val="00EF4ED7"/>
    <w:rsid w:val="00EF5205"/>
    <w:rsid w:val="00EF5E39"/>
    <w:rsid w:val="00EF6656"/>
    <w:rsid w:val="00EF6F5E"/>
    <w:rsid w:val="00EF6F8C"/>
    <w:rsid w:val="00EF768C"/>
    <w:rsid w:val="00EF7A07"/>
    <w:rsid w:val="00F00225"/>
    <w:rsid w:val="00F0059B"/>
    <w:rsid w:val="00F00648"/>
    <w:rsid w:val="00F0163E"/>
    <w:rsid w:val="00F0299F"/>
    <w:rsid w:val="00F02D4B"/>
    <w:rsid w:val="00F033AC"/>
    <w:rsid w:val="00F038EC"/>
    <w:rsid w:val="00F03D3F"/>
    <w:rsid w:val="00F03F26"/>
    <w:rsid w:val="00F044B1"/>
    <w:rsid w:val="00F04644"/>
    <w:rsid w:val="00F04E59"/>
    <w:rsid w:val="00F055B3"/>
    <w:rsid w:val="00F0561A"/>
    <w:rsid w:val="00F057BA"/>
    <w:rsid w:val="00F05A74"/>
    <w:rsid w:val="00F05E81"/>
    <w:rsid w:val="00F06454"/>
    <w:rsid w:val="00F0678E"/>
    <w:rsid w:val="00F067F3"/>
    <w:rsid w:val="00F06AEA"/>
    <w:rsid w:val="00F0701A"/>
    <w:rsid w:val="00F0763C"/>
    <w:rsid w:val="00F07EA7"/>
    <w:rsid w:val="00F10C6C"/>
    <w:rsid w:val="00F111C0"/>
    <w:rsid w:val="00F11450"/>
    <w:rsid w:val="00F1177D"/>
    <w:rsid w:val="00F12004"/>
    <w:rsid w:val="00F131FD"/>
    <w:rsid w:val="00F1339B"/>
    <w:rsid w:val="00F139BA"/>
    <w:rsid w:val="00F139DE"/>
    <w:rsid w:val="00F13DB8"/>
    <w:rsid w:val="00F13FD6"/>
    <w:rsid w:val="00F14EBF"/>
    <w:rsid w:val="00F16C48"/>
    <w:rsid w:val="00F1716B"/>
    <w:rsid w:val="00F1795A"/>
    <w:rsid w:val="00F20004"/>
    <w:rsid w:val="00F2009C"/>
    <w:rsid w:val="00F200B1"/>
    <w:rsid w:val="00F2015F"/>
    <w:rsid w:val="00F211B7"/>
    <w:rsid w:val="00F214A9"/>
    <w:rsid w:val="00F21A44"/>
    <w:rsid w:val="00F21FCC"/>
    <w:rsid w:val="00F222E0"/>
    <w:rsid w:val="00F2258B"/>
    <w:rsid w:val="00F22ABD"/>
    <w:rsid w:val="00F22BEB"/>
    <w:rsid w:val="00F23B2A"/>
    <w:rsid w:val="00F2411A"/>
    <w:rsid w:val="00F241AD"/>
    <w:rsid w:val="00F249A0"/>
    <w:rsid w:val="00F24ECD"/>
    <w:rsid w:val="00F25128"/>
    <w:rsid w:val="00F25289"/>
    <w:rsid w:val="00F2583D"/>
    <w:rsid w:val="00F25BA1"/>
    <w:rsid w:val="00F25CE5"/>
    <w:rsid w:val="00F25F7E"/>
    <w:rsid w:val="00F264B5"/>
    <w:rsid w:val="00F264C5"/>
    <w:rsid w:val="00F26EF6"/>
    <w:rsid w:val="00F27377"/>
    <w:rsid w:val="00F27975"/>
    <w:rsid w:val="00F27FAB"/>
    <w:rsid w:val="00F3094B"/>
    <w:rsid w:val="00F3112E"/>
    <w:rsid w:val="00F31920"/>
    <w:rsid w:val="00F31B63"/>
    <w:rsid w:val="00F31BF7"/>
    <w:rsid w:val="00F3248E"/>
    <w:rsid w:val="00F32954"/>
    <w:rsid w:val="00F32970"/>
    <w:rsid w:val="00F329AE"/>
    <w:rsid w:val="00F33285"/>
    <w:rsid w:val="00F34A82"/>
    <w:rsid w:val="00F351FF"/>
    <w:rsid w:val="00F3550E"/>
    <w:rsid w:val="00F35A58"/>
    <w:rsid w:val="00F35CF5"/>
    <w:rsid w:val="00F35FFB"/>
    <w:rsid w:val="00F361A2"/>
    <w:rsid w:val="00F3655B"/>
    <w:rsid w:val="00F367F5"/>
    <w:rsid w:val="00F36E0B"/>
    <w:rsid w:val="00F3721A"/>
    <w:rsid w:val="00F379AD"/>
    <w:rsid w:val="00F408C2"/>
    <w:rsid w:val="00F411D3"/>
    <w:rsid w:val="00F41A15"/>
    <w:rsid w:val="00F423C4"/>
    <w:rsid w:val="00F42ADB"/>
    <w:rsid w:val="00F43020"/>
    <w:rsid w:val="00F43579"/>
    <w:rsid w:val="00F43ECA"/>
    <w:rsid w:val="00F44775"/>
    <w:rsid w:val="00F44790"/>
    <w:rsid w:val="00F450BC"/>
    <w:rsid w:val="00F4552E"/>
    <w:rsid w:val="00F4558C"/>
    <w:rsid w:val="00F45FF1"/>
    <w:rsid w:val="00F47518"/>
    <w:rsid w:val="00F479BE"/>
    <w:rsid w:val="00F47A4E"/>
    <w:rsid w:val="00F47D05"/>
    <w:rsid w:val="00F500C2"/>
    <w:rsid w:val="00F506BE"/>
    <w:rsid w:val="00F514F9"/>
    <w:rsid w:val="00F51A87"/>
    <w:rsid w:val="00F51AF8"/>
    <w:rsid w:val="00F51D20"/>
    <w:rsid w:val="00F521F9"/>
    <w:rsid w:val="00F52856"/>
    <w:rsid w:val="00F52D7A"/>
    <w:rsid w:val="00F5322F"/>
    <w:rsid w:val="00F53C06"/>
    <w:rsid w:val="00F54043"/>
    <w:rsid w:val="00F54ADB"/>
    <w:rsid w:val="00F54FC2"/>
    <w:rsid w:val="00F5524C"/>
    <w:rsid w:val="00F556FA"/>
    <w:rsid w:val="00F562E7"/>
    <w:rsid w:val="00F56B92"/>
    <w:rsid w:val="00F571A1"/>
    <w:rsid w:val="00F577E4"/>
    <w:rsid w:val="00F5786C"/>
    <w:rsid w:val="00F6036A"/>
    <w:rsid w:val="00F6052D"/>
    <w:rsid w:val="00F60688"/>
    <w:rsid w:val="00F60841"/>
    <w:rsid w:val="00F60C5B"/>
    <w:rsid w:val="00F611CD"/>
    <w:rsid w:val="00F62498"/>
    <w:rsid w:val="00F625BD"/>
    <w:rsid w:val="00F62C3C"/>
    <w:rsid w:val="00F62DCB"/>
    <w:rsid w:val="00F62ED5"/>
    <w:rsid w:val="00F62F83"/>
    <w:rsid w:val="00F635DD"/>
    <w:rsid w:val="00F6378F"/>
    <w:rsid w:val="00F6398F"/>
    <w:rsid w:val="00F639C7"/>
    <w:rsid w:val="00F63C3B"/>
    <w:rsid w:val="00F65F68"/>
    <w:rsid w:val="00F66000"/>
    <w:rsid w:val="00F6632B"/>
    <w:rsid w:val="00F668B4"/>
    <w:rsid w:val="00F70D7D"/>
    <w:rsid w:val="00F7150C"/>
    <w:rsid w:val="00F71565"/>
    <w:rsid w:val="00F71CF6"/>
    <w:rsid w:val="00F72854"/>
    <w:rsid w:val="00F728D2"/>
    <w:rsid w:val="00F72EE8"/>
    <w:rsid w:val="00F731AB"/>
    <w:rsid w:val="00F732FC"/>
    <w:rsid w:val="00F736C9"/>
    <w:rsid w:val="00F73805"/>
    <w:rsid w:val="00F73F48"/>
    <w:rsid w:val="00F741EF"/>
    <w:rsid w:val="00F742B1"/>
    <w:rsid w:val="00F74C64"/>
    <w:rsid w:val="00F7503C"/>
    <w:rsid w:val="00F756A8"/>
    <w:rsid w:val="00F75823"/>
    <w:rsid w:val="00F7650D"/>
    <w:rsid w:val="00F76A46"/>
    <w:rsid w:val="00F77471"/>
    <w:rsid w:val="00F774F0"/>
    <w:rsid w:val="00F77A68"/>
    <w:rsid w:val="00F77C41"/>
    <w:rsid w:val="00F77D3F"/>
    <w:rsid w:val="00F77DD0"/>
    <w:rsid w:val="00F800FC"/>
    <w:rsid w:val="00F81C12"/>
    <w:rsid w:val="00F820AA"/>
    <w:rsid w:val="00F821B9"/>
    <w:rsid w:val="00F82C9A"/>
    <w:rsid w:val="00F830DF"/>
    <w:rsid w:val="00F83161"/>
    <w:rsid w:val="00F834E4"/>
    <w:rsid w:val="00F83C81"/>
    <w:rsid w:val="00F8452A"/>
    <w:rsid w:val="00F84C54"/>
    <w:rsid w:val="00F84E88"/>
    <w:rsid w:val="00F85916"/>
    <w:rsid w:val="00F85C76"/>
    <w:rsid w:val="00F85EA6"/>
    <w:rsid w:val="00F85FC0"/>
    <w:rsid w:val="00F86BDB"/>
    <w:rsid w:val="00F86D52"/>
    <w:rsid w:val="00F86FFA"/>
    <w:rsid w:val="00F871DD"/>
    <w:rsid w:val="00F872C2"/>
    <w:rsid w:val="00F9031D"/>
    <w:rsid w:val="00F92592"/>
    <w:rsid w:val="00F92666"/>
    <w:rsid w:val="00F933FF"/>
    <w:rsid w:val="00F936EC"/>
    <w:rsid w:val="00F9387E"/>
    <w:rsid w:val="00F9388E"/>
    <w:rsid w:val="00F93F52"/>
    <w:rsid w:val="00F948CA"/>
    <w:rsid w:val="00F95287"/>
    <w:rsid w:val="00F957E0"/>
    <w:rsid w:val="00F95826"/>
    <w:rsid w:val="00F962A0"/>
    <w:rsid w:val="00F96B8D"/>
    <w:rsid w:val="00F96E46"/>
    <w:rsid w:val="00F9719B"/>
    <w:rsid w:val="00F9738B"/>
    <w:rsid w:val="00F97741"/>
    <w:rsid w:val="00F97A1B"/>
    <w:rsid w:val="00F97BDF"/>
    <w:rsid w:val="00FA03BA"/>
    <w:rsid w:val="00FA05C8"/>
    <w:rsid w:val="00FA163C"/>
    <w:rsid w:val="00FA1AD3"/>
    <w:rsid w:val="00FA2D96"/>
    <w:rsid w:val="00FA3EBF"/>
    <w:rsid w:val="00FA404B"/>
    <w:rsid w:val="00FA4EF7"/>
    <w:rsid w:val="00FA5AC3"/>
    <w:rsid w:val="00FA5ACE"/>
    <w:rsid w:val="00FA6073"/>
    <w:rsid w:val="00FA6F1B"/>
    <w:rsid w:val="00FA7252"/>
    <w:rsid w:val="00FA74B3"/>
    <w:rsid w:val="00FA7E07"/>
    <w:rsid w:val="00FB00FD"/>
    <w:rsid w:val="00FB023F"/>
    <w:rsid w:val="00FB04A8"/>
    <w:rsid w:val="00FB053C"/>
    <w:rsid w:val="00FB08DD"/>
    <w:rsid w:val="00FB1DD0"/>
    <w:rsid w:val="00FB1F1C"/>
    <w:rsid w:val="00FB260C"/>
    <w:rsid w:val="00FB2851"/>
    <w:rsid w:val="00FB2EAD"/>
    <w:rsid w:val="00FB3407"/>
    <w:rsid w:val="00FB39E2"/>
    <w:rsid w:val="00FB3CD0"/>
    <w:rsid w:val="00FB4687"/>
    <w:rsid w:val="00FB4D1E"/>
    <w:rsid w:val="00FB5206"/>
    <w:rsid w:val="00FB55FF"/>
    <w:rsid w:val="00FB5704"/>
    <w:rsid w:val="00FB5F6B"/>
    <w:rsid w:val="00FB5FFD"/>
    <w:rsid w:val="00FB663D"/>
    <w:rsid w:val="00FB7E5A"/>
    <w:rsid w:val="00FC0192"/>
    <w:rsid w:val="00FC0818"/>
    <w:rsid w:val="00FC083A"/>
    <w:rsid w:val="00FC0981"/>
    <w:rsid w:val="00FC0F67"/>
    <w:rsid w:val="00FC10C6"/>
    <w:rsid w:val="00FC115A"/>
    <w:rsid w:val="00FC1781"/>
    <w:rsid w:val="00FC182F"/>
    <w:rsid w:val="00FC1FEC"/>
    <w:rsid w:val="00FC20CD"/>
    <w:rsid w:val="00FC3F89"/>
    <w:rsid w:val="00FC4234"/>
    <w:rsid w:val="00FC444B"/>
    <w:rsid w:val="00FC482A"/>
    <w:rsid w:val="00FC53BE"/>
    <w:rsid w:val="00FC5A11"/>
    <w:rsid w:val="00FC5BD9"/>
    <w:rsid w:val="00FC6694"/>
    <w:rsid w:val="00FC6CEB"/>
    <w:rsid w:val="00FC77E7"/>
    <w:rsid w:val="00FD0AA4"/>
    <w:rsid w:val="00FD0DF2"/>
    <w:rsid w:val="00FD107E"/>
    <w:rsid w:val="00FD18FC"/>
    <w:rsid w:val="00FD1C90"/>
    <w:rsid w:val="00FD251C"/>
    <w:rsid w:val="00FD2666"/>
    <w:rsid w:val="00FD2E23"/>
    <w:rsid w:val="00FD3553"/>
    <w:rsid w:val="00FD38B6"/>
    <w:rsid w:val="00FD5501"/>
    <w:rsid w:val="00FD5615"/>
    <w:rsid w:val="00FD57FE"/>
    <w:rsid w:val="00FD5835"/>
    <w:rsid w:val="00FD6EE2"/>
    <w:rsid w:val="00FD71C0"/>
    <w:rsid w:val="00FD7458"/>
    <w:rsid w:val="00FD74D4"/>
    <w:rsid w:val="00FD79A1"/>
    <w:rsid w:val="00FD7FD6"/>
    <w:rsid w:val="00FE040E"/>
    <w:rsid w:val="00FE0ECB"/>
    <w:rsid w:val="00FE390A"/>
    <w:rsid w:val="00FE3AE0"/>
    <w:rsid w:val="00FE3E8D"/>
    <w:rsid w:val="00FE3E91"/>
    <w:rsid w:val="00FE4171"/>
    <w:rsid w:val="00FE4E33"/>
    <w:rsid w:val="00FE59E6"/>
    <w:rsid w:val="00FE5C00"/>
    <w:rsid w:val="00FE62EC"/>
    <w:rsid w:val="00FE689B"/>
    <w:rsid w:val="00FE71FB"/>
    <w:rsid w:val="00FE74B6"/>
    <w:rsid w:val="00FE7BBE"/>
    <w:rsid w:val="00FF02E4"/>
    <w:rsid w:val="00FF0FDA"/>
    <w:rsid w:val="00FF1124"/>
    <w:rsid w:val="00FF130C"/>
    <w:rsid w:val="00FF132A"/>
    <w:rsid w:val="00FF1582"/>
    <w:rsid w:val="00FF1745"/>
    <w:rsid w:val="00FF2411"/>
    <w:rsid w:val="00FF26E8"/>
    <w:rsid w:val="00FF2A3D"/>
    <w:rsid w:val="00FF2D11"/>
    <w:rsid w:val="00FF2D4B"/>
    <w:rsid w:val="00FF39BA"/>
    <w:rsid w:val="00FF412C"/>
    <w:rsid w:val="00FF47B6"/>
    <w:rsid w:val="00FF4850"/>
    <w:rsid w:val="00FF5529"/>
    <w:rsid w:val="00FF5F3A"/>
    <w:rsid w:val="00FF6604"/>
    <w:rsid w:val="00FF6E1F"/>
    <w:rsid w:val="00FF7052"/>
    <w:rsid w:val="00FF75D9"/>
    <w:rsid w:val="00FF7B4D"/>
    <w:rsid w:val="00FF7CA3"/>
    <w:rsid w:val="03C1B5DC"/>
    <w:rsid w:val="03F41953"/>
    <w:rsid w:val="0471A183"/>
    <w:rsid w:val="063311E8"/>
    <w:rsid w:val="08340B88"/>
    <w:rsid w:val="08A2A49B"/>
    <w:rsid w:val="09BC4C4F"/>
    <w:rsid w:val="0B1D6838"/>
    <w:rsid w:val="0D2A9BE8"/>
    <w:rsid w:val="0D8DBFEF"/>
    <w:rsid w:val="0F8964B5"/>
    <w:rsid w:val="11155CBD"/>
    <w:rsid w:val="113C5876"/>
    <w:rsid w:val="12576310"/>
    <w:rsid w:val="12CE0CC6"/>
    <w:rsid w:val="13978ABB"/>
    <w:rsid w:val="14C4E703"/>
    <w:rsid w:val="16686A39"/>
    <w:rsid w:val="1732E14F"/>
    <w:rsid w:val="17BDB802"/>
    <w:rsid w:val="18049E9F"/>
    <w:rsid w:val="1939B43F"/>
    <w:rsid w:val="1ADB9DB6"/>
    <w:rsid w:val="1B6CB3E2"/>
    <w:rsid w:val="1D028610"/>
    <w:rsid w:val="1DF0059E"/>
    <w:rsid w:val="1E43FF03"/>
    <w:rsid w:val="1ED2CD95"/>
    <w:rsid w:val="1F1E85FB"/>
    <w:rsid w:val="20B720BA"/>
    <w:rsid w:val="20B723EA"/>
    <w:rsid w:val="220D0BE2"/>
    <w:rsid w:val="2235274B"/>
    <w:rsid w:val="232F8B4C"/>
    <w:rsid w:val="2539BCEC"/>
    <w:rsid w:val="26A412E1"/>
    <w:rsid w:val="2774ED78"/>
    <w:rsid w:val="28197CBD"/>
    <w:rsid w:val="2A40186D"/>
    <w:rsid w:val="2B1E68A1"/>
    <w:rsid w:val="2BE120A7"/>
    <w:rsid w:val="2C29687A"/>
    <w:rsid w:val="2C79DB7B"/>
    <w:rsid w:val="2E7757E9"/>
    <w:rsid w:val="2EEA71AC"/>
    <w:rsid w:val="2F465358"/>
    <w:rsid w:val="30D18E7C"/>
    <w:rsid w:val="30F54437"/>
    <w:rsid w:val="31896A37"/>
    <w:rsid w:val="31896C7C"/>
    <w:rsid w:val="31941552"/>
    <w:rsid w:val="31DA7468"/>
    <w:rsid w:val="335C9DAC"/>
    <w:rsid w:val="3361FADE"/>
    <w:rsid w:val="33AAA27C"/>
    <w:rsid w:val="33EFEF43"/>
    <w:rsid w:val="35CDF7EC"/>
    <w:rsid w:val="36226E14"/>
    <w:rsid w:val="363B7BA6"/>
    <w:rsid w:val="3763F113"/>
    <w:rsid w:val="38FFB7D2"/>
    <w:rsid w:val="396A2192"/>
    <w:rsid w:val="3B007DB4"/>
    <w:rsid w:val="3E11EEC7"/>
    <w:rsid w:val="4115E759"/>
    <w:rsid w:val="42DEAABC"/>
    <w:rsid w:val="439FD1E6"/>
    <w:rsid w:val="44CDAD0C"/>
    <w:rsid w:val="453E3D7C"/>
    <w:rsid w:val="4588850C"/>
    <w:rsid w:val="45D9FCDB"/>
    <w:rsid w:val="45FE2C0E"/>
    <w:rsid w:val="46573B67"/>
    <w:rsid w:val="48C5907D"/>
    <w:rsid w:val="4985AACA"/>
    <w:rsid w:val="4F22697C"/>
    <w:rsid w:val="528600E0"/>
    <w:rsid w:val="54622E76"/>
    <w:rsid w:val="55587D73"/>
    <w:rsid w:val="568E2FE4"/>
    <w:rsid w:val="56993F21"/>
    <w:rsid w:val="56C23345"/>
    <w:rsid w:val="571A8F9E"/>
    <w:rsid w:val="58D24E39"/>
    <w:rsid w:val="5971D66D"/>
    <w:rsid w:val="5B77A41A"/>
    <w:rsid w:val="5C505961"/>
    <w:rsid w:val="5D1BB11C"/>
    <w:rsid w:val="5DB96A82"/>
    <w:rsid w:val="5FAA8DBD"/>
    <w:rsid w:val="60040AA8"/>
    <w:rsid w:val="61E7494F"/>
    <w:rsid w:val="61F2B67A"/>
    <w:rsid w:val="64065D21"/>
    <w:rsid w:val="65C4376F"/>
    <w:rsid w:val="6681BD62"/>
    <w:rsid w:val="693A1BDA"/>
    <w:rsid w:val="6CD21B00"/>
    <w:rsid w:val="6D50DF6D"/>
    <w:rsid w:val="6D6C9F19"/>
    <w:rsid w:val="6DBD7067"/>
    <w:rsid w:val="70DFD9B0"/>
    <w:rsid w:val="71410289"/>
    <w:rsid w:val="73522FC5"/>
    <w:rsid w:val="7379A144"/>
    <w:rsid w:val="7587E505"/>
    <w:rsid w:val="759CF5C4"/>
    <w:rsid w:val="79137E05"/>
    <w:rsid w:val="79C65592"/>
    <w:rsid w:val="79FE456D"/>
    <w:rsid w:val="7A4AE88F"/>
    <w:rsid w:val="7A517B2A"/>
    <w:rsid w:val="7ACF4952"/>
    <w:rsid w:val="7B59324D"/>
    <w:rsid w:val="7BE8F204"/>
    <w:rsid w:val="7C1995BC"/>
    <w:rsid w:val="7C5BB657"/>
    <w:rsid w:val="7D3075D3"/>
    <w:rsid w:val="7D724E1F"/>
    <w:rsid w:val="7DB189E1"/>
    <w:rsid w:val="7EC2BC0C"/>
    <w:rsid w:val="7F9F486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4ABFC"/>
  <w15:docId w15:val="{3D01C7B8-F7B3-4AB9-A3A9-090B2F3D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F4C"/>
    <w:pPr>
      <w:jc w:val="both"/>
    </w:pPr>
    <w:rPr>
      <w:rFonts w:asciiTheme="minorHAnsi" w:hAnsiTheme="minorHAnsi"/>
      <w:sz w:val="18"/>
    </w:rPr>
  </w:style>
  <w:style w:type="paragraph" w:styleId="Heading1">
    <w:name w:val="heading 1"/>
    <w:basedOn w:val="Normal"/>
    <w:next w:val="BodyText"/>
    <w:link w:val="Heading1Char"/>
    <w:qFormat/>
    <w:rsid w:val="007D6284"/>
    <w:pPr>
      <w:keepNext/>
      <w:spacing w:before="120" w:after="120" w:line="288" w:lineRule="auto"/>
      <w:outlineLvl w:val="0"/>
    </w:pPr>
    <w:rPr>
      <w:rFonts w:cs="Arial"/>
      <w:b/>
      <w:caps/>
    </w:rPr>
  </w:style>
  <w:style w:type="paragraph" w:styleId="Heading2">
    <w:name w:val="heading 2"/>
    <w:basedOn w:val="Normal"/>
    <w:next w:val="Normal"/>
    <w:qFormat/>
    <w:rsid w:val="006406E8"/>
    <w:pPr>
      <w:keepNext/>
      <w:outlineLvl w:val="1"/>
    </w:pPr>
    <w:rPr>
      <w:b/>
      <w:sz w:val="36"/>
    </w:rPr>
  </w:style>
  <w:style w:type="paragraph" w:styleId="Heading3">
    <w:name w:val="heading 3"/>
    <w:basedOn w:val="Normal"/>
    <w:next w:val="Normal"/>
    <w:qFormat/>
    <w:rsid w:val="006406E8"/>
    <w:pPr>
      <w:keepNext/>
      <w:outlineLvl w:val="2"/>
    </w:pPr>
    <w:rPr>
      <w:sz w:val="24"/>
    </w:rPr>
  </w:style>
  <w:style w:type="paragraph" w:styleId="Heading4">
    <w:name w:val="heading 4"/>
    <w:basedOn w:val="Normal"/>
    <w:next w:val="Normal"/>
    <w:qFormat/>
    <w:rsid w:val="006406E8"/>
    <w:pPr>
      <w:keepNext/>
      <w:outlineLvl w:val="3"/>
    </w:pPr>
    <w:rPr>
      <w:b/>
      <w:bCs/>
      <w:sz w:val="24"/>
      <w:u w:val="single"/>
    </w:rPr>
  </w:style>
  <w:style w:type="paragraph" w:styleId="Heading5">
    <w:name w:val="heading 5"/>
    <w:basedOn w:val="Normal"/>
    <w:next w:val="Normal"/>
    <w:qFormat/>
    <w:rsid w:val="006406E8"/>
    <w:pPr>
      <w:keepNext/>
      <w:tabs>
        <w:tab w:val="left" w:pos="6379"/>
        <w:tab w:val="left" w:pos="6804"/>
      </w:tabs>
      <w:outlineLvl w:val="4"/>
    </w:pPr>
    <w:rPr>
      <w:i/>
    </w:rPr>
  </w:style>
  <w:style w:type="paragraph" w:styleId="Heading6">
    <w:name w:val="heading 6"/>
    <w:basedOn w:val="Normal"/>
    <w:next w:val="Normal"/>
    <w:qFormat/>
    <w:rsid w:val="006406E8"/>
    <w:pPr>
      <w:keepNext/>
      <w:outlineLvl w:val="5"/>
    </w:pPr>
    <w:rPr>
      <w:sz w:val="24"/>
      <w:u w:val="single"/>
    </w:rPr>
  </w:style>
  <w:style w:type="paragraph" w:styleId="Heading7">
    <w:name w:val="heading 7"/>
    <w:basedOn w:val="Normal"/>
    <w:next w:val="Normal"/>
    <w:qFormat/>
    <w:rsid w:val="006406E8"/>
    <w:pPr>
      <w:keepNext/>
      <w:outlineLvl w:val="6"/>
    </w:pPr>
    <w:rPr>
      <w:sz w:val="24"/>
    </w:rPr>
  </w:style>
  <w:style w:type="paragraph" w:styleId="Heading8">
    <w:name w:val="heading 8"/>
    <w:basedOn w:val="Normal"/>
    <w:next w:val="Normal"/>
    <w:qFormat/>
    <w:rsid w:val="006406E8"/>
    <w:pPr>
      <w:keepNext/>
      <w:outlineLvl w:val="7"/>
    </w:pPr>
    <w:rPr>
      <w:i/>
      <w:iCs/>
      <w:sz w:val="24"/>
    </w:rPr>
  </w:style>
  <w:style w:type="paragraph" w:styleId="Heading9">
    <w:name w:val="heading 9"/>
    <w:basedOn w:val="Normal"/>
    <w:next w:val="Normal"/>
    <w:qFormat/>
    <w:rsid w:val="006406E8"/>
    <w:pPr>
      <w:keepNext/>
      <w:spacing w:before="60"/>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1F4C"/>
    <w:pPr>
      <w:spacing w:before="120" w:after="120" w:line="288" w:lineRule="auto"/>
    </w:pPr>
    <w:rPr>
      <w:rFonts w:cs="Arial"/>
    </w:rPr>
  </w:style>
  <w:style w:type="paragraph" w:styleId="Title">
    <w:name w:val="Title"/>
    <w:basedOn w:val="Normal"/>
    <w:qFormat/>
    <w:rsid w:val="006406E8"/>
    <w:pPr>
      <w:jc w:val="center"/>
    </w:pPr>
    <w:rPr>
      <w:b/>
      <w:sz w:val="24"/>
      <w:u w:val="single"/>
    </w:rPr>
  </w:style>
  <w:style w:type="paragraph" w:customStyle="1" w:styleId="Corpsdetexte21">
    <w:name w:val="Corps de texte 21"/>
    <w:basedOn w:val="Normal"/>
    <w:rsid w:val="006406E8"/>
    <w:pPr>
      <w:ind w:left="360"/>
    </w:pPr>
    <w:rPr>
      <w:sz w:val="24"/>
    </w:rPr>
  </w:style>
  <w:style w:type="paragraph" w:customStyle="1" w:styleId="Retraitcorpsdetexte21">
    <w:name w:val="Retrait corps de texte 21"/>
    <w:basedOn w:val="Normal"/>
    <w:rsid w:val="006406E8"/>
    <w:pPr>
      <w:spacing w:before="120"/>
      <w:ind w:left="357"/>
    </w:pPr>
    <w:rPr>
      <w:sz w:val="24"/>
    </w:rPr>
  </w:style>
  <w:style w:type="paragraph" w:styleId="DocumentMap">
    <w:name w:val="Document Map"/>
    <w:basedOn w:val="Normal"/>
    <w:semiHidden/>
    <w:rsid w:val="006406E8"/>
    <w:pPr>
      <w:shd w:val="clear" w:color="auto" w:fill="000080"/>
    </w:pPr>
    <w:rPr>
      <w:rFonts w:ascii="Tahoma" w:hAnsi="Tahoma"/>
    </w:rPr>
  </w:style>
  <w:style w:type="paragraph" w:styleId="BodyText2">
    <w:name w:val="Body Text 2"/>
    <w:basedOn w:val="Normal"/>
    <w:link w:val="BodyText2Char"/>
    <w:rsid w:val="006406E8"/>
    <w:rPr>
      <w:sz w:val="24"/>
    </w:rPr>
  </w:style>
  <w:style w:type="character" w:customStyle="1" w:styleId="BodyText2Char">
    <w:name w:val="Body Text 2 Char"/>
    <w:link w:val="BodyText2"/>
    <w:rsid w:val="00667DA3"/>
    <w:rPr>
      <w:sz w:val="24"/>
    </w:rPr>
  </w:style>
  <w:style w:type="paragraph" w:styleId="BodyText3">
    <w:name w:val="Body Text 3"/>
    <w:basedOn w:val="Normal"/>
    <w:rsid w:val="006406E8"/>
    <w:pPr>
      <w:ind w:right="-567"/>
    </w:pPr>
    <w:rPr>
      <w:sz w:val="24"/>
    </w:rPr>
  </w:style>
  <w:style w:type="paragraph" w:styleId="BodyTextIndent">
    <w:name w:val="Body Text Indent"/>
    <w:basedOn w:val="Normal"/>
    <w:rsid w:val="006406E8"/>
    <w:pPr>
      <w:ind w:left="1416"/>
    </w:pPr>
    <w:rPr>
      <w:sz w:val="24"/>
    </w:rPr>
  </w:style>
  <w:style w:type="paragraph" w:styleId="BodyTextIndent2">
    <w:name w:val="Body Text Indent 2"/>
    <w:basedOn w:val="Normal"/>
    <w:rsid w:val="006406E8"/>
    <w:pPr>
      <w:ind w:left="360"/>
    </w:pPr>
    <w:rPr>
      <w:sz w:val="24"/>
    </w:rPr>
  </w:style>
  <w:style w:type="paragraph" w:styleId="BlockText">
    <w:name w:val="Block Text"/>
    <w:basedOn w:val="Normal"/>
    <w:rsid w:val="006406E8"/>
    <w:pPr>
      <w:ind w:left="1140" w:right="142"/>
    </w:pPr>
    <w:rPr>
      <w:sz w:val="24"/>
    </w:rPr>
  </w:style>
  <w:style w:type="paragraph" w:styleId="Footer">
    <w:name w:val="footer"/>
    <w:basedOn w:val="Normal"/>
    <w:link w:val="FooterChar"/>
    <w:uiPriority w:val="99"/>
    <w:rsid w:val="006406E8"/>
    <w:pPr>
      <w:tabs>
        <w:tab w:val="center" w:pos="4536"/>
        <w:tab w:val="right" w:pos="9072"/>
      </w:tabs>
    </w:pPr>
  </w:style>
  <w:style w:type="character" w:customStyle="1" w:styleId="FooterChar">
    <w:name w:val="Footer Char"/>
    <w:basedOn w:val="DefaultParagraphFont"/>
    <w:link w:val="Footer"/>
    <w:uiPriority w:val="99"/>
    <w:rsid w:val="00914476"/>
  </w:style>
  <w:style w:type="character" w:styleId="PageNumber">
    <w:name w:val="page number"/>
    <w:basedOn w:val="DefaultParagraphFont"/>
    <w:rsid w:val="006406E8"/>
  </w:style>
  <w:style w:type="paragraph" w:styleId="BodyTextIndent3">
    <w:name w:val="Body Text Indent 3"/>
    <w:basedOn w:val="Normal"/>
    <w:rsid w:val="006406E8"/>
    <w:pPr>
      <w:ind w:left="567"/>
    </w:pPr>
    <w:rPr>
      <w:sz w:val="24"/>
    </w:rPr>
  </w:style>
  <w:style w:type="paragraph" w:styleId="FootnoteText">
    <w:name w:val="footnote text"/>
    <w:basedOn w:val="Normal"/>
    <w:link w:val="FootnoteTextChar"/>
    <w:uiPriority w:val="99"/>
    <w:rsid w:val="009B78EA"/>
    <w:rPr>
      <w:sz w:val="14"/>
      <w:szCs w:val="14"/>
    </w:rPr>
  </w:style>
  <w:style w:type="character" w:customStyle="1" w:styleId="FootnoteTextChar">
    <w:name w:val="Footnote Text Char"/>
    <w:basedOn w:val="DefaultParagraphFont"/>
    <w:link w:val="FootnoteText"/>
    <w:uiPriority w:val="99"/>
    <w:rsid w:val="009B78EA"/>
    <w:rPr>
      <w:rFonts w:asciiTheme="minorHAnsi" w:hAnsiTheme="minorHAnsi"/>
      <w:sz w:val="14"/>
      <w:szCs w:val="14"/>
    </w:rPr>
  </w:style>
  <w:style w:type="character" w:styleId="FootnoteReference">
    <w:name w:val="footnote reference"/>
    <w:uiPriority w:val="99"/>
    <w:semiHidden/>
    <w:rsid w:val="006406E8"/>
    <w:rPr>
      <w:vertAlign w:val="superscript"/>
    </w:rPr>
  </w:style>
  <w:style w:type="paragraph" w:styleId="Header">
    <w:name w:val="header"/>
    <w:basedOn w:val="Normal"/>
    <w:rsid w:val="006406E8"/>
    <w:pPr>
      <w:tabs>
        <w:tab w:val="center" w:pos="4536"/>
        <w:tab w:val="right" w:pos="9072"/>
      </w:tabs>
    </w:pPr>
  </w:style>
  <w:style w:type="paragraph" w:styleId="BalloonText">
    <w:name w:val="Balloon Text"/>
    <w:basedOn w:val="Normal"/>
    <w:semiHidden/>
    <w:rsid w:val="006406E8"/>
    <w:rPr>
      <w:rFonts w:ascii="Tahoma" w:hAnsi="Tahoma" w:cs="Tahoma"/>
      <w:sz w:val="16"/>
      <w:szCs w:val="16"/>
    </w:rPr>
  </w:style>
  <w:style w:type="paragraph" w:styleId="ListParagraph">
    <w:name w:val="List Paragraph"/>
    <w:basedOn w:val="Normal"/>
    <w:uiPriority w:val="34"/>
    <w:qFormat/>
    <w:rsid w:val="00A631C3"/>
    <w:pPr>
      <w:ind w:left="567"/>
    </w:pPr>
  </w:style>
  <w:style w:type="character" w:styleId="Hyperlink">
    <w:name w:val="Hyperlink"/>
    <w:rsid w:val="000266E7"/>
    <w:rPr>
      <w:color w:val="0000FF"/>
      <w:u w:val="single"/>
    </w:rPr>
  </w:style>
  <w:style w:type="character" w:styleId="FollowedHyperlink">
    <w:name w:val="FollowedHyperlink"/>
    <w:rsid w:val="000266E7"/>
    <w:rPr>
      <w:color w:val="800080"/>
      <w:u w:val="single"/>
    </w:rPr>
  </w:style>
  <w:style w:type="character" w:styleId="CommentReference">
    <w:name w:val="annotation reference"/>
    <w:rsid w:val="003869B3"/>
    <w:rPr>
      <w:sz w:val="16"/>
      <w:szCs w:val="16"/>
    </w:rPr>
  </w:style>
  <w:style w:type="paragraph" w:styleId="CommentText">
    <w:name w:val="annotation text"/>
    <w:basedOn w:val="Normal"/>
    <w:link w:val="CommentTextChar"/>
    <w:rsid w:val="003869B3"/>
  </w:style>
  <w:style w:type="character" w:customStyle="1" w:styleId="CommentTextChar">
    <w:name w:val="Comment Text Char"/>
    <w:basedOn w:val="DefaultParagraphFont"/>
    <w:link w:val="CommentText"/>
    <w:rsid w:val="003869B3"/>
  </w:style>
  <w:style w:type="paragraph" w:styleId="CommentSubject">
    <w:name w:val="annotation subject"/>
    <w:basedOn w:val="CommentText"/>
    <w:next w:val="CommentText"/>
    <w:link w:val="CommentSubjectChar"/>
    <w:rsid w:val="003869B3"/>
    <w:rPr>
      <w:b/>
      <w:bCs/>
    </w:rPr>
  </w:style>
  <w:style w:type="character" w:customStyle="1" w:styleId="CommentSubjectChar">
    <w:name w:val="Comment Subject Char"/>
    <w:link w:val="CommentSubject"/>
    <w:rsid w:val="003869B3"/>
    <w:rPr>
      <w:b/>
      <w:bCs/>
    </w:rPr>
  </w:style>
  <w:style w:type="table" w:styleId="TableGrid">
    <w:name w:val="Table Grid"/>
    <w:basedOn w:val="TableNormal"/>
    <w:rsid w:val="00CD63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914476"/>
  </w:style>
  <w:style w:type="character" w:customStyle="1" w:styleId="EndnoteTextChar">
    <w:name w:val="Endnote Text Char"/>
    <w:basedOn w:val="DefaultParagraphFont"/>
    <w:link w:val="EndnoteText"/>
    <w:rsid w:val="00914476"/>
  </w:style>
  <w:style w:type="character" w:styleId="EndnoteReference">
    <w:name w:val="endnote reference"/>
    <w:rsid w:val="00914476"/>
    <w:rPr>
      <w:vertAlign w:val="superscript"/>
    </w:rPr>
  </w:style>
  <w:style w:type="character" w:customStyle="1" w:styleId="apple-converted-space">
    <w:name w:val="apple-converted-space"/>
    <w:basedOn w:val="DefaultParagraphFont"/>
    <w:rsid w:val="00264F0A"/>
  </w:style>
  <w:style w:type="paragraph" w:customStyle="1" w:styleId="Default">
    <w:name w:val="Default"/>
    <w:rsid w:val="009D2458"/>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4A0720"/>
    <w:pPr>
      <w:widowControl w:val="0"/>
    </w:pPr>
    <w:rPr>
      <w:rFonts w:eastAsiaTheme="minorHAnsi" w:cstheme="minorBidi"/>
      <w:sz w:val="22"/>
      <w:szCs w:val="22"/>
      <w:lang w:val="en-US" w:eastAsia="en-US"/>
    </w:rPr>
  </w:style>
  <w:style w:type="table" w:styleId="LightShading-Accent1">
    <w:name w:val="Light Shading Accent 1"/>
    <w:basedOn w:val="TableNormal"/>
    <w:uiPriority w:val="60"/>
    <w:rsid w:val="00365AA1"/>
    <w:rPr>
      <w:color w:val="005381" w:themeColor="accent1" w:themeShade="BF"/>
    </w:rPr>
    <w:tblPr>
      <w:tblStyleRowBandSize w:val="1"/>
      <w:tblStyleColBandSize w:val="1"/>
      <w:tblBorders>
        <w:top w:val="single" w:sz="8" w:space="0" w:color="0070AD" w:themeColor="accent1"/>
        <w:bottom w:val="single" w:sz="8" w:space="0" w:color="0070AD" w:themeColor="accent1"/>
      </w:tblBorders>
    </w:tblPr>
    <w:tblStylePr w:type="firstRow">
      <w:pPr>
        <w:spacing w:before="0" w:after="0" w:line="240" w:lineRule="auto"/>
      </w:pPr>
      <w:rPr>
        <w:b/>
        <w:bCs/>
      </w:rPr>
      <w:tblPr/>
      <w:tcPr>
        <w:tcBorders>
          <w:top w:val="single" w:sz="8" w:space="0" w:color="0070AD" w:themeColor="accent1"/>
          <w:left w:val="nil"/>
          <w:bottom w:val="single" w:sz="8" w:space="0" w:color="0070AD" w:themeColor="accent1"/>
          <w:right w:val="nil"/>
          <w:insideH w:val="nil"/>
          <w:insideV w:val="nil"/>
        </w:tcBorders>
      </w:tcPr>
    </w:tblStylePr>
    <w:tblStylePr w:type="lastRow">
      <w:pPr>
        <w:spacing w:before="0" w:after="0" w:line="240" w:lineRule="auto"/>
      </w:pPr>
      <w:rPr>
        <w:b/>
        <w:bCs/>
      </w:rPr>
      <w:tblPr/>
      <w:tcPr>
        <w:tcBorders>
          <w:top w:val="single" w:sz="8" w:space="0" w:color="0070AD" w:themeColor="accent1"/>
          <w:left w:val="nil"/>
          <w:bottom w:val="single" w:sz="8" w:space="0" w:color="0070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1FF" w:themeFill="accent1" w:themeFillTint="3F"/>
      </w:tcPr>
    </w:tblStylePr>
    <w:tblStylePr w:type="band1Horz">
      <w:tblPr/>
      <w:tcPr>
        <w:tcBorders>
          <w:left w:val="nil"/>
          <w:right w:val="nil"/>
          <w:insideH w:val="nil"/>
          <w:insideV w:val="nil"/>
        </w:tcBorders>
        <w:shd w:val="clear" w:color="auto" w:fill="ABE1FF" w:themeFill="accent1" w:themeFillTint="3F"/>
      </w:tcPr>
    </w:tblStylePr>
  </w:style>
  <w:style w:type="paragraph" w:styleId="Revision">
    <w:name w:val="Revision"/>
    <w:hidden/>
    <w:uiPriority w:val="99"/>
    <w:semiHidden/>
    <w:rsid w:val="009614E1"/>
  </w:style>
  <w:style w:type="paragraph" w:customStyle="1" w:styleId="section">
    <w:name w:val="section"/>
    <w:basedOn w:val="Normal"/>
    <w:link w:val="sectionChar"/>
    <w:qFormat/>
    <w:rsid w:val="00CD0E6A"/>
    <w:pPr>
      <w:keepNext/>
      <w:spacing w:before="360" w:after="120" w:line="288" w:lineRule="auto"/>
    </w:pPr>
    <w:rPr>
      <w:rFonts w:ascii="Arial" w:hAnsi="Arial" w:cs="Arial"/>
      <w:b/>
    </w:rPr>
  </w:style>
  <w:style w:type="character" w:customStyle="1" w:styleId="sectionChar">
    <w:name w:val="section Char"/>
    <w:basedOn w:val="DefaultParagraphFont"/>
    <w:link w:val="section"/>
    <w:rsid w:val="00CD0E6A"/>
    <w:rPr>
      <w:rFonts w:ascii="Arial" w:hAnsi="Arial" w:cs="Arial"/>
      <w:b/>
    </w:rPr>
  </w:style>
  <w:style w:type="character" w:customStyle="1" w:styleId="Style">
    <w:name w:val="Style"/>
    <w:basedOn w:val="FootnoteReference"/>
    <w:rsid w:val="009B78EA"/>
    <w:rPr>
      <w:rFonts w:asciiTheme="minorHAnsi" w:hAnsiTheme="minorHAnsi"/>
      <w:b w:val="0"/>
      <w:bCs/>
      <w:sz w:val="18"/>
      <w:vertAlign w:val="superscript"/>
    </w:rPr>
  </w:style>
  <w:style w:type="paragraph" w:customStyle="1" w:styleId="ChapitrePR">
    <w:name w:val="Chapitre PR"/>
    <w:basedOn w:val="Normal"/>
    <w:link w:val="ChapitrePRChar"/>
    <w:qFormat/>
    <w:rsid w:val="00C91770"/>
    <w:pPr>
      <w:keepNext/>
      <w:spacing w:before="120" w:after="120"/>
    </w:pPr>
    <w:rPr>
      <w:rFonts w:ascii="Arial" w:hAnsi="Arial" w:cs="Arial"/>
      <w:b/>
      <w:sz w:val="20"/>
    </w:rPr>
  </w:style>
  <w:style w:type="character" w:customStyle="1" w:styleId="ChapitrePRChar">
    <w:name w:val="Chapitre PR Char"/>
    <w:basedOn w:val="DefaultParagraphFont"/>
    <w:link w:val="ChapitrePR"/>
    <w:rsid w:val="00C91770"/>
    <w:rPr>
      <w:rFonts w:ascii="Arial" w:hAnsi="Arial" w:cs="Arial"/>
      <w:b/>
    </w:rPr>
  </w:style>
  <w:style w:type="character" w:styleId="UnresolvedMention">
    <w:name w:val="Unresolved Mention"/>
    <w:basedOn w:val="DefaultParagraphFont"/>
    <w:uiPriority w:val="99"/>
    <w:semiHidden/>
    <w:unhideWhenUsed/>
    <w:rsid w:val="009B4DE9"/>
    <w:rPr>
      <w:color w:val="808080"/>
      <w:shd w:val="clear" w:color="auto" w:fill="E6E6E6"/>
    </w:rPr>
  </w:style>
  <w:style w:type="paragraph" w:customStyle="1" w:styleId="AnnexePR">
    <w:name w:val="Annexe PR"/>
    <w:basedOn w:val="Normal"/>
    <w:link w:val="AnnexePRChar"/>
    <w:qFormat/>
    <w:rsid w:val="003E11DB"/>
    <w:pPr>
      <w:spacing w:before="120" w:after="120"/>
    </w:pPr>
    <w:rPr>
      <w:rFonts w:ascii="Arial" w:hAnsi="Arial" w:cs="Arial"/>
      <w:b/>
    </w:rPr>
  </w:style>
  <w:style w:type="character" w:customStyle="1" w:styleId="AnnexePRChar">
    <w:name w:val="Annexe PR Char"/>
    <w:basedOn w:val="DefaultParagraphFont"/>
    <w:link w:val="AnnexePR"/>
    <w:rsid w:val="003E11DB"/>
    <w:rPr>
      <w:rFonts w:ascii="Arial" w:hAnsi="Arial" w:cs="Arial"/>
      <w:b/>
      <w:sz w:val="18"/>
    </w:rPr>
  </w:style>
  <w:style w:type="character" w:customStyle="1" w:styleId="Heading1Char">
    <w:name w:val="Heading 1 Char"/>
    <w:basedOn w:val="DefaultParagraphFont"/>
    <w:link w:val="Heading1"/>
    <w:rsid w:val="00770F9D"/>
    <w:rPr>
      <w:rFonts w:asciiTheme="minorHAnsi" w:hAnsiTheme="minorHAnsi" w:cs="Arial"/>
      <w:b/>
      <w:cap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35383">
      <w:bodyDiv w:val="1"/>
      <w:marLeft w:val="0"/>
      <w:marRight w:val="0"/>
      <w:marTop w:val="0"/>
      <w:marBottom w:val="0"/>
      <w:divBdr>
        <w:top w:val="none" w:sz="0" w:space="0" w:color="auto"/>
        <w:left w:val="none" w:sz="0" w:space="0" w:color="auto"/>
        <w:bottom w:val="none" w:sz="0" w:space="0" w:color="auto"/>
        <w:right w:val="none" w:sz="0" w:space="0" w:color="auto"/>
      </w:divBdr>
    </w:div>
    <w:div w:id="116607035">
      <w:bodyDiv w:val="1"/>
      <w:marLeft w:val="0"/>
      <w:marRight w:val="0"/>
      <w:marTop w:val="0"/>
      <w:marBottom w:val="0"/>
      <w:divBdr>
        <w:top w:val="none" w:sz="0" w:space="0" w:color="auto"/>
        <w:left w:val="none" w:sz="0" w:space="0" w:color="auto"/>
        <w:bottom w:val="none" w:sz="0" w:space="0" w:color="auto"/>
        <w:right w:val="none" w:sz="0" w:space="0" w:color="auto"/>
      </w:divBdr>
    </w:div>
    <w:div w:id="127431030">
      <w:bodyDiv w:val="1"/>
      <w:marLeft w:val="0"/>
      <w:marRight w:val="0"/>
      <w:marTop w:val="0"/>
      <w:marBottom w:val="0"/>
      <w:divBdr>
        <w:top w:val="none" w:sz="0" w:space="0" w:color="auto"/>
        <w:left w:val="none" w:sz="0" w:space="0" w:color="auto"/>
        <w:bottom w:val="none" w:sz="0" w:space="0" w:color="auto"/>
        <w:right w:val="none" w:sz="0" w:space="0" w:color="auto"/>
      </w:divBdr>
    </w:div>
    <w:div w:id="145586774">
      <w:bodyDiv w:val="1"/>
      <w:marLeft w:val="0"/>
      <w:marRight w:val="0"/>
      <w:marTop w:val="0"/>
      <w:marBottom w:val="0"/>
      <w:divBdr>
        <w:top w:val="none" w:sz="0" w:space="0" w:color="auto"/>
        <w:left w:val="none" w:sz="0" w:space="0" w:color="auto"/>
        <w:bottom w:val="none" w:sz="0" w:space="0" w:color="auto"/>
        <w:right w:val="none" w:sz="0" w:space="0" w:color="auto"/>
      </w:divBdr>
    </w:div>
    <w:div w:id="225144753">
      <w:bodyDiv w:val="1"/>
      <w:marLeft w:val="0"/>
      <w:marRight w:val="0"/>
      <w:marTop w:val="0"/>
      <w:marBottom w:val="0"/>
      <w:divBdr>
        <w:top w:val="none" w:sz="0" w:space="0" w:color="auto"/>
        <w:left w:val="none" w:sz="0" w:space="0" w:color="auto"/>
        <w:bottom w:val="none" w:sz="0" w:space="0" w:color="auto"/>
        <w:right w:val="none" w:sz="0" w:space="0" w:color="auto"/>
      </w:divBdr>
    </w:div>
    <w:div w:id="239952436">
      <w:bodyDiv w:val="1"/>
      <w:marLeft w:val="0"/>
      <w:marRight w:val="0"/>
      <w:marTop w:val="0"/>
      <w:marBottom w:val="0"/>
      <w:divBdr>
        <w:top w:val="none" w:sz="0" w:space="0" w:color="auto"/>
        <w:left w:val="none" w:sz="0" w:space="0" w:color="auto"/>
        <w:bottom w:val="none" w:sz="0" w:space="0" w:color="auto"/>
        <w:right w:val="none" w:sz="0" w:space="0" w:color="auto"/>
      </w:divBdr>
    </w:div>
    <w:div w:id="264580570">
      <w:bodyDiv w:val="1"/>
      <w:marLeft w:val="0"/>
      <w:marRight w:val="0"/>
      <w:marTop w:val="0"/>
      <w:marBottom w:val="0"/>
      <w:divBdr>
        <w:top w:val="none" w:sz="0" w:space="0" w:color="auto"/>
        <w:left w:val="none" w:sz="0" w:space="0" w:color="auto"/>
        <w:bottom w:val="none" w:sz="0" w:space="0" w:color="auto"/>
        <w:right w:val="none" w:sz="0" w:space="0" w:color="auto"/>
      </w:divBdr>
    </w:div>
    <w:div w:id="443498099">
      <w:bodyDiv w:val="1"/>
      <w:marLeft w:val="0"/>
      <w:marRight w:val="0"/>
      <w:marTop w:val="0"/>
      <w:marBottom w:val="0"/>
      <w:divBdr>
        <w:top w:val="none" w:sz="0" w:space="0" w:color="auto"/>
        <w:left w:val="none" w:sz="0" w:space="0" w:color="auto"/>
        <w:bottom w:val="none" w:sz="0" w:space="0" w:color="auto"/>
        <w:right w:val="none" w:sz="0" w:space="0" w:color="auto"/>
      </w:divBdr>
    </w:div>
    <w:div w:id="460617359">
      <w:bodyDiv w:val="1"/>
      <w:marLeft w:val="0"/>
      <w:marRight w:val="0"/>
      <w:marTop w:val="0"/>
      <w:marBottom w:val="0"/>
      <w:divBdr>
        <w:top w:val="none" w:sz="0" w:space="0" w:color="auto"/>
        <w:left w:val="none" w:sz="0" w:space="0" w:color="auto"/>
        <w:bottom w:val="none" w:sz="0" w:space="0" w:color="auto"/>
        <w:right w:val="none" w:sz="0" w:space="0" w:color="auto"/>
      </w:divBdr>
    </w:div>
    <w:div w:id="542644184">
      <w:bodyDiv w:val="1"/>
      <w:marLeft w:val="0"/>
      <w:marRight w:val="0"/>
      <w:marTop w:val="0"/>
      <w:marBottom w:val="0"/>
      <w:divBdr>
        <w:top w:val="none" w:sz="0" w:space="0" w:color="auto"/>
        <w:left w:val="none" w:sz="0" w:space="0" w:color="auto"/>
        <w:bottom w:val="none" w:sz="0" w:space="0" w:color="auto"/>
        <w:right w:val="none" w:sz="0" w:space="0" w:color="auto"/>
      </w:divBdr>
    </w:div>
    <w:div w:id="560487218">
      <w:bodyDiv w:val="1"/>
      <w:marLeft w:val="0"/>
      <w:marRight w:val="0"/>
      <w:marTop w:val="0"/>
      <w:marBottom w:val="0"/>
      <w:divBdr>
        <w:top w:val="none" w:sz="0" w:space="0" w:color="auto"/>
        <w:left w:val="none" w:sz="0" w:space="0" w:color="auto"/>
        <w:bottom w:val="none" w:sz="0" w:space="0" w:color="auto"/>
        <w:right w:val="none" w:sz="0" w:space="0" w:color="auto"/>
      </w:divBdr>
    </w:div>
    <w:div w:id="666903068">
      <w:bodyDiv w:val="1"/>
      <w:marLeft w:val="0"/>
      <w:marRight w:val="0"/>
      <w:marTop w:val="0"/>
      <w:marBottom w:val="0"/>
      <w:divBdr>
        <w:top w:val="none" w:sz="0" w:space="0" w:color="auto"/>
        <w:left w:val="none" w:sz="0" w:space="0" w:color="auto"/>
        <w:bottom w:val="none" w:sz="0" w:space="0" w:color="auto"/>
        <w:right w:val="none" w:sz="0" w:space="0" w:color="auto"/>
      </w:divBdr>
    </w:div>
    <w:div w:id="725448705">
      <w:bodyDiv w:val="1"/>
      <w:marLeft w:val="0"/>
      <w:marRight w:val="0"/>
      <w:marTop w:val="0"/>
      <w:marBottom w:val="0"/>
      <w:divBdr>
        <w:top w:val="none" w:sz="0" w:space="0" w:color="auto"/>
        <w:left w:val="none" w:sz="0" w:space="0" w:color="auto"/>
        <w:bottom w:val="none" w:sz="0" w:space="0" w:color="auto"/>
        <w:right w:val="none" w:sz="0" w:space="0" w:color="auto"/>
      </w:divBdr>
    </w:div>
    <w:div w:id="757100603">
      <w:bodyDiv w:val="1"/>
      <w:marLeft w:val="0"/>
      <w:marRight w:val="0"/>
      <w:marTop w:val="0"/>
      <w:marBottom w:val="0"/>
      <w:divBdr>
        <w:top w:val="none" w:sz="0" w:space="0" w:color="auto"/>
        <w:left w:val="none" w:sz="0" w:space="0" w:color="auto"/>
        <w:bottom w:val="none" w:sz="0" w:space="0" w:color="auto"/>
        <w:right w:val="none" w:sz="0" w:space="0" w:color="auto"/>
      </w:divBdr>
    </w:div>
    <w:div w:id="808330190">
      <w:bodyDiv w:val="1"/>
      <w:marLeft w:val="0"/>
      <w:marRight w:val="0"/>
      <w:marTop w:val="0"/>
      <w:marBottom w:val="0"/>
      <w:divBdr>
        <w:top w:val="none" w:sz="0" w:space="0" w:color="auto"/>
        <w:left w:val="none" w:sz="0" w:space="0" w:color="auto"/>
        <w:bottom w:val="none" w:sz="0" w:space="0" w:color="auto"/>
        <w:right w:val="none" w:sz="0" w:space="0" w:color="auto"/>
      </w:divBdr>
    </w:div>
    <w:div w:id="927157205">
      <w:bodyDiv w:val="1"/>
      <w:marLeft w:val="0"/>
      <w:marRight w:val="0"/>
      <w:marTop w:val="0"/>
      <w:marBottom w:val="0"/>
      <w:divBdr>
        <w:top w:val="none" w:sz="0" w:space="0" w:color="auto"/>
        <w:left w:val="none" w:sz="0" w:space="0" w:color="auto"/>
        <w:bottom w:val="none" w:sz="0" w:space="0" w:color="auto"/>
        <w:right w:val="none" w:sz="0" w:space="0" w:color="auto"/>
      </w:divBdr>
    </w:div>
    <w:div w:id="970792990">
      <w:bodyDiv w:val="1"/>
      <w:marLeft w:val="0"/>
      <w:marRight w:val="0"/>
      <w:marTop w:val="0"/>
      <w:marBottom w:val="0"/>
      <w:divBdr>
        <w:top w:val="none" w:sz="0" w:space="0" w:color="auto"/>
        <w:left w:val="none" w:sz="0" w:space="0" w:color="auto"/>
        <w:bottom w:val="none" w:sz="0" w:space="0" w:color="auto"/>
        <w:right w:val="none" w:sz="0" w:space="0" w:color="auto"/>
      </w:divBdr>
    </w:div>
    <w:div w:id="972324830">
      <w:bodyDiv w:val="1"/>
      <w:marLeft w:val="0"/>
      <w:marRight w:val="0"/>
      <w:marTop w:val="0"/>
      <w:marBottom w:val="0"/>
      <w:divBdr>
        <w:top w:val="none" w:sz="0" w:space="0" w:color="auto"/>
        <w:left w:val="none" w:sz="0" w:space="0" w:color="auto"/>
        <w:bottom w:val="none" w:sz="0" w:space="0" w:color="auto"/>
        <w:right w:val="none" w:sz="0" w:space="0" w:color="auto"/>
      </w:divBdr>
    </w:div>
    <w:div w:id="986275660">
      <w:bodyDiv w:val="1"/>
      <w:marLeft w:val="0"/>
      <w:marRight w:val="0"/>
      <w:marTop w:val="0"/>
      <w:marBottom w:val="0"/>
      <w:divBdr>
        <w:top w:val="none" w:sz="0" w:space="0" w:color="auto"/>
        <w:left w:val="none" w:sz="0" w:space="0" w:color="auto"/>
        <w:bottom w:val="none" w:sz="0" w:space="0" w:color="auto"/>
        <w:right w:val="none" w:sz="0" w:space="0" w:color="auto"/>
      </w:divBdr>
    </w:div>
    <w:div w:id="1025787417">
      <w:bodyDiv w:val="1"/>
      <w:marLeft w:val="0"/>
      <w:marRight w:val="0"/>
      <w:marTop w:val="0"/>
      <w:marBottom w:val="0"/>
      <w:divBdr>
        <w:top w:val="none" w:sz="0" w:space="0" w:color="auto"/>
        <w:left w:val="none" w:sz="0" w:space="0" w:color="auto"/>
        <w:bottom w:val="none" w:sz="0" w:space="0" w:color="auto"/>
        <w:right w:val="none" w:sz="0" w:space="0" w:color="auto"/>
      </w:divBdr>
    </w:div>
    <w:div w:id="1065445724">
      <w:bodyDiv w:val="1"/>
      <w:marLeft w:val="0"/>
      <w:marRight w:val="0"/>
      <w:marTop w:val="0"/>
      <w:marBottom w:val="0"/>
      <w:divBdr>
        <w:top w:val="none" w:sz="0" w:space="0" w:color="auto"/>
        <w:left w:val="none" w:sz="0" w:space="0" w:color="auto"/>
        <w:bottom w:val="none" w:sz="0" w:space="0" w:color="auto"/>
        <w:right w:val="none" w:sz="0" w:space="0" w:color="auto"/>
      </w:divBdr>
    </w:div>
    <w:div w:id="1175803170">
      <w:bodyDiv w:val="1"/>
      <w:marLeft w:val="0"/>
      <w:marRight w:val="0"/>
      <w:marTop w:val="0"/>
      <w:marBottom w:val="0"/>
      <w:divBdr>
        <w:top w:val="none" w:sz="0" w:space="0" w:color="auto"/>
        <w:left w:val="none" w:sz="0" w:space="0" w:color="auto"/>
        <w:bottom w:val="none" w:sz="0" w:space="0" w:color="auto"/>
        <w:right w:val="none" w:sz="0" w:space="0" w:color="auto"/>
      </w:divBdr>
    </w:div>
    <w:div w:id="1192458702">
      <w:bodyDiv w:val="1"/>
      <w:marLeft w:val="0"/>
      <w:marRight w:val="0"/>
      <w:marTop w:val="0"/>
      <w:marBottom w:val="0"/>
      <w:divBdr>
        <w:top w:val="none" w:sz="0" w:space="0" w:color="auto"/>
        <w:left w:val="none" w:sz="0" w:space="0" w:color="auto"/>
        <w:bottom w:val="none" w:sz="0" w:space="0" w:color="auto"/>
        <w:right w:val="none" w:sz="0" w:space="0" w:color="auto"/>
      </w:divBdr>
    </w:div>
    <w:div w:id="1392120437">
      <w:bodyDiv w:val="1"/>
      <w:marLeft w:val="0"/>
      <w:marRight w:val="0"/>
      <w:marTop w:val="0"/>
      <w:marBottom w:val="0"/>
      <w:divBdr>
        <w:top w:val="none" w:sz="0" w:space="0" w:color="auto"/>
        <w:left w:val="none" w:sz="0" w:space="0" w:color="auto"/>
        <w:bottom w:val="none" w:sz="0" w:space="0" w:color="auto"/>
        <w:right w:val="none" w:sz="0" w:space="0" w:color="auto"/>
      </w:divBdr>
    </w:div>
    <w:div w:id="1623878280">
      <w:bodyDiv w:val="1"/>
      <w:marLeft w:val="0"/>
      <w:marRight w:val="0"/>
      <w:marTop w:val="0"/>
      <w:marBottom w:val="0"/>
      <w:divBdr>
        <w:top w:val="none" w:sz="0" w:space="0" w:color="auto"/>
        <w:left w:val="none" w:sz="0" w:space="0" w:color="auto"/>
        <w:bottom w:val="none" w:sz="0" w:space="0" w:color="auto"/>
        <w:right w:val="none" w:sz="0" w:space="0" w:color="auto"/>
      </w:divBdr>
    </w:div>
    <w:div w:id="1725987332">
      <w:bodyDiv w:val="1"/>
      <w:marLeft w:val="0"/>
      <w:marRight w:val="0"/>
      <w:marTop w:val="0"/>
      <w:marBottom w:val="0"/>
      <w:divBdr>
        <w:top w:val="none" w:sz="0" w:space="0" w:color="auto"/>
        <w:left w:val="none" w:sz="0" w:space="0" w:color="auto"/>
        <w:bottom w:val="none" w:sz="0" w:space="0" w:color="auto"/>
        <w:right w:val="none" w:sz="0" w:space="0" w:color="auto"/>
      </w:divBdr>
    </w:div>
    <w:div w:id="1755012846">
      <w:bodyDiv w:val="1"/>
      <w:marLeft w:val="0"/>
      <w:marRight w:val="0"/>
      <w:marTop w:val="0"/>
      <w:marBottom w:val="0"/>
      <w:divBdr>
        <w:top w:val="none" w:sz="0" w:space="0" w:color="auto"/>
        <w:left w:val="none" w:sz="0" w:space="0" w:color="auto"/>
        <w:bottom w:val="none" w:sz="0" w:space="0" w:color="auto"/>
        <w:right w:val="none" w:sz="0" w:space="0" w:color="auto"/>
      </w:divBdr>
    </w:div>
    <w:div w:id="1768236276">
      <w:bodyDiv w:val="1"/>
      <w:marLeft w:val="0"/>
      <w:marRight w:val="0"/>
      <w:marTop w:val="0"/>
      <w:marBottom w:val="0"/>
      <w:divBdr>
        <w:top w:val="none" w:sz="0" w:space="0" w:color="auto"/>
        <w:left w:val="none" w:sz="0" w:space="0" w:color="auto"/>
        <w:bottom w:val="none" w:sz="0" w:space="0" w:color="auto"/>
        <w:right w:val="none" w:sz="0" w:space="0" w:color="auto"/>
      </w:divBdr>
    </w:div>
    <w:div w:id="1773743039">
      <w:bodyDiv w:val="1"/>
      <w:marLeft w:val="0"/>
      <w:marRight w:val="0"/>
      <w:marTop w:val="0"/>
      <w:marBottom w:val="0"/>
      <w:divBdr>
        <w:top w:val="none" w:sz="0" w:space="0" w:color="auto"/>
        <w:left w:val="none" w:sz="0" w:space="0" w:color="auto"/>
        <w:bottom w:val="none" w:sz="0" w:space="0" w:color="auto"/>
        <w:right w:val="none" w:sz="0" w:space="0" w:color="auto"/>
      </w:divBdr>
    </w:div>
    <w:div w:id="1796213095">
      <w:bodyDiv w:val="1"/>
      <w:marLeft w:val="0"/>
      <w:marRight w:val="0"/>
      <w:marTop w:val="0"/>
      <w:marBottom w:val="0"/>
      <w:divBdr>
        <w:top w:val="none" w:sz="0" w:space="0" w:color="auto"/>
        <w:left w:val="none" w:sz="0" w:space="0" w:color="auto"/>
        <w:bottom w:val="none" w:sz="0" w:space="0" w:color="auto"/>
        <w:right w:val="none" w:sz="0" w:space="0" w:color="auto"/>
      </w:divBdr>
    </w:div>
    <w:div w:id="1855073647">
      <w:bodyDiv w:val="1"/>
      <w:marLeft w:val="0"/>
      <w:marRight w:val="0"/>
      <w:marTop w:val="0"/>
      <w:marBottom w:val="0"/>
      <w:divBdr>
        <w:top w:val="none" w:sz="0" w:space="0" w:color="auto"/>
        <w:left w:val="none" w:sz="0" w:space="0" w:color="auto"/>
        <w:bottom w:val="none" w:sz="0" w:space="0" w:color="auto"/>
        <w:right w:val="none" w:sz="0" w:space="0" w:color="auto"/>
      </w:divBdr>
    </w:div>
    <w:div w:id="1879779053">
      <w:bodyDiv w:val="1"/>
      <w:marLeft w:val="0"/>
      <w:marRight w:val="0"/>
      <w:marTop w:val="0"/>
      <w:marBottom w:val="0"/>
      <w:divBdr>
        <w:top w:val="none" w:sz="0" w:space="0" w:color="auto"/>
        <w:left w:val="none" w:sz="0" w:space="0" w:color="auto"/>
        <w:bottom w:val="none" w:sz="0" w:space="0" w:color="auto"/>
        <w:right w:val="none" w:sz="0" w:space="0" w:color="auto"/>
      </w:divBdr>
    </w:div>
    <w:div w:id="20404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pgemini.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vestors.capgemini.com/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ge.media-server.com/mmc/p/9bfqu7r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apgemini 2017_Cover slides">
  <a:themeElements>
    <a:clrScheme name="Custom 1">
      <a:dk1>
        <a:srgbClr val="000000"/>
      </a:dk1>
      <a:lt1>
        <a:sysClr val="window" lastClr="FFFFFF"/>
      </a:lt1>
      <a:dk2>
        <a:srgbClr val="12ABDB"/>
      </a:dk2>
      <a:lt2>
        <a:srgbClr val="EDEDED"/>
      </a:lt2>
      <a:accent1>
        <a:srgbClr val="0070AD"/>
      </a:accent1>
      <a:accent2>
        <a:srgbClr val="12ABDB"/>
      </a:accent2>
      <a:accent3>
        <a:srgbClr val="2B0A3D"/>
      </a:accent3>
      <a:accent4>
        <a:srgbClr val="FF304C"/>
      </a:accent4>
      <a:accent5>
        <a:srgbClr val="95E616"/>
      </a:accent5>
      <a:accent6>
        <a:srgbClr val="C2CF00"/>
      </a:accent6>
      <a:hlink>
        <a:srgbClr val="005481"/>
      </a:hlink>
      <a:folHlink>
        <a:srgbClr val="861763"/>
      </a:folHlink>
    </a:clrScheme>
    <a:fontScheme name="Capgemini">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ésentation1" id="{F4EDDD86-B8A8-46E1-81BA-C40220CF151C}" vid="{D76BB8BF-901C-4709-A70B-B9D8599096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078506D05380408DCF6E5ECADE9CF4" ma:contentTypeVersion="13" ma:contentTypeDescription="Create a new document." ma:contentTypeScope="" ma:versionID="669fa81580d232680df79f38e98b8e5d">
  <xsd:schema xmlns:xsd="http://www.w3.org/2001/XMLSchema" xmlns:xs="http://www.w3.org/2001/XMLSchema" xmlns:p="http://schemas.microsoft.com/office/2006/metadata/properties" xmlns:ns3="56d0daf6-2fb0-4c45-911c-39c33d8f9876" xmlns:ns4="aa20403a-df27-4f63-88e2-74a92fd86c6b" targetNamespace="http://schemas.microsoft.com/office/2006/metadata/properties" ma:root="true" ma:fieldsID="0144def9d03147aa7802314fcc5d9672" ns3:_="" ns4:_="">
    <xsd:import namespace="56d0daf6-2fb0-4c45-911c-39c33d8f9876"/>
    <xsd:import namespace="aa20403a-df27-4f63-88e2-74a92fd86c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0daf6-2fb0-4c45-911c-39c33d8f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20403a-df27-4f63-88e2-74a92fd86c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5087C-2D39-4C65-8E5F-97414933F4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338B34-2B0C-459D-A54D-3A42D5BB5A27}">
  <ds:schemaRefs>
    <ds:schemaRef ds:uri="http://schemas.microsoft.com/sharepoint/v3/contenttype/forms"/>
  </ds:schemaRefs>
</ds:datastoreItem>
</file>

<file path=customXml/itemProps3.xml><?xml version="1.0" encoding="utf-8"?>
<ds:datastoreItem xmlns:ds="http://schemas.openxmlformats.org/officeDocument/2006/customXml" ds:itemID="{88CC9738-1E2F-4798-B641-269BDFD9E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0daf6-2fb0-4c45-911c-39c33d8f9876"/>
    <ds:schemaRef ds:uri="aa20403a-df27-4f63-88e2-74a92fd86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E359C-0A07-45AE-878B-5881F4E8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5492</Words>
  <Characters>31310</Characters>
  <Application>Microsoft Office Word</Application>
  <DocSecurity>4</DocSecurity>
  <Lines>260</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FY08</vt:lpstr>
      <vt:lpstr>FY08</vt:lpstr>
    </vt:vector>
  </TitlesOfParts>
  <Company>CAPGEMINI</Company>
  <LinksUpToDate>false</LinksUpToDate>
  <CharactersWithSpaces>36729</CharactersWithSpaces>
  <SharedDoc>false</SharedDoc>
  <HLinks>
    <vt:vector size="18" baseType="variant">
      <vt:variant>
        <vt:i4>5439508</vt:i4>
      </vt:variant>
      <vt:variant>
        <vt:i4>36</vt:i4>
      </vt:variant>
      <vt:variant>
        <vt:i4>0</vt:i4>
      </vt:variant>
      <vt:variant>
        <vt:i4>5</vt:i4>
      </vt:variant>
      <vt:variant>
        <vt:lpwstr>http://www.capgemini.com/</vt:lpwstr>
      </vt:variant>
      <vt:variant>
        <vt:lpwstr/>
      </vt:variant>
      <vt:variant>
        <vt:i4>2818094</vt:i4>
      </vt:variant>
      <vt:variant>
        <vt:i4>33</vt:i4>
      </vt:variant>
      <vt:variant>
        <vt:i4>0</vt:i4>
      </vt:variant>
      <vt:variant>
        <vt:i4>5</vt:i4>
      </vt:variant>
      <vt:variant>
        <vt:lpwstr>https://investors.capgemini.com/fr/</vt:lpwstr>
      </vt:variant>
      <vt:variant>
        <vt:lpwstr/>
      </vt:variant>
      <vt:variant>
        <vt:i4>5177348</vt:i4>
      </vt:variant>
      <vt:variant>
        <vt:i4>30</vt:i4>
      </vt:variant>
      <vt:variant>
        <vt:i4>0</vt:i4>
      </vt:variant>
      <vt:variant>
        <vt:i4>5</vt:i4>
      </vt:variant>
      <vt:variant>
        <vt:lpwstr>https://edge.media-server.com/mmc/p/9bfqu7rt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FY08</dc:title>
  <dc:subject/>
  <dc:creator>CAPGEMINI</dc:creator>
  <cp:keywords/>
  <dc:description/>
  <cp:lastModifiedBy>BIRAUD, Vincent</cp:lastModifiedBy>
  <cp:revision>35</cp:revision>
  <cp:lastPrinted>2020-08-26T01:49:00Z</cp:lastPrinted>
  <dcterms:created xsi:type="dcterms:W3CDTF">2020-09-03T00:05:00Z</dcterms:created>
  <dcterms:modified xsi:type="dcterms:W3CDTF">2020-09-03T02:01:00Z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0x01010079078506D05380408DCF6E5ECADE9CF4</vt:lpwstr>
  </property>
</Properties>
</file>