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9469"/>
        <w:gridCol w:w="1979"/>
        <w:gridCol w:w="1902"/>
      </w:tblGrid>
      <w:tr w:rsidR="008F5D06" w:rsidRPr="00456DDC" w14:paraId="2A9973C8" w14:textId="77777777" w:rsidTr="00082FF5">
        <w:trPr>
          <w:trHeight w:val="433"/>
        </w:trPr>
        <w:tc>
          <w:tcPr>
            <w:tcW w:w="11448" w:type="dxa"/>
            <w:gridSpan w:val="2"/>
          </w:tcPr>
          <w:p w14:paraId="5CBE8362" w14:textId="77777777" w:rsidR="00261305" w:rsidRPr="00456DDC" w:rsidRDefault="00082FF5" w:rsidP="00196EBA">
            <w:pPr>
              <w:jc w:val="both"/>
              <w:rPr>
                <w:b/>
                <w:bCs/>
                <w:color w:val="00A0CB"/>
                <w:spacing w:val="38"/>
                <w:sz w:val="36"/>
                <w:szCs w:val="36"/>
                <w:lang w:val="nl-NL"/>
              </w:rPr>
            </w:pPr>
            <w:bookmarkStart w:id="0" w:name="_GoBack"/>
            <w:r w:rsidRPr="00456DDC">
              <w:rPr>
                <w:rFonts w:ascii="Calibri" w:hAnsi="Calibri"/>
                <w:noProof/>
                <w:sz w:val="24"/>
              </w:rPr>
              <w:drawing>
                <wp:anchor distT="0" distB="0" distL="114300" distR="114300" simplePos="0" relativeHeight="251660288" behindDoc="1" locked="0" layoutInCell="1" allowOverlap="1" wp14:anchorId="4274EFC4" wp14:editId="16A0DDDA">
                  <wp:simplePos x="0" y="0"/>
                  <wp:positionH relativeFrom="column">
                    <wp:posOffset>4369435</wp:posOffset>
                  </wp:positionH>
                  <wp:positionV relativeFrom="paragraph">
                    <wp:posOffset>67310</wp:posOffset>
                  </wp:positionV>
                  <wp:extent cx="1534795" cy="188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0-25 at 10.42.03.png"/>
                          <pic:cNvPicPr/>
                        </pic:nvPicPr>
                        <pic:blipFill>
                          <a:blip r:embed="rId8">
                            <a:extLst>
                              <a:ext uri="{28A0092B-C50C-407E-A947-70E740481C1C}">
                                <a14:useLocalDpi xmlns:a14="http://schemas.microsoft.com/office/drawing/2010/main" val="0"/>
                              </a:ext>
                            </a:extLst>
                          </a:blip>
                          <a:stretch>
                            <a:fillRect/>
                          </a:stretch>
                        </pic:blipFill>
                        <pic:spPr>
                          <a:xfrm>
                            <a:off x="0" y="0"/>
                            <a:ext cx="1534795" cy="1880870"/>
                          </a:xfrm>
                          <a:prstGeom prst="rect">
                            <a:avLst/>
                          </a:prstGeom>
                        </pic:spPr>
                      </pic:pic>
                    </a:graphicData>
                  </a:graphic>
                  <wp14:sizeRelH relativeFrom="page">
                    <wp14:pctWidth>0</wp14:pctWidth>
                  </wp14:sizeRelH>
                  <wp14:sizeRelV relativeFrom="page">
                    <wp14:pctHeight>0</wp14:pctHeight>
                  </wp14:sizeRelV>
                </wp:anchor>
              </w:drawing>
            </w:r>
            <w:r w:rsidR="00261305" w:rsidRPr="00456DDC">
              <w:rPr>
                <w:b/>
                <w:bCs/>
                <w:color w:val="00A0CB"/>
                <w:spacing w:val="38"/>
                <w:sz w:val="36"/>
                <w:szCs w:val="36"/>
                <w:lang w:val="nl-NL"/>
              </w:rPr>
              <w:t xml:space="preserve">Opinie stuk over de </w:t>
            </w:r>
            <w:proofErr w:type="spellStart"/>
            <w:r w:rsidR="00261305" w:rsidRPr="00456DDC">
              <w:rPr>
                <w:b/>
                <w:bCs/>
                <w:color w:val="00A0CB"/>
                <w:spacing w:val="38"/>
                <w:sz w:val="36"/>
                <w:szCs w:val="36"/>
                <w:lang w:val="nl-NL"/>
              </w:rPr>
              <w:t>loonnorm</w:t>
            </w:r>
            <w:proofErr w:type="spellEnd"/>
            <w:r w:rsidR="00261305" w:rsidRPr="00456DDC">
              <w:rPr>
                <w:b/>
                <w:bCs/>
                <w:color w:val="00A0CB"/>
                <w:spacing w:val="38"/>
                <w:sz w:val="36"/>
                <w:szCs w:val="36"/>
                <w:lang w:val="nl-NL"/>
              </w:rPr>
              <w:t xml:space="preserve">: </w:t>
            </w:r>
          </w:p>
          <w:p w14:paraId="380B81FF" w14:textId="77777777" w:rsidR="00261305" w:rsidRPr="00456DDC" w:rsidRDefault="00261305" w:rsidP="00196EBA">
            <w:pPr>
              <w:jc w:val="both"/>
              <w:rPr>
                <w:b/>
                <w:bCs/>
                <w:color w:val="00A0CB"/>
                <w:spacing w:val="38"/>
                <w:sz w:val="36"/>
                <w:szCs w:val="36"/>
                <w:lang w:val="nl-NL"/>
              </w:rPr>
            </w:pPr>
            <w:r w:rsidRPr="00456DDC">
              <w:rPr>
                <w:b/>
                <w:bCs/>
                <w:color w:val="00A0CB"/>
                <w:spacing w:val="38"/>
                <w:sz w:val="36"/>
                <w:szCs w:val="36"/>
                <w:lang w:val="nl-NL"/>
              </w:rPr>
              <w:t xml:space="preserve">vier pijnpunten en één </w:t>
            </w:r>
          </w:p>
          <w:p w14:paraId="540DB4AE" w14:textId="2C86DEB7" w:rsidR="00261305" w:rsidRPr="00456DDC" w:rsidRDefault="00261305" w:rsidP="00196EBA">
            <w:pPr>
              <w:jc w:val="both"/>
              <w:rPr>
                <w:b/>
                <w:bCs/>
                <w:color w:val="00A0CB"/>
                <w:spacing w:val="38"/>
                <w:sz w:val="36"/>
                <w:szCs w:val="36"/>
                <w:lang w:val="nl-NL"/>
              </w:rPr>
            </w:pPr>
            <w:r w:rsidRPr="00456DDC">
              <w:rPr>
                <w:b/>
                <w:bCs/>
                <w:color w:val="00A0CB"/>
                <w:spacing w:val="38"/>
                <w:sz w:val="36"/>
                <w:szCs w:val="36"/>
                <w:lang w:val="nl-NL"/>
              </w:rPr>
              <w:t>achterpoortje</w:t>
            </w:r>
            <w:bookmarkEnd w:id="0"/>
          </w:p>
        </w:tc>
        <w:tc>
          <w:tcPr>
            <w:tcW w:w="1902" w:type="dxa"/>
            <w:vMerge w:val="restart"/>
          </w:tcPr>
          <w:p w14:paraId="39C378E9" w14:textId="77777777" w:rsidR="00082FF5" w:rsidRPr="00456DDC" w:rsidRDefault="00082FF5" w:rsidP="00082FF5">
            <w:pPr>
              <w:jc w:val="both"/>
              <w:rPr>
                <w:rFonts w:ascii="Calibri" w:hAnsi="Calibri"/>
                <w:sz w:val="24"/>
                <w:lang w:val="nl-NL"/>
              </w:rPr>
            </w:pPr>
          </w:p>
          <w:p w14:paraId="1B0251C5" w14:textId="77777777" w:rsidR="00082FF5" w:rsidRPr="00456DDC" w:rsidRDefault="00082FF5" w:rsidP="00082FF5">
            <w:pPr>
              <w:jc w:val="both"/>
              <w:rPr>
                <w:rFonts w:ascii="Calibri" w:hAnsi="Calibri"/>
                <w:sz w:val="24"/>
                <w:lang w:val="nl-NL"/>
              </w:rPr>
            </w:pPr>
          </w:p>
          <w:p w14:paraId="2CD96236" w14:textId="56077A44" w:rsidR="008F5D06" w:rsidRPr="00456DDC" w:rsidRDefault="008F5D06" w:rsidP="00082FF5">
            <w:pPr>
              <w:jc w:val="both"/>
              <w:rPr>
                <w:rFonts w:ascii="Calibri" w:hAnsi="Calibri"/>
                <w:sz w:val="24"/>
                <w:lang w:val="nl-NL"/>
              </w:rPr>
            </w:pPr>
          </w:p>
        </w:tc>
      </w:tr>
      <w:tr w:rsidR="008F5D06" w:rsidRPr="00456DDC" w14:paraId="0BFC55F3" w14:textId="77777777" w:rsidTr="00082FF5">
        <w:trPr>
          <w:trHeight w:val="1680"/>
        </w:trPr>
        <w:tc>
          <w:tcPr>
            <w:tcW w:w="9469" w:type="dxa"/>
          </w:tcPr>
          <w:p w14:paraId="5AB8B749" w14:textId="77777777" w:rsidR="008F5D06" w:rsidRPr="00456DDC" w:rsidRDefault="008F5D06" w:rsidP="00082FF5">
            <w:pPr>
              <w:spacing w:line="280" w:lineRule="exact"/>
              <w:jc w:val="both"/>
              <w:rPr>
                <w:rFonts w:cs="Arial"/>
                <w:sz w:val="28"/>
                <w:szCs w:val="28"/>
                <w:lang w:val="nl-NL"/>
              </w:rPr>
            </w:pPr>
          </w:p>
          <w:p w14:paraId="7B5C5CCF" w14:textId="77777777" w:rsidR="008F5D06" w:rsidRPr="00456DDC" w:rsidRDefault="008F5D06" w:rsidP="00082FF5">
            <w:pPr>
              <w:spacing w:line="280" w:lineRule="exact"/>
              <w:jc w:val="both"/>
              <w:rPr>
                <w:rFonts w:cs="Arial"/>
                <w:sz w:val="28"/>
                <w:szCs w:val="28"/>
                <w:lang w:val="nl-NL"/>
              </w:rPr>
            </w:pPr>
          </w:p>
          <w:p w14:paraId="346BB3F6" w14:textId="77777777" w:rsidR="00082FF5" w:rsidRPr="00456DDC" w:rsidRDefault="00082FF5" w:rsidP="00082FF5">
            <w:pPr>
              <w:spacing w:line="280" w:lineRule="exact"/>
              <w:jc w:val="both"/>
              <w:rPr>
                <w:rFonts w:cs="Arial"/>
                <w:sz w:val="28"/>
                <w:szCs w:val="28"/>
                <w:lang w:val="nl-NL"/>
              </w:rPr>
            </w:pPr>
          </w:p>
          <w:p w14:paraId="22E3ADF3" w14:textId="77777777" w:rsidR="00082FF5" w:rsidRPr="00456DDC" w:rsidRDefault="00082FF5" w:rsidP="00082FF5">
            <w:pPr>
              <w:spacing w:line="280" w:lineRule="exact"/>
              <w:jc w:val="both"/>
              <w:rPr>
                <w:rFonts w:cs="Arial"/>
                <w:sz w:val="28"/>
                <w:szCs w:val="28"/>
                <w:lang w:val="nl-NL"/>
              </w:rPr>
            </w:pPr>
          </w:p>
          <w:p w14:paraId="139504FE" w14:textId="77777777" w:rsidR="00082FF5" w:rsidRPr="00456DDC" w:rsidRDefault="00082FF5" w:rsidP="00082FF5">
            <w:pPr>
              <w:spacing w:line="280" w:lineRule="exact"/>
              <w:jc w:val="both"/>
              <w:rPr>
                <w:rFonts w:cs="Arial"/>
                <w:sz w:val="28"/>
                <w:szCs w:val="28"/>
                <w:lang w:val="nl-NL"/>
              </w:rPr>
            </w:pPr>
          </w:p>
          <w:p w14:paraId="2161639E" w14:textId="77777777" w:rsidR="008F5D06" w:rsidRPr="00456DDC" w:rsidRDefault="008F5D06" w:rsidP="00082FF5">
            <w:pPr>
              <w:spacing w:line="280" w:lineRule="exact"/>
              <w:jc w:val="both"/>
              <w:rPr>
                <w:rFonts w:cs="Arial"/>
                <w:sz w:val="28"/>
                <w:szCs w:val="28"/>
                <w:lang w:val="nl-NL"/>
              </w:rPr>
            </w:pPr>
          </w:p>
          <w:p w14:paraId="07D9C69B" w14:textId="77777777" w:rsidR="00082FF5" w:rsidRPr="00456DDC" w:rsidRDefault="00082FF5" w:rsidP="00082FF5">
            <w:pPr>
              <w:spacing w:line="280" w:lineRule="exact"/>
              <w:jc w:val="right"/>
              <w:rPr>
                <w:rFonts w:cs="Arial"/>
                <w:szCs w:val="28"/>
                <w:lang w:val="nl-NL"/>
              </w:rPr>
            </w:pPr>
            <w:r w:rsidRPr="00456DDC">
              <w:rPr>
                <w:rFonts w:cs="Arial"/>
                <w:szCs w:val="28"/>
                <w:lang w:val="nl-NL"/>
              </w:rPr>
              <w:t xml:space="preserve">Yves </w:t>
            </w:r>
            <w:proofErr w:type="spellStart"/>
            <w:r w:rsidRPr="00456DDC">
              <w:rPr>
                <w:rFonts w:cs="Arial"/>
                <w:szCs w:val="28"/>
                <w:lang w:val="nl-NL"/>
              </w:rPr>
              <w:t>Stox</w:t>
            </w:r>
            <w:proofErr w:type="spellEnd"/>
          </w:p>
          <w:p w14:paraId="48A4D7E3" w14:textId="77777777" w:rsidR="00082FF5" w:rsidRPr="00456DDC" w:rsidRDefault="00082FF5" w:rsidP="00082FF5">
            <w:pPr>
              <w:spacing w:line="280" w:lineRule="exact"/>
              <w:jc w:val="right"/>
              <w:rPr>
                <w:rFonts w:cs="Arial"/>
                <w:szCs w:val="28"/>
                <w:lang w:val="nl-NL"/>
              </w:rPr>
            </w:pPr>
            <w:r w:rsidRPr="00456DDC">
              <w:rPr>
                <w:rFonts w:cs="Arial"/>
                <w:szCs w:val="28"/>
                <w:lang w:val="nl-NL"/>
              </w:rPr>
              <w:t xml:space="preserve">Senior Legal Counsel </w:t>
            </w:r>
          </w:p>
          <w:p w14:paraId="303765F6" w14:textId="78935BE4" w:rsidR="008F5D06" w:rsidRPr="00456DDC" w:rsidRDefault="00082FF5" w:rsidP="00082FF5">
            <w:pPr>
              <w:spacing w:line="280" w:lineRule="exact"/>
              <w:jc w:val="right"/>
              <w:rPr>
                <w:rFonts w:cs="Arial"/>
                <w:szCs w:val="28"/>
                <w:lang w:val="nl-NL"/>
              </w:rPr>
            </w:pPr>
            <w:proofErr w:type="spellStart"/>
            <w:r w:rsidRPr="00456DDC">
              <w:rPr>
                <w:rFonts w:cs="Arial"/>
                <w:szCs w:val="28"/>
                <w:lang w:val="nl-NL"/>
              </w:rPr>
              <w:t>Partena</w:t>
            </w:r>
            <w:proofErr w:type="spellEnd"/>
            <w:r w:rsidRPr="00456DDC">
              <w:rPr>
                <w:rFonts w:cs="Arial"/>
                <w:szCs w:val="28"/>
                <w:lang w:val="nl-NL"/>
              </w:rPr>
              <w:t xml:space="preserve"> Professional</w:t>
            </w:r>
          </w:p>
        </w:tc>
        <w:tc>
          <w:tcPr>
            <w:tcW w:w="1979" w:type="dxa"/>
            <w:vAlign w:val="bottom"/>
          </w:tcPr>
          <w:p w14:paraId="78FEAF31" w14:textId="7445440E" w:rsidR="008F5D06" w:rsidRPr="00456DDC" w:rsidRDefault="008F5D06" w:rsidP="00082FF5">
            <w:pPr>
              <w:jc w:val="both"/>
              <w:rPr>
                <w:rFonts w:cs="Arial"/>
                <w:sz w:val="28"/>
                <w:szCs w:val="28"/>
                <w:lang w:val="nl-NL"/>
              </w:rPr>
            </w:pPr>
          </w:p>
        </w:tc>
        <w:tc>
          <w:tcPr>
            <w:tcW w:w="1902" w:type="dxa"/>
            <w:vMerge/>
          </w:tcPr>
          <w:p w14:paraId="5D93D918" w14:textId="77777777" w:rsidR="008F5D06" w:rsidRPr="00456DDC" w:rsidRDefault="008F5D06" w:rsidP="00082FF5">
            <w:pPr>
              <w:jc w:val="both"/>
              <w:rPr>
                <w:rFonts w:ascii="Calibri" w:hAnsi="Calibri"/>
                <w:sz w:val="24"/>
                <w:lang w:val="nl-NL"/>
              </w:rPr>
            </w:pPr>
          </w:p>
        </w:tc>
      </w:tr>
    </w:tbl>
    <w:p w14:paraId="6A79F1CA" w14:textId="77777777" w:rsidR="008F5D06" w:rsidRPr="00456DDC" w:rsidRDefault="008F5D06" w:rsidP="00082FF5">
      <w:pPr>
        <w:autoSpaceDE w:val="0"/>
        <w:autoSpaceDN w:val="0"/>
        <w:adjustRightInd w:val="0"/>
        <w:jc w:val="both"/>
        <w:rPr>
          <w:rFonts w:ascii="Calibri" w:hAnsi="Calibri" w:cs="Arial"/>
          <w:sz w:val="24"/>
          <w:lang w:val="nl-NL"/>
        </w:rPr>
      </w:pPr>
      <w:r w:rsidRPr="00456DDC">
        <w:rPr>
          <w:noProof/>
        </w:rPr>
        <mc:AlternateContent>
          <mc:Choice Requires="wps">
            <w:drawing>
              <wp:anchor distT="4294967293" distB="4294967293" distL="114300" distR="114300" simplePos="0" relativeHeight="251659264" behindDoc="0" locked="0" layoutInCell="1" allowOverlap="1" wp14:anchorId="667AD993" wp14:editId="11F9D989">
                <wp:simplePos x="0" y="0"/>
                <wp:positionH relativeFrom="column">
                  <wp:posOffset>-213360</wp:posOffset>
                </wp:positionH>
                <wp:positionV relativeFrom="paragraph">
                  <wp:posOffset>73025</wp:posOffset>
                </wp:positionV>
                <wp:extent cx="6426835" cy="0"/>
                <wp:effectExtent l="10795" t="10795" r="1079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12700">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FB35A5"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pt,5.75pt" to="489.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" strokecolor="#f6a500" strokeweight="1pt"/>
            </w:pict>
          </mc:Fallback>
        </mc:AlternateContent>
      </w:r>
    </w:p>
    <w:p w14:paraId="7056ECCC" w14:textId="77777777" w:rsidR="00261305" w:rsidRPr="00456DDC" w:rsidRDefault="00261305" w:rsidP="00261305">
      <w:pPr>
        <w:spacing w:line="276" w:lineRule="auto"/>
        <w:jc w:val="both"/>
        <w:rPr>
          <w:b/>
          <w:sz w:val="22"/>
          <w:szCs w:val="22"/>
          <w:lang w:val="nl-NL"/>
        </w:rPr>
      </w:pPr>
      <w:r w:rsidRPr="00456DDC">
        <w:rPr>
          <w:b/>
          <w:sz w:val="22"/>
          <w:szCs w:val="22"/>
          <w:lang w:val="nl-NL"/>
        </w:rPr>
        <w:t xml:space="preserve">De regering Michel is bezorgd om de loonkostontwikkeling in België.  Dat is terecht.  Ook Europa uitte in de zomer van 2016 nog maar eens zijn bezorgdheid over de groeivertraging.  Eén van de boosdoeners: het samenspel van inflatie en loonindexering.  Opnieuw voert de regering de loonnormwet op als dé oplossing.  Toch zal de vernieuwde loonnormwet de verwachtingen niet kunnen inlossen.  </w:t>
      </w:r>
    </w:p>
    <w:p w14:paraId="6351049F" w14:textId="77777777" w:rsidR="00261305" w:rsidRPr="00456DDC" w:rsidRDefault="00261305" w:rsidP="00261305">
      <w:pPr>
        <w:spacing w:line="276" w:lineRule="auto"/>
        <w:jc w:val="both"/>
        <w:rPr>
          <w:b/>
          <w:sz w:val="22"/>
          <w:szCs w:val="22"/>
          <w:lang w:val="nl-NL"/>
        </w:rPr>
      </w:pPr>
    </w:p>
    <w:p w14:paraId="51C73BE1" w14:textId="77777777" w:rsidR="00261305" w:rsidRPr="00456DDC" w:rsidRDefault="00261305" w:rsidP="00261305">
      <w:pPr>
        <w:spacing w:line="276" w:lineRule="auto"/>
        <w:jc w:val="both"/>
        <w:rPr>
          <w:sz w:val="22"/>
          <w:szCs w:val="22"/>
          <w:lang w:val="nl-NL"/>
        </w:rPr>
      </w:pPr>
      <w:r w:rsidRPr="00456DDC">
        <w:rPr>
          <w:sz w:val="22"/>
          <w:szCs w:val="22"/>
          <w:lang w:val="nl-NL"/>
        </w:rPr>
        <w:t xml:space="preserve">De </w:t>
      </w:r>
      <w:proofErr w:type="spellStart"/>
      <w:r w:rsidRPr="00456DDC">
        <w:rPr>
          <w:sz w:val="22"/>
          <w:szCs w:val="22"/>
          <w:lang w:val="nl-NL"/>
        </w:rPr>
        <w:t>loonnorm</w:t>
      </w:r>
      <w:proofErr w:type="spellEnd"/>
      <w:r w:rsidRPr="00456DDC">
        <w:rPr>
          <w:sz w:val="22"/>
          <w:szCs w:val="22"/>
          <w:lang w:val="nl-NL"/>
        </w:rPr>
        <w:t xml:space="preserve"> bestaat al sinds 1996, maar het probleem is gebleven.  Sleutelen aan de berekeningsmethode en een strenger toezicht op de naleving van de wetgeving volstaan niet om de negatieve spiraal van stijgende inflatie en stijgende loonkosten te doorbreken.  De </w:t>
      </w:r>
      <w:proofErr w:type="spellStart"/>
      <w:r w:rsidRPr="00456DDC">
        <w:rPr>
          <w:sz w:val="22"/>
          <w:szCs w:val="22"/>
          <w:lang w:val="nl-NL"/>
        </w:rPr>
        <w:t>loonnorm</w:t>
      </w:r>
      <w:proofErr w:type="spellEnd"/>
      <w:r w:rsidRPr="00456DDC">
        <w:rPr>
          <w:sz w:val="22"/>
          <w:szCs w:val="22"/>
          <w:lang w:val="nl-NL"/>
        </w:rPr>
        <w:t xml:space="preserve"> zelf is niet de oplossing.  In tegendeel, de overheid creëert nieuwe problemen voor ondernemingen.  </w:t>
      </w:r>
    </w:p>
    <w:p w14:paraId="13F1A114" w14:textId="77777777" w:rsidR="00196EBA" w:rsidRPr="00456DDC" w:rsidRDefault="00196EBA" w:rsidP="00196EBA">
      <w:pPr>
        <w:spacing w:line="276" w:lineRule="auto"/>
        <w:jc w:val="both"/>
        <w:rPr>
          <w:sz w:val="22"/>
          <w:szCs w:val="22"/>
          <w:lang w:val="nl-NL"/>
        </w:rPr>
      </w:pPr>
    </w:p>
    <w:p w14:paraId="0F0A1995" w14:textId="77777777" w:rsidR="00261305" w:rsidRPr="00456DDC" w:rsidRDefault="00261305" w:rsidP="00261305">
      <w:pPr>
        <w:spacing w:line="276" w:lineRule="auto"/>
        <w:jc w:val="both"/>
        <w:rPr>
          <w:b/>
          <w:sz w:val="24"/>
          <w:szCs w:val="22"/>
          <w:lang w:val="nl-NL"/>
        </w:rPr>
      </w:pPr>
      <w:r w:rsidRPr="00456DDC">
        <w:rPr>
          <w:b/>
          <w:sz w:val="24"/>
          <w:szCs w:val="22"/>
          <w:lang w:val="nl-NL"/>
        </w:rPr>
        <w:t>Pijnpunt 1: Een beperkte doelstelling.  De loonkost vergelijken met maar drie landen</w:t>
      </w:r>
    </w:p>
    <w:p w14:paraId="11840F7F" w14:textId="77777777" w:rsidR="00261305" w:rsidRPr="00456DDC" w:rsidRDefault="00261305" w:rsidP="00261305">
      <w:pPr>
        <w:spacing w:line="276" w:lineRule="auto"/>
        <w:jc w:val="both"/>
        <w:rPr>
          <w:sz w:val="22"/>
          <w:szCs w:val="22"/>
          <w:lang w:val="nl-NL"/>
        </w:rPr>
      </w:pPr>
      <w:r w:rsidRPr="00456DDC">
        <w:rPr>
          <w:sz w:val="22"/>
          <w:szCs w:val="22"/>
          <w:lang w:val="nl-NL"/>
        </w:rPr>
        <w:t xml:space="preserve">De loonnormwet heeft een eenvoudig doel: het concurrentievermogen van België versterken, en zo een tegengewicht vormen voor de loonindexering.  De </w:t>
      </w:r>
      <w:proofErr w:type="spellStart"/>
      <w:r w:rsidRPr="00456DDC">
        <w:rPr>
          <w:sz w:val="22"/>
          <w:szCs w:val="22"/>
          <w:lang w:val="nl-NL"/>
        </w:rPr>
        <w:t>loonnorm</w:t>
      </w:r>
      <w:proofErr w:type="spellEnd"/>
      <w:r w:rsidRPr="00456DDC">
        <w:rPr>
          <w:sz w:val="22"/>
          <w:szCs w:val="22"/>
          <w:lang w:val="nl-NL"/>
        </w:rPr>
        <w:t xml:space="preserve"> moet ervoor zorgen dat de loonkost in België niet sterker stijgt dan in de drie buurlanden (Frankrijk, Duitsland en Nederland).  Hoe deze doelstelling bereiken?  Door de onderhandelingen op sectorniveau te beïnvloeden.  De sociale partners zullen toch wel twee keer nadenken voordat ze cao’s sluiten die meer loon toekennen dan de </w:t>
      </w:r>
      <w:proofErr w:type="spellStart"/>
      <w:r w:rsidRPr="00456DDC">
        <w:rPr>
          <w:sz w:val="22"/>
          <w:szCs w:val="22"/>
          <w:lang w:val="nl-NL"/>
        </w:rPr>
        <w:t>loonnorm</w:t>
      </w:r>
      <w:proofErr w:type="spellEnd"/>
      <w:r w:rsidRPr="00456DDC">
        <w:rPr>
          <w:sz w:val="22"/>
          <w:szCs w:val="22"/>
          <w:lang w:val="nl-NL"/>
        </w:rPr>
        <w:t xml:space="preserve"> aanvaardt.</w:t>
      </w:r>
    </w:p>
    <w:p w14:paraId="1E8CD5F0" w14:textId="77777777" w:rsidR="00261305" w:rsidRPr="00456DDC" w:rsidRDefault="00261305" w:rsidP="00261305">
      <w:pPr>
        <w:spacing w:line="276" w:lineRule="auto"/>
        <w:jc w:val="both"/>
        <w:rPr>
          <w:sz w:val="22"/>
          <w:szCs w:val="22"/>
          <w:lang w:val="nl-NL"/>
        </w:rPr>
      </w:pPr>
    </w:p>
    <w:p w14:paraId="12532E9E" w14:textId="77777777" w:rsidR="00261305" w:rsidRPr="00456DDC" w:rsidRDefault="00261305" w:rsidP="00261305">
      <w:pPr>
        <w:spacing w:line="276" w:lineRule="auto"/>
        <w:jc w:val="both"/>
        <w:rPr>
          <w:sz w:val="22"/>
          <w:szCs w:val="22"/>
          <w:lang w:val="nl-NL"/>
        </w:rPr>
      </w:pPr>
      <w:r w:rsidRPr="00456DDC">
        <w:rPr>
          <w:sz w:val="22"/>
          <w:szCs w:val="22"/>
          <w:lang w:val="nl-NL"/>
        </w:rPr>
        <w:t xml:space="preserve">Een eerste vraag: hoe relevant is deze vergelijkingsbasis nog in een geglobaliseerde economie?  Een vergelijking met op z’n minst alle lidstaten van de Europese Unie lijkt zinvoller.  </w:t>
      </w:r>
    </w:p>
    <w:p w14:paraId="55EACEDC" w14:textId="77777777" w:rsidR="00456DDC" w:rsidRPr="00456DDC" w:rsidRDefault="00456DDC" w:rsidP="00261305">
      <w:pPr>
        <w:spacing w:line="276" w:lineRule="auto"/>
        <w:jc w:val="both"/>
        <w:rPr>
          <w:sz w:val="22"/>
          <w:szCs w:val="22"/>
          <w:lang w:val="nl-NL"/>
        </w:rPr>
      </w:pPr>
    </w:p>
    <w:p w14:paraId="1C300EB6" w14:textId="77777777" w:rsidR="00261305" w:rsidRPr="00456DDC" w:rsidRDefault="00261305" w:rsidP="00261305">
      <w:pPr>
        <w:spacing w:line="276" w:lineRule="auto"/>
        <w:jc w:val="both"/>
        <w:rPr>
          <w:b/>
          <w:sz w:val="24"/>
          <w:szCs w:val="22"/>
          <w:lang w:val="nl-NL"/>
        </w:rPr>
      </w:pPr>
      <w:r w:rsidRPr="00456DDC">
        <w:rPr>
          <w:b/>
          <w:sz w:val="24"/>
          <w:szCs w:val="22"/>
          <w:lang w:val="nl-NL"/>
        </w:rPr>
        <w:t>Pijnpunt 2: Nieuwe problemen voor ondernemingen</w:t>
      </w:r>
    </w:p>
    <w:p w14:paraId="7AB10F24" w14:textId="77777777" w:rsidR="00261305" w:rsidRPr="00456DDC" w:rsidRDefault="00261305" w:rsidP="00261305">
      <w:pPr>
        <w:spacing w:line="276" w:lineRule="auto"/>
        <w:jc w:val="both"/>
        <w:rPr>
          <w:sz w:val="22"/>
          <w:szCs w:val="22"/>
          <w:lang w:val="nl-NL"/>
        </w:rPr>
      </w:pPr>
      <w:r w:rsidRPr="00456DDC">
        <w:rPr>
          <w:sz w:val="22"/>
          <w:szCs w:val="22"/>
          <w:lang w:val="nl-NL"/>
        </w:rPr>
        <w:t xml:space="preserve">De regering Michel wil de berekeningsmethode van de </w:t>
      </w:r>
      <w:proofErr w:type="spellStart"/>
      <w:r w:rsidRPr="00456DDC">
        <w:rPr>
          <w:sz w:val="22"/>
          <w:szCs w:val="22"/>
          <w:lang w:val="nl-NL"/>
        </w:rPr>
        <w:t>loonnorm</w:t>
      </w:r>
      <w:proofErr w:type="spellEnd"/>
      <w:r w:rsidRPr="00456DDC">
        <w:rPr>
          <w:sz w:val="22"/>
          <w:szCs w:val="22"/>
          <w:lang w:val="nl-NL"/>
        </w:rPr>
        <w:t xml:space="preserve"> aanpassen.  Dat is voer voor de economen van de Centrale Raad voor het Bedrijfsleven, een overlegorgaan tussen de sociale partners dat adviseert over de </w:t>
      </w:r>
      <w:proofErr w:type="spellStart"/>
      <w:r w:rsidRPr="00456DDC">
        <w:rPr>
          <w:sz w:val="22"/>
          <w:szCs w:val="22"/>
          <w:lang w:val="nl-NL"/>
        </w:rPr>
        <w:t>loonnorm</w:t>
      </w:r>
      <w:proofErr w:type="spellEnd"/>
      <w:r w:rsidRPr="00456DDC">
        <w:rPr>
          <w:sz w:val="22"/>
          <w:szCs w:val="22"/>
          <w:lang w:val="nl-NL"/>
        </w:rPr>
        <w:t xml:space="preserve">.  Het is niet duidelijk waarom de aangepaste </w:t>
      </w:r>
      <w:proofErr w:type="spellStart"/>
      <w:r w:rsidRPr="00456DDC">
        <w:rPr>
          <w:sz w:val="22"/>
          <w:szCs w:val="22"/>
          <w:lang w:val="nl-NL"/>
        </w:rPr>
        <w:t>loonnorm</w:t>
      </w:r>
      <w:proofErr w:type="spellEnd"/>
      <w:r w:rsidRPr="00456DDC">
        <w:rPr>
          <w:sz w:val="22"/>
          <w:szCs w:val="22"/>
          <w:lang w:val="nl-NL"/>
        </w:rPr>
        <w:t xml:space="preserve"> nu wel zou werken.  Met de </w:t>
      </w:r>
      <w:proofErr w:type="spellStart"/>
      <w:r w:rsidRPr="00456DDC">
        <w:rPr>
          <w:sz w:val="22"/>
          <w:szCs w:val="22"/>
          <w:lang w:val="nl-NL"/>
        </w:rPr>
        <w:t>loonnorm</w:t>
      </w:r>
      <w:proofErr w:type="spellEnd"/>
      <w:r w:rsidRPr="00456DDC">
        <w:rPr>
          <w:sz w:val="22"/>
          <w:szCs w:val="22"/>
          <w:lang w:val="nl-NL"/>
        </w:rPr>
        <w:t xml:space="preserve"> legt de overheid een maximumprijs voor arbeid op, zoals de overheid vanaf 1945 tot 2004 de broodprijs bepaalde.  Zoals de prijs van het brood steeds is gestegen, is sinds 1996 ook de Belgische loonhandicap toegenomen.  </w:t>
      </w:r>
    </w:p>
    <w:p w14:paraId="2C0EB4F3" w14:textId="77777777" w:rsidR="00456DDC" w:rsidRPr="00456DDC" w:rsidRDefault="00456DDC" w:rsidP="00261305">
      <w:pPr>
        <w:spacing w:line="276" w:lineRule="auto"/>
        <w:jc w:val="both"/>
        <w:rPr>
          <w:sz w:val="22"/>
          <w:szCs w:val="22"/>
          <w:lang w:val="nl-NL"/>
        </w:rPr>
      </w:pPr>
    </w:p>
    <w:p w14:paraId="759ECCAA" w14:textId="77777777" w:rsidR="00261305" w:rsidRPr="00456DDC" w:rsidRDefault="00261305" w:rsidP="00261305">
      <w:pPr>
        <w:spacing w:line="276" w:lineRule="auto"/>
        <w:jc w:val="both"/>
        <w:rPr>
          <w:sz w:val="22"/>
          <w:szCs w:val="22"/>
          <w:lang w:val="nl-NL"/>
        </w:rPr>
      </w:pPr>
      <w:r w:rsidRPr="00456DDC">
        <w:rPr>
          <w:sz w:val="22"/>
          <w:szCs w:val="22"/>
          <w:lang w:val="nl-NL"/>
        </w:rPr>
        <w:lastRenderedPageBreak/>
        <w:t xml:space="preserve">De overheid creëert nieuwe problemen voor de ondernemers.  De </w:t>
      </w:r>
      <w:proofErr w:type="spellStart"/>
      <w:r w:rsidRPr="00456DDC">
        <w:rPr>
          <w:sz w:val="22"/>
          <w:szCs w:val="22"/>
          <w:lang w:val="nl-NL"/>
        </w:rPr>
        <w:t>loonnorm</w:t>
      </w:r>
      <w:proofErr w:type="spellEnd"/>
      <w:r w:rsidRPr="00456DDC">
        <w:rPr>
          <w:sz w:val="22"/>
          <w:szCs w:val="22"/>
          <w:lang w:val="nl-NL"/>
        </w:rPr>
        <w:t xml:space="preserve"> belet dat individuele ondernemers hun eigen loonbeleid kunnen bepalen.  Een alledaags voorbeeld maakt veel duidelijk.  Stel, een onderneming in ontwikkeling wil nieuwe werknemers aanwerven, maar flirt met de </w:t>
      </w:r>
      <w:proofErr w:type="spellStart"/>
      <w:r w:rsidRPr="00456DDC">
        <w:rPr>
          <w:sz w:val="22"/>
          <w:szCs w:val="22"/>
          <w:lang w:val="nl-NL"/>
        </w:rPr>
        <w:t>loonnorm</w:t>
      </w:r>
      <w:proofErr w:type="spellEnd"/>
      <w:r w:rsidRPr="00456DDC">
        <w:rPr>
          <w:sz w:val="22"/>
          <w:szCs w:val="22"/>
          <w:lang w:val="nl-NL"/>
        </w:rPr>
        <w:t xml:space="preserve">.  Die nieuwe werknemers zijn high in </w:t>
      </w:r>
      <w:proofErr w:type="spellStart"/>
      <w:r w:rsidRPr="00456DDC">
        <w:rPr>
          <w:sz w:val="22"/>
          <w:szCs w:val="22"/>
          <w:lang w:val="nl-NL"/>
        </w:rPr>
        <w:t>demand</w:t>
      </w:r>
      <w:proofErr w:type="spellEnd"/>
      <w:r w:rsidRPr="00456DDC">
        <w:rPr>
          <w:sz w:val="22"/>
          <w:szCs w:val="22"/>
          <w:lang w:val="nl-NL"/>
        </w:rPr>
        <w:t xml:space="preserve"> en kosten meer dan de gemiddelde werknemer.  De war on talent weet u wel.  De gemiddelde loonkost van de onderneming stijgt, de onderneming overschrijdt de </w:t>
      </w:r>
      <w:proofErr w:type="spellStart"/>
      <w:r w:rsidRPr="00456DDC">
        <w:rPr>
          <w:sz w:val="22"/>
          <w:szCs w:val="22"/>
          <w:lang w:val="nl-NL"/>
        </w:rPr>
        <w:t>loonnorm</w:t>
      </w:r>
      <w:proofErr w:type="spellEnd"/>
      <w:r w:rsidRPr="00456DDC">
        <w:rPr>
          <w:sz w:val="22"/>
          <w:szCs w:val="22"/>
          <w:lang w:val="nl-NL"/>
        </w:rPr>
        <w:t xml:space="preserve"> en wordt bestraft.  Het alternatief?  De plannen dan maar in de ijskast zetten.</w:t>
      </w:r>
    </w:p>
    <w:p w14:paraId="4B409EC0" w14:textId="77777777" w:rsidR="00456DDC" w:rsidRPr="00456DDC" w:rsidRDefault="00456DDC" w:rsidP="00261305">
      <w:pPr>
        <w:spacing w:line="276" w:lineRule="auto"/>
        <w:jc w:val="both"/>
        <w:rPr>
          <w:sz w:val="22"/>
          <w:szCs w:val="22"/>
          <w:lang w:val="nl-NL"/>
        </w:rPr>
      </w:pPr>
    </w:p>
    <w:p w14:paraId="681E87DF" w14:textId="77777777" w:rsidR="00261305" w:rsidRPr="00456DDC" w:rsidRDefault="00261305" w:rsidP="00261305">
      <w:pPr>
        <w:spacing w:line="276" w:lineRule="auto"/>
        <w:jc w:val="both"/>
        <w:rPr>
          <w:b/>
          <w:sz w:val="24"/>
          <w:szCs w:val="22"/>
          <w:lang w:val="nl-NL"/>
        </w:rPr>
      </w:pPr>
      <w:r w:rsidRPr="00456DDC">
        <w:rPr>
          <w:b/>
          <w:sz w:val="24"/>
          <w:szCs w:val="22"/>
          <w:lang w:val="nl-NL"/>
        </w:rPr>
        <w:t>Pijnpunt 3: niet één, maar twee stokken achter de deur</w:t>
      </w:r>
    </w:p>
    <w:p w14:paraId="764F686D" w14:textId="3FF6BE44" w:rsidR="00261305" w:rsidRPr="00456DDC" w:rsidRDefault="00261305" w:rsidP="00261305">
      <w:pPr>
        <w:spacing w:line="276" w:lineRule="auto"/>
        <w:jc w:val="both"/>
        <w:rPr>
          <w:sz w:val="22"/>
          <w:szCs w:val="22"/>
          <w:lang w:val="nl-NL"/>
        </w:rPr>
      </w:pPr>
      <w:r w:rsidRPr="00456DDC">
        <w:rPr>
          <w:sz w:val="22"/>
          <w:szCs w:val="22"/>
          <w:lang w:val="nl-NL"/>
        </w:rPr>
        <w:t xml:space="preserve">De regering plant niet één, maar twee manieren om de onderneming te bestraffen.  Sanctie 1:  De </w:t>
      </w:r>
      <w:proofErr w:type="spellStart"/>
      <w:r w:rsidRPr="00456DDC">
        <w:rPr>
          <w:sz w:val="22"/>
          <w:szCs w:val="22"/>
          <w:lang w:val="nl-NL"/>
        </w:rPr>
        <w:t>loonnorm</w:t>
      </w:r>
      <w:proofErr w:type="spellEnd"/>
      <w:r w:rsidRPr="00456DDC">
        <w:rPr>
          <w:sz w:val="22"/>
          <w:szCs w:val="22"/>
          <w:lang w:val="nl-NL"/>
        </w:rPr>
        <w:t xml:space="preserve"> zal worden verheven tot een cao die algemeen verbindend wordt verklaard.  Een symbool met zware gevolgen.  De onderneming die deze cao niet naleeft wordt strafrechtelijk gesanctioneerd.  Sanctie 2:  De overheid kan aan administratieve geldboete opleggen aan de onderneming van 30.000 euro per werknemer, met een maximum van </w:t>
      </w:r>
      <w:r w:rsidR="006B61D3" w:rsidRPr="006B61D3">
        <w:rPr>
          <w:sz w:val="22"/>
          <w:szCs w:val="22"/>
          <w:lang w:val="nl-NL"/>
        </w:rPr>
        <w:t>3</w:t>
      </w:r>
      <w:r w:rsidR="006B61D3">
        <w:rPr>
          <w:sz w:val="22"/>
          <w:szCs w:val="22"/>
          <w:lang w:val="nl-NL"/>
        </w:rPr>
        <w:t>.</w:t>
      </w:r>
      <w:r w:rsidR="006B61D3" w:rsidRPr="006B61D3">
        <w:rPr>
          <w:sz w:val="22"/>
          <w:szCs w:val="22"/>
          <w:lang w:val="nl-NL"/>
        </w:rPr>
        <w:t>000.000</w:t>
      </w:r>
      <w:r w:rsidRPr="00456DDC">
        <w:rPr>
          <w:sz w:val="22"/>
          <w:szCs w:val="22"/>
          <w:lang w:val="nl-NL"/>
        </w:rPr>
        <w:t xml:space="preserve"> euro per onderneming</w:t>
      </w:r>
      <w:r w:rsidR="006B61D3">
        <w:rPr>
          <w:sz w:val="22"/>
          <w:szCs w:val="22"/>
          <w:lang w:val="nl-NL"/>
        </w:rPr>
        <w:t xml:space="preserve"> </w:t>
      </w:r>
      <w:r w:rsidR="006B61D3" w:rsidRPr="006B61D3">
        <w:rPr>
          <w:sz w:val="22"/>
          <w:szCs w:val="22"/>
          <w:lang w:val="nl-NL"/>
        </w:rPr>
        <w:t>(30.000 maal 100 werknemers)</w:t>
      </w:r>
      <w:r w:rsidRPr="00456DDC">
        <w:rPr>
          <w:sz w:val="22"/>
          <w:szCs w:val="22"/>
          <w:lang w:val="nl-NL"/>
        </w:rPr>
        <w:t xml:space="preserve">.  </w:t>
      </w:r>
    </w:p>
    <w:p w14:paraId="53B6FE18" w14:textId="77777777" w:rsidR="00456DDC" w:rsidRPr="00456DDC" w:rsidRDefault="00456DDC" w:rsidP="00261305">
      <w:pPr>
        <w:spacing w:line="276" w:lineRule="auto"/>
        <w:jc w:val="both"/>
        <w:rPr>
          <w:sz w:val="22"/>
          <w:szCs w:val="22"/>
          <w:lang w:val="nl-NL"/>
        </w:rPr>
      </w:pPr>
    </w:p>
    <w:p w14:paraId="5F660572" w14:textId="77777777" w:rsidR="00261305" w:rsidRPr="00456DDC" w:rsidRDefault="00261305" w:rsidP="00261305">
      <w:pPr>
        <w:spacing w:line="276" w:lineRule="auto"/>
        <w:jc w:val="both"/>
        <w:rPr>
          <w:sz w:val="22"/>
          <w:szCs w:val="22"/>
          <w:lang w:val="nl-NL"/>
        </w:rPr>
      </w:pPr>
      <w:r w:rsidRPr="00456DDC">
        <w:rPr>
          <w:sz w:val="22"/>
          <w:szCs w:val="22"/>
          <w:lang w:val="nl-NL"/>
        </w:rPr>
        <w:t xml:space="preserve">Een groot verschil met de maximum broodprijs.  Niet de zwarthandelaar, maar de “consument” van arbeid wordt hard aangepakt.  De loonnormwet bestraft alleen de ondernemer.  De andere onderhandelingspartner, de werknemersvertegenwoordiging, blijft buiten schot.  Deze ongelijke behandeling van gelijkwaardige contractspartijen verstoort de cao-onderhandelingen en ondergraaft de doeltreffendheid van de </w:t>
      </w:r>
      <w:proofErr w:type="spellStart"/>
      <w:r w:rsidRPr="00456DDC">
        <w:rPr>
          <w:sz w:val="22"/>
          <w:szCs w:val="22"/>
          <w:lang w:val="nl-NL"/>
        </w:rPr>
        <w:t>loonnorm</w:t>
      </w:r>
      <w:proofErr w:type="spellEnd"/>
      <w:r w:rsidRPr="00456DDC">
        <w:rPr>
          <w:sz w:val="22"/>
          <w:szCs w:val="22"/>
          <w:lang w:val="nl-NL"/>
        </w:rPr>
        <w:t xml:space="preserve">.  Waarom zouden werknemersvertegenwoordigers rekening houden met de </w:t>
      </w:r>
      <w:proofErr w:type="spellStart"/>
      <w:r w:rsidRPr="00456DDC">
        <w:rPr>
          <w:sz w:val="22"/>
          <w:szCs w:val="22"/>
          <w:lang w:val="nl-NL"/>
        </w:rPr>
        <w:t>loonnorm</w:t>
      </w:r>
      <w:proofErr w:type="spellEnd"/>
      <w:r w:rsidRPr="00456DDC">
        <w:rPr>
          <w:sz w:val="22"/>
          <w:szCs w:val="22"/>
          <w:lang w:val="nl-NL"/>
        </w:rPr>
        <w:t xml:space="preserve"> tijdens onderhandelingen als ze toch niet bestraft kunnen worden?</w:t>
      </w:r>
    </w:p>
    <w:p w14:paraId="2E3ECAD7" w14:textId="77777777" w:rsidR="00456DDC" w:rsidRPr="00456DDC" w:rsidRDefault="00456DDC" w:rsidP="00261305">
      <w:pPr>
        <w:spacing w:line="276" w:lineRule="auto"/>
        <w:jc w:val="both"/>
        <w:rPr>
          <w:b/>
          <w:sz w:val="22"/>
          <w:szCs w:val="22"/>
          <w:lang w:val="nl-NL"/>
        </w:rPr>
      </w:pPr>
    </w:p>
    <w:p w14:paraId="67EBDD53" w14:textId="77777777" w:rsidR="00261305" w:rsidRPr="00456DDC" w:rsidRDefault="00261305" w:rsidP="00261305">
      <w:pPr>
        <w:spacing w:line="276" w:lineRule="auto"/>
        <w:jc w:val="both"/>
        <w:rPr>
          <w:b/>
          <w:sz w:val="24"/>
          <w:szCs w:val="22"/>
          <w:lang w:val="nl-NL"/>
        </w:rPr>
      </w:pPr>
      <w:r w:rsidRPr="00456DDC">
        <w:rPr>
          <w:b/>
          <w:sz w:val="24"/>
          <w:szCs w:val="22"/>
          <w:lang w:val="nl-NL"/>
        </w:rPr>
        <w:t>Pijnpunt 4: Loon en loon is twee</w:t>
      </w:r>
    </w:p>
    <w:p w14:paraId="5E969D1B" w14:textId="77777777" w:rsidR="00261305" w:rsidRPr="00456DDC" w:rsidRDefault="00261305" w:rsidP="00261305">
      <w:pPr>
        <w:spacing w:line="276" w:lineRule="auto"/>
        <w:jc w:val="both"/>
        <w:rPr>
          <w:sz w:val="22"/>
          <w:szCs w:val="22"/>
          <w:lang w:val="nl-NL"/>
        </w:rPr>
      </w:pPr>
      <w:r w:rsidRPr="00456DDC">
        <w:rPr>
          <w:sz w:val="22"/>
          <w:szCs w:val="22"/>
          <w:lang w:val="nl-NL"/>
        </w:rPr>
        <w:t xml:space="preserve">De loonnormwet bepaalt niet welke beloningselementen meetellen en welke niet.  Loonindexeringen blijven gegarandeerd.  Nieuwe collectieve bonusplannen ook?  De oplossing sinds 1996: een ministeriële nota met een hele rits situaties.  Het wordt moeilijk om hier nog aan vast te houden.  Zware geldboetes en een eenvoudige ministeriële nota gaan niet samen.  </w:t>
      </w:r>
    </w:p>
    <w:p w14:paraId="2AE004ED" w14:textId="77777777" w:rsidR="00456DDC" w:rsidRDefault="00456DDC" w:rsidP="00261305">
      <w:pPr>
        <w:spacing w:line="276" w:lineRule="auto"/>
        <w:jc w:val="both"/>
        <w:rPr>
          <w:sz w:val="22"/>
          <w:szCs w:val="22"/>
          <w:lang w:val="nl-NL"/>
        </w:rPr>
      </w:pPr>
    </w:p>
    <w:p w14:paraId="5315FA7C" w14:textId="77777777" w:rsidR="00261305" w:rsidRPr="00456DDC" w:rsidRDefault="00261305" w:rsidP="00261305">
      <w:pPr>
        <w:spacing w:line="276" w:lineRule="auto"/>
        <w:jc w:val="both"/>
        <w:rPr>
          <w:b/>
          <w:sz w:val="24"/>
          <w:szCs w:val="22"/>
          <w:lang w:val="nl-NL"/>
        </w:rPr>
      </w:pPr>
      <w:r w:rsidRPr="00456DDC">
        <w:rPr>
          <w:b/>
          <w:sz w:val="24"/>
          <w:szCs w:val="22"/>
          <w:lang w:val="nl-NL"/>
        </w:rPr>
        <w:t>Een achterpoortje</w:t>
      </w:r>
    </w:p>
    <w:p w14:paraId="0D37538C" w14:textId="77777777" w:rsidR="00261305" w:rsidRPr="00456DDC" w:rsidRDefault="00261305" w:rsidP="00261305">
      <w:pPr>
        <w:spacing w:line="276" w:lineRule="auto"/>
        <w:jc w:val="both"/>
        <w:rPr>
          <w:sz w:val="22"/>
          <w:szCs w:val="22"/>
          <w:lang w:val="nl-NL"/>
        </w:rPr>
      </w:pPr>
      <w:r w:rsidRPr="00456DDC">
        <w:rPr>
          <w:sz w:val="22"/>
          <w:szCs w:val="22"/>
          <w:lang w:val="nl-NL"/>
        </w:rPr>
        <w:t xml:space="preserve">De truc uit de oude doos om aan de </w:t>
      </w:r>
      <w:proofErr w:type="spellStart"/>
      <w:r w:rsidRPr="00456DDC">
        <w:rPr>
          <w:sz w:val="22"/>
          <w:szCs w:val="22"/>
          <w:lang w:val="nl-NL"/>
        </w:rPr>
        <w:t>loonnorm</w:t>
      </w:r>
      <w:proofErr w:type="spellEnd"/>
      <w:r w:rsidRPr="00456DDC">
        <w:rPr>
          <w:sz w:val="22"/>
          <w:szCs w:val="22"/>
          <w:lang w:val="nl-NL"/>
        </w:rPr>
        <w:t xml:space="preserve"> te ontsnappen: de ondernemer kent eenzijdig loon toe aan werknemers in plaats van met hen een overeenkomst te sluiten.  Volgens de letter van de wet mogen overeenkomsten de </w:t>
      </w:r>
      <w:proofErr w:type="spellStart"/>
      <w:r w:rsidRPr="00456DDC">
        <w:rPr>
          <w:sz w:val="22"/>
          <w:szCs w:val="22"/>
          <w:lang w:val="nl-NL"/>
        </w:rPr>
        <w:t>loonnorm</w:t>
      </w:r>
      <w:proofErr w:type="spellEnd"/>
      <w:r w:rsidRPr="00456DDC">
        <w:rPr>
          <w:sz w:val="22"/>
          <w:szCs w:val="22"/>
          <w:lang w:val="nl-NL"/>
        </w:rPr>
        <w:t xml:space="preserve"> niet overschrijden.  En een eenzijdige rechtshandeling is nu eenmaal geen overeenkomst.  Een ondernemer die zo de </w:t>
      </w:r>
      <w:proofErr w:type="spellStart"/>
      <w:r w:rsidRPr="00456DDC">
        <w:rPr>
          <w:sz w:val="22"/>
          <w:szCs w:val="22"/>
          <w:lang w:val="nl-NL"/>
        </w:rPr>
        <w:t>loonnorm</w:t>
      </w:r>
      <w:proofErr w:type="spellEnd"/>
      <w:r w:rsidRPr="00456DDC">
        <w:rPr>
          <w:sz w:val="22"/>
          <w:szCs w:val="22"/>
          <w:lang w:val="nl-NL"/>
        </w:rPr>
        <w:t xml:space="preserve"> overschrijdt, gaat vrijuit.  Een juridische spitsvondigheid, die ook werknemers weten te waarderen.</w:t>
      </w:r>
    </w:p>
    <w:p w14:paraId="5B9EBA72" w14:textId="77777777" w:rsidR="00456DDC" w:rsidRPr="00456DDC" w:rsidRDefault="00456DDC" w:rsidP="00261305">
      <w:pPr>
        <w:spacing w:line="276" w:lineRule="auto"/>
        <w:jc w:val="both"/>
        <w:rPr>
          <w:sz w:val="22"/>
          <w:szCs w:val="22"/>
          <w:lang w:val="nl-NL"/>
        </w:rPr>
      </w:pPr>
    </w:p>
    <w:p w14:paraId="222851B6" w14:textId="77777777" w:rsidR="00456DDC" w:rsidRPr="00A30225" w:rsidRDefault="00456DDC" w:rsidP="00261305">
      <w:pPr>
        <w:spacing w:line="276" w:lineRule="auto"/>
        <w:jc w:val="both"/>
        <w:rPr>
          <w:sz w:val="22"/>
          <w:szCs w:val="22"/>
          <w:lang w:val="nl-NL"/>
        </w:rPr>
      </w:pPr>
    </w:p>
    <w:p w14:paraId="4C738000" w14:textId="77777777" w:rsidR="00456DDC" w:rsidRPr="00A30225" w:rsidRDefault="00456DDC" w:rsidP="00456DDC">
      <w:pPr>
        <w:jc w:val="both"/>
        <w:rPr>
          <w:rFonts w:cs="Arial"/>
          <w:color w:val="F6A500"/>
          <w:sz w:val="24"/>
          <w:szCs w:val="28"/>
          <w:lang w:val="nl-NL"/>
        </w:rPr>
      </w:pPr>
      <w:r w:rsidRPr="00A30225">
        <w:rPr>
          <w:rFonts w:cs="Arial"/>
          <w:color w:val="F6A500"/>
          <w:sz w:val="24"/>
          <w:szCs w:val="28"/>
          <w:lang w:val="nl-NL"/>
        </w:rPr>
        <w:t xml:space="preserve">Over </w:t>
      </w:r>
      <w:proofErr w:type="spellStart"/>
      <w:r w:rsidRPr="00A30225">
        <w:rPr>
          <w:rFonts w:cs="Arial"/>
          <w:color w:val="F6A500"/>
          <w:sz w:val="24"/>
          <w:szCs w:val="28"/>
          <w:lang w:val="nl-NL"/>
        </w:rPr>
        <w:t>Partena</w:t>
      </w:r>
      <w:proofErr w:type="spellEnd"/>
      <w:r w:rsidRPr="00A30225">
        <w:rPr>
          <w:rFonts w:cs="Arial"/>
          <w:color w:val="F6A500"/>
          <w:sz w:val="24"/>
          <w:szCs w:val="28"/>
          <w:lang w:val="nl-NL"/>
        </w:rPr>
        <w:t xml:space="preserve"> Professional</w:t>
      </w:r>
    </w:p>
    <w:p w14:paraId="0602519A" w14:textId="22012D01" w:rsidR="00456DDC" w:rsidRPr="00456DDC" w:rsidRDefault="00456DDC" w:rsidP="00456DDC">
      <w:pPr>
        <w:jc w:val="both"/>
        <w:rPr>
          <w:rFonts w:cs="Arial"/>
          <w:b/>
          <w:color w:val="404040" w:themeColor="text1" w:themeTint="BF"/>
          <w:sz w:val="24"/>
          <w:lang w:val="nl-NL"/>
        </w:rPr>
      </w:pPr>
      <w:proofErr w:type="spellStart"/>
      <w:r w:rsidRPr="00456DDC">
        <w:rPr>
          <w:szCs w:val="20"/>
          <w:lang w:val="nl-NL"/>
        </w:rPr>
        <w:t>Partena</w:t>
      </w:r>
      <w:proofErr w:type="spellEnd"/>
      <w:r w:rsidRPr="00456DDC">
        <w:rPr>
          <w:szCs w:val="20"/>
          <w:lang w:val="nl-NL"/>
        </w:rPr>
        <w:t xml:space="preserve"> Professional is een dienstverlener met een sterke focus op ondernemerschap en personeelsbeleid. </w:t>
      </w:r>
      <w:proofErr w:type="spellStart"/>
      <w:r w:rsidRPr="00456DDC">
        <w:rPr>
          <w:szCs w:val="20"/>
          <w:lang w:val="nl-NL"/>
        </w:rPr>
        <w:t>Partena</w:t>
      </w:r>
      <w:proofErr w:type="spellEnd"/>
      <w:r w:rsidRPr="00456DDC">
        <w:rPr>
          <w:szCs w:val="20"/>
          <w:lang w:val="nl-NL"/>
        </w:rPr>
        <w:t xml:space="preserve"> Professional ondersteunt en begeleidt starters, </w:t>
      </w:r>
      <w:proofErr w:type="spellStart"/>
      <w:r w:rsidRPr="00456DDC">
        <w:rPr>
          <w:szCs w:val="20"/>
          <w:lang w:val="nl-NL"/>
        </w:rPr>
        <w:t>KMO’s</w:t>
      </w:r>
      <w:proofErr w:type="spellEnd"/>
      <w:r w:rsidRPr="00456DDC">
        <w:rPr>
          <w:szCs w:val="20"/>
          <w:lang w:val="nl-NL"/>
        </w:rPr>
        <w:t xml:space="preserve"> en grote ondernemingen in hun administratieve processen en HR-beleid. Wij verlenen diensten in verband met de oprichting van een bedrijf, het sociaal statuut van zelfstandigen, het loon- en personeelsbeheer van werknemers en hun kinderbijslag, medische controle bij absenteïsme, opleidingen, juridisch advies en diverse types consultancy (HR, juridisch, …). Zowat 1.500 medewerkers bedienen ruim 200.000 bedrijven en zelfstandigen en realiseren een jaaromzet van 150 miljoen euro. Voor meer informatie, surf naar </w:t>
      </w:r>
      <w:hyperlink r:id="rId9" w:history="1">
        <w:r w:rsidRPr="00456DDC">
          <w:rPr>
            <w:rStyle w:val="Hyperlink"/>
            <w:rFonts w:eastAsiaTheme="majorEastAsia"/>
            <w:szCs w:val="20"/>
            <w:lang w:val="nl-NL"/>
          </w:rPr>
          <w:t>www.partena-professional.be</w:t>
        </w:r>
      </w:hyperlink>
      <w:r w:rsidRPr="00456DDC">
        <w:rPr>
          <w:rStyle w:val="Hyperlink"/>
          <w:rFonts w:eastAsiaTheme="majorEastAsia"/>
          <w:szCs w:val="20"/>
          <w:lang w:val="nl-NL"/>
        </w:rPr>
        <w:t>.</w:t>
      </w:r>
    </w:p>
    <w:p w14:paraId="7363885E" w14:textId="77777777" w:rsidR="00456DDC" w:rsidRPr="00456DDC" w:rsidRDefault="00456DDC" w:rsidP="00261305">
      <w:pPr>
        <w:spacing w:line="276" w:lineRule="auto"/>
        <w:jc w:val="both"/>
        <w:rPr>
          <w:sz w:val="22"/>
          <w:szCs w:val="22"/>
          <w:lang w:val="nl-NL"/>
        </w:rPr>
      </w:pPr>
    </w:p>
    <w:sectPr w:rsidR="00456DDC" w:rsidRPr="00456DDC" w:rsidSect="00196EBA">
      <w:headerReference w:type="default" r:id="rId10"/>
      <w:pgSz w:w="11907" w:h="16840" w:code="9"/>
      <w:pgMar w:top="1418" w:right="1134" w:bottom="851" w:left="1418" w:header="68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84D7D" w14:textId="77777777" w:rsidR="00261305" w:rsidRDefault="00261305" w:rsidP="009E1727">
      <w:r>
        <w:separator/>
      </w:r>
    </w:p>
  </w:endnote>
  <w:endnote w:type="continuationSeparator" w:id="0">
    <w:p w14:paraId="660D3D0E" w14:textId="77777777" w:rsidR="00261305" w:rsidRDefault="00261305" w:rsidP="009E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Segoe UI">
    <w:altName w:val="Calibri"/>
    <w:charset w:val="00"/>
    <w:family w:val="swiss"/>
    <w:pitch w:val="variable"/>
    <w:sig w:usb0="E10022FF" w:usb1="C000E47F" w:usb2="00000029" w:usb3="00000000" w:csb0="000001D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B1D49" w14:textId="77777777" w:rsidR="00261305" w:rsidRDefault="00261305" w:rsidP="009E1727">
      <w:r>
        <w:separator/>
      </w:r>
    </w:p>
  </w:footnote>
  <w:footnote w:type="continuationSeparator" w:id="0">
    <w:p w14:paraId="74EFCA50" w14:textId="77777777" w:rsidR="00261305" w:rsidRDefault="00261305" w:rsidP="009E17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2039C" w14:textId="77777777" w:rsidR="00261305" w:rsidRDefault="00261305" w:rsidP="008B0BFB">
    <w:pPr>
      <w:pStyle w:val="Header"/>
      <w:jc w:val="center"/>
    </w:pPr>
    <w:r>
      <w:rPr>
        <w:noProof/>
      </w:rPr>
      <w:drawing>
        <wp:inline distT="0" distB="0" distL="0" distR="0" wp14:anchorId="28623807" wp14:editId="5B0C2295">
          <wp:extent cx="1872000" cy="695314"/>
          <wp:effectExtent l="19050" t="0" r="0" b="0"/>
          <wp:docPr id="1" name="Picture 1" descr="\\ss-bxl-s-003\groupdir\G-SS-Marketing\COMMUNICATION\CORPORATE\Branding\LOGOS\PNG\Logo_Profess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xl-s-003\groupdir\G-SS-Marketing\COMMUNICATION\CORPORATE\Branding\LOGOS\PNG\Logo_Professional.png"/>
                  <pic:cNvPicPr>
                    <a:picLocks noChangeAspect="1" noChangeArrowheads="1"/>
                  </pic:cNvPicPr>
                </pic:nvPicPr>
                <pic:blipFill>
                  <a:blip r:embed="rId1"/>
                  <a:srcRect/>
                  <a:stretch>
                    <a:fillRect/>
                  </a:stretch>
                </pic:blipFill>
                <pic:spPr bwMode="auto">
                  <a:xfrm>
                    <a:off x="0" y="0"/>
                    <a:ext cx="1872000" cy="695314"/>
                  </a:xfrm>
                  <a:prstGeom prst="rect">
                    <a:avLst/>
                  </a:prstGeom>
                  <a:noFill/>
                  <a:ln w="9525">
                    <a:noFill/>
                    <a:miter lim="800000"/>
                    <a:headEnd/>
                    <a:tailEnd/>
                  </a:ln>
                </pic:spPr>
              </pic:pic>
            </a:graphicData>
          </a:graphic>
        </wp:inline>
      </w:drawing>
    </w:r>
  </w:p>
  <w:p w14:paraId="7B212BF8" w14:textId="77777777" w:rsidR="00261305" w:rsidRDefault="00261305" w:rsidP="008B0BFB">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382B"/>
    <w:multiLevelType w:val="hybridMultilevel"/>
    <w:tmpl w:val="0A40A098"/>
    <w:lvl w:ilvl="0" w:tplc="08130001">
      <w:start w:val="1"/>
      <w:numFmt w:val="bullet"/>
      <w:lvlText w:val=""/>
      <w:lvlJc w:val="left"/>
      <w:pPr>
        <w:ind w:left="1065" w:hanging="705"/>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72A269F"/>
    <w:multiLevelType w:val="hybridMultilevel"/>
    <w:tmpl w:val="1F58DD64"/>
    <w:lvl w:ilvl="0" w:tplc="1136BFA2">
      <w:numFmt w:val="bullet"/>
      <w:lvlText w:val="-"/>
      <w:lvlJc w:val="left"/>
      <w:pPr>
        <w:ind w:left="1065" w:hanging="705"/>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CBC7148"/>
    <w:multiLevelType w:val="hybridMultilevel"/>
    <w:tmpl w:val="4880E378"/>
    <w:lvl w:ilvl="0" w:tplc="1136BFA2">
      <w:numFmt w:val="bullet"/>
      <w:lvlText w:val="-"/>
      <w:lvlJc w:val="left"/>
      <w:pPr>
        <w:ind w:left="1065" w:hanging="705"/>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B2E18AF"/>
    <w:multiLevelType w:val="hybridMultilevel"/>
    <w:tmpl w:val="385200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ine Pierart">
    <w15:presenceInfo w15:providerId="None" w15:userId="Pauline Pier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06"/>
    <w:rsid w:val="00005C90"/>
    <w:rsid w:val="000213C0"/>
    <w:rsid w:val="00076698"/>
    <w:rsid w:val="00082FF5"/>
    <w:rsid w:val="000A1C1E"/>
    <w:rsid w:val="000C2260"/>
    <w:rsid w:val="000C5B09"/>
    <w:rsid w:val="001238F4"/>
    <w:rsid w:val="00141A56"/>
    <w:rsid w:val="001521A9"/>
    <w:rsid w:val="00181687"/>
    <w:rsid w:val="00196EBA"/>
    <w:rsid w:val="001E0B16"/>
    <w:rsid w:val="001E1E08"/>
    <w:rsid w:val="001F19DE"/>
    <w:rsid w:val="001F3043"/>
    <w:rsid w:val="00200FAE"/>
    <w:rsid w:val="00261305"/>
    <w:rsid w:val="002677D4"/>
    <w:rsid w:val="00277A8D"/>
    <w:rsid w:val="002A18F3"/>
    <w:rsid w:val="002A46E3"/>
    <w:rsid w:val="002A6099"/>
    <w:rsid w:val="0030252A"/>
    <w:rsid w:val="00311488"/>
    <w:rsid w:val="00396570"/>
    <w:rsid w:val="0040077B"/>
    <w:rsid w:val="00427538"/>
    <w:rsid w:val="00456DDC"/>
    <w:rsid w:val="0046183C"/>
    <w:rsid w:val="00543E4C"/>
    <w:rsid w:val="005973FA"/>
    <w:rsid w:val="005C493D"/>
    <w:rsid w:val="005E44C7"/>
    <w:rsid w:val="005E4E6C"/>
    <w:rsid w:val="005F027C"/>
    <w:rsid w:val="006272F1"/>
    <w:rsid w:val="00686DBD"/>
    <w:rsid w:val="006B61D3"/>
    <w:rsid w:val="00773B8E"/>
    <w:rsid w:val="0085165B"/>
    <w:rsid w:val="00877080"/>
    <w:rsid w:val="00880312"/>
    <w:rsid w:val="008A4D9E"/>
    <w:rsid w:val="008A6E46"/>
    <w:rsid w:val="008B0BFB"/>
    <w:rsid w:val="008C6358"/>
    <w:rsid w:val="008D0215"/>
    <w:rsid w:val="008E052F"/>
    <w:rsid w:val="008F5D06"/>
    <w:rsid w:val="00945CCF"/>
    <w:rsid w:val="009A73FD"/>
    <w:rsid w:val="009B72DF"/>
    <w:rsid w:val="009D5A80"/>
    <w:rsid w:val="009E1727"/>
    <w:rsid w:val="00A26C10"/>
    <w:rsid w:val="00A30225"/>
    <w:rsid w:val="00A42966"/>
    <w:rsid w:val="00A66F9B"/>
    <w:rsid w:val="00AA0EEB"/>
    <w:rsid w:val="00AD2A35"/>
    <w:rsid w:val="00AF4EBD"/>
    <w:rsid w:val="00B1089C"/>
    <w:rsid w:val="00B22380"/>
    <w:rsid w:val="00B521C2"/>
    <w:rsid w:val="00BA1A01"/>
    <w:rsid w:val="00BB1501"/>
    <w:rsid w:val="00BC7424"/>
    <w:rsid w:val="00BE1C91"/>
    <w:rsid w:val="00C056CA"/>
    <w:rsid w:val="00C314C6"/>
    <w:rsid w:val="00C32761"/>
    <w:rsid w:val="00C356B9"/>
    <w:rsid w:val="00CA2EC8"/>
    <w:rsid w:val="00D30715"/>
    <w:rsid w:val="00D400D4"/>
    <w:rsid w:val="00D86C66"/>
    <w:rsid w:val="00DD08C6"/>
    <w:rsid w:val="00E24755"/>
    <w:rsid w:val="00E44A97"/>
    <w:rsid w:val="00E53B61"/>
    <w:rsid w:val="00E8635A"/>
    <w:rsid w:val="00EF015F"/>
    <w:rsid w:val="00EF3CDA"/>
    <w:rsid w:val="00F07EA1"/>
    <w:rsid w:val="00F33796"/>
    <w:rsid w:val="00F43574"/>
    <w:rsid w:val="00F467D2"/>
    <w:rsid w:val="00F77DC1"/>
    <w:rsid w:val="00FD1BD0"/>
    <w:rsid w:val="00FF2A9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32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06"/>
    <w:pPr>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uiPriority w:val="9"/>
    <w:qFormat/>
    <w:rsid w:val="0085165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5D06"/>
    <w:pPr>
      <w:tabs>
        <w:tab w:val="center" w:pos="4320"/>
        <w:tab w:val="right" w:pos="8640"/>
      </w:tabs>
    </w:pPr>
    <w:rPr>
      <w:rFonts w:ascii="Verdana" w:hAnsi="Verdana"/>
    </w:rPr>
  </w:style>
  <w:style w:type="character" w:customStyle="1" w:styleId="HeaderChar">
    <w:name w:val="Header Char"/>
    <w:basedOn w:val="DefaultParagraphFont"/>
    <w:link w:val="Header"/>
    <w:rsid w:val="008F5D06"/>
    <w:rPr>
      <w:rFonts w:ascii="Verdana" w:eastAsia="Times New Roman" w:hAnsi="Verdana" w:cs="Times New Roman"/>
      <w:sz w:val="20"/>
      <w:szCs w:val="24"/>
      <w:lang w:val="en-US"/>
    </w:rPr>
  </w:style>
  <w:style w:type="paragraph" w:styleId="Footer">
    <w:name w:val="footer"/>
    <w:basedOn w:val="Normal"/>
    <w:link w:val="FooterChar"/>
    <w:uiPriority w:val="99"/>
    <w:rsid w:val="008F5D06"/>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8F5D06"/>
    <w:rPr>
      <w:rFonts w:ascii="Verdana" w:eastAsia="Times New Roman" w:hAnsi="Verdana" w:cs="Times New Roman"/>
      <w:sz w:val="20"/>
      <w:szCs w:val="24"/>
      <w:lang w:val="en-US"/>
    </w:rPr>
  </w:style>
  <w:style w:type="character" w:styleId="PageNumber">
    <w:name w:val="page number"/>
    <w:basedOn w:val="DefaultParagraphFont"/>
    <w:rsid w:val="008F5D06"/>
  </w:style>
  <w:style w:type="table" w:styleId="TableGrid">
    <w:name w:val="Table Grid"/>
    <w:basedOn w:val="TableNormal"/>
    <w:rsid w:val="008F5D06"/>
    <w:pPr>
      <w:spacing w:after="0" w:line="280" w:lineRule="atLeast"/>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F5D06"/>
    <w:rPr>
      <w:color w:val="0000FF"/>
      <w:u w:val="single"/>
    </w:rPr>
  </w:style>
  <w:style w:type="paragraph" w:styleId="BalloonText">
    <w:name w:val="Balloon Text"/>
    <w:basedOn w:val="Normal"/>
    <w:link w:val="BalloonTextChar"/>
    <w:uiPriority w:val="99"/>
    <w:semiHidden/>
    <w:unhideWhenUsed/>
    <w:rsid w:val="00F435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574"/>
    <w:rPr>
      <w:rFonts w:ascii="Segoe UI" w:eastAsia="Times New Roman" w:hAnsi="Segoe UI" w:cs="Segoe UI"/>
      <w:sz w:val="18"/>
      <w:szCs w:val="18"/>
      <w:lang w:val="en-US"/>
    </w:rPr>
  </w:style>
  <w:style w:type="character" w:customStyle="1" w:styleId="apple-converted-space">
    <w:name w:val="apple-converted-space"/>
    <w:basedOn w:val="DefaultParagraphFont"/>
    <w:rsid w:val="001E0B16"/>
  </w:style>
  <w:style w:type="paragraph" w:styleId="Revision">
    <w:name w:val="Revision"/>
    <w:hidden/>
    <w:uiPriority w:val="99"/>
    <w:semiHidden/>
    <w:rsid w:val="0085165B"/>
    <w:pPr>
      <w:spacing w:after="0" w:line="240" w:lineRule="auto"/>
    </w:pPr>
    <w:rPr>
      <w:rFonts w:ascii="Arial" w:eastAsia="Times New Roman" w:hAnsi="Arial" w:cs="Times New Roman"/>
      <w:sz w:val="20"/>
      <w:szCs w:val="24"/>
      <w:lang w:val="en-US"/>
    </w:rPr>
  </w:style>
  <w:style w:type="character" w:customStyle="1" w:styleId="Heading1Char">
    <w:name w:val="Heading 1 Char"/>
    <w:basedOn w:val="DefaultParagraphFont"/>
    <w:link w:val="Heading1"/>
    <w:uiPriority w:val="9"/>
    <w:rsid w:val="0085165B"/>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85165B"/>
    <w:pPr>
      <w:ind w:left="720"/>
      <w:contextualSpacing/>
    </w:pPr>
  </w:style>
  <w:style w:type="character" w:styleId="CommentReference">
    <w:name w:val="annotation reference"/>
    <w:basedOn w:val="DefaultParagraphFont"/>
    <w:uiPriority w:val="99"/>
    <w:semiHidden/>
    <w:unhideWhenUsed/>
    <w:rsid w:val="00196EBA"/>
    <w:rPr>
      <w:sz w:val="16"/>
      <w:szCs w:val="16"/>
    </w:rPr>
  </w:style>
  <w:style w:type="paragraph" w:styleId="CommentText">
    <w:name w:val="annotation text"/>
    <w:basedOn w:val="Normal"/>
    <w:link w:val="CommentTextChar"/>
    <w:uiPriority w:val="99"/>
    <w:semiHidden/>
    <w:unhideWhenUsed/>
    <w:rsid w:val="00196EBA"/>
    <w:pPr>
      <w:spacing w:after="160"/>
    </w:pPr>
    <w:rPr>
      <w:rFonts w:asciiTheme="minorHAnsi" w:eastAsiaTheme="minorHAnsi" w:hAnsiTheme="minorHAnsi" w:cstheme="minorBidi"/>
      <w:szCs w:val="20"/>
      <w:lang w:val="nl-BE"/>
    </w:rPr>
  </w:style>
  <w:style w:type="character" w:customStyle="1" w:styleId="CommentTextChar">
    <w:name w:val="Comment Text Char"/>
    <w:basedOn w:val="DefaultParagraphFont"/>
    <w:link w:val="CommentText"/>
    <w:uiPriority w:val="99"/>
    <w:semiHidden/>
    <w:rsid w:val="00196EBA"/>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06"/>
    <w:pPr>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uiPriority w:val="9"/>
    <w:qFormat/>
    <w:rsid w:val="0085165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5D06"/>
    <w:pPr>
      <w:tabs>
        <w:tab w:val="center" w:pos="4320"/>
        <w:tab w:val="right" w:pos="8640"/>
      </w:tabs>
    </w:pPr>
    <w:rPr>
      <w:rFonts w:ascii="Verdana" w:hAnsi="Verdana"/>
    </w:rPr>
  </w:style>
  <w:style w:type="character" w:customStyle="1" w:styleId="HeaderChar">
    <w:name w:val="Header Char"/>
    <w:basedOn w:val="DefaultParagraphFont"/>
    <w:link w:val="Header"/>
    <w:rsid w:val="008F5D06"/>
    <w:rPr>
      <w:rFonts w:ascii="Verdana" w:eastAsia="Times New Roman" w:hAnsi="Verdana" w:cs="Times New Roman"/>
      <w:sz w:val="20"/>
      <w:szCs w:val="24"/>
      <w:lang w:val="en-US"/>
    </w:rPr>
  </w:style>
  <w:style w:type="paragraph" w:styleId="Footer">
    <w:name w:val="footer"/>
    <w:basedOn w:val="Normal"/>
    <w:link w:val="FooterChar"/>
    <w:uiPriority w:val="99"/>
    <w:rsid w:val="008F5D06"/>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8F5D06"/>
    <w:rPr>
      <w:rFonts w:ascii="Verdana" w:eastAsia="Times New Roman" w:hAnsi="Verdana" w:cs="Times New Roman"/>
      <w:sz w:val="20"/>
      <w:szCs w:val="24"/>
      <w:lang w:val="en-US"/>
    </w:rPr>
  </w:style>
  <w:style w:type="character" w:styleId="PageNumber">
    <w:name w:val="page number"/>
    <w:basedOn w:val="DefaultParagraphFont"/>
    <w:rsid w:val="008F5D06"/>
  </w:style>
  <w:style w:type="table" w:styleId="TableGrid">
    <w:name w:val="Table Grid"/>
    <w:basedOn w:val="TableNormal"/>
    <w:rsid w:val="008F5D06"/>
    <w:pPr>
      <w:spacing w:after="0" w:line="280" w:lineRule="atLeast"/>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F5D06"/>
    <w:rPr>
      <w:color w:val="0000FF"/>
      <w:u w:val="single"/>
    </w:rPr>
  </w:style>
  <w:style w:type="paragraph" w:styleId="BalloonText">
    <w:name w:val="Balloon Text"/>
    <w:basedOn w:val="Normal"/>
    <w:link w:val="BalloonTextChar"/>
    <w:uiPriority w:val="99"/>
    <w:semiHidden/>
    <w:unhideWhenUsed/>
    <w:rsid w:val="00F435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574"/>
    <w:rPr>
      <w:rFonts w:ascii="Segoe UI" w:eastAsia="Times New Roman" w:hAnsi="Segoe UI" w:cs="Segoe UI"/>
      <w:sz w:val="18"/>
      <w:szCs w:val="18"/>
      <w:lang w:val="en-US"/>
    </w:rPr>
  </w:style>
  <w:style w:type="character" w:customStyle="1" w:styleId="apple-converted-space">
    <w:name w:val="apple-converted-space"/>
    <w:basedOn w:val="DefaultParagraphFont"/>
    <w:rsid w:val="001E0B16"/>
  </w:style>
  <w:style w:type="paragraph" w:styleId="Revision">
    <w:name w:val="Revision"/>
    <w:hidden/>
    <w:uiPriority w:val="99"/>
    <w:semiHidden/>
    <w:rsid w:val="0085165B"/>
    <w:pPr>
      <w:spacing w:after="0" w:line="240" w:lineRule="auto"/>
    </w:pPr>
    <w:rPr>
      <w:rFonts w:ascii="Arial" w:eastAsia="Times New Roman" w:hAnsi="Arial" w:cs="Times New Roman"/>
      <w:sz w:val="20"/>
      <w:szCs w:val="24"/>
      <w:lang w:val="en-US"/>
    </w:rPr>
  </w:style>
  <w:style w:type="character" w:customStyle="1" w:styleId="Heading1Char">
    <w:name w:val="Heading 1 Char"/>
    <w:basedOn w:val="DefaultParagraphFont"/>
    <w:link w:val="Heading1"/>
    <w:uiPriority w:val="9"/>
    <w:rsid w:val="0085165B"/>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85165B"/>
    <w:pPr>
      <w:ind w:left="720"/>
      <w:contextualSpacing/>
    </w:pPr>
  </w:style>
  <w:style w:type="character" w:styleId="CommentReference">
    <w:name w:val="annotation reference"/>
    <w:basedOn w:val="DefaultParagraphFont"/>
    <w:uiPriority w:val="99"/>
    <w:semiHidden/>
    <w:unhideWhenUsed/>
    <w:rsid w:val="00196EBA"/>
    <w:rPr>
      <w:sz w:val="16"/>
      <w:szCs w:val="16"/>
    </w:rPr>
  </w:style>
  <w:style w:type="paragraph" w:styleId="CommentText">
    <w:name w:val="annotation text"/>
    <w:basedOn w:val="Normal"/>
    <w:link w:val="CommentTextChar"/>
    <w:uiPriority w:val="99"/>
    <w:semiHidden/>
    <w:unhideWhenUsed/>
    <w:rsid w:val="00196EBA"/>
    <w:pPr>
      <w:spacing w:after="160"/>
    </w:pPr>
    <w:rPr>
      <w:rFonts w:asciiTheme="minorHAnsi" w:eastAsiaTheme="minorHAnsi" w:hAnsiTheme="minorHAnsi" w:cstheme="minorBidi"/>
      <w:szCs w:val="20"/>
      <w:lang w:val="nl-BE"/>
    </w:rPr>
  </w:style>
  <w:style w:type="character" w:customStyle="1" w:styleId="CommentTextChar">
    <w:name w:val="Comment Text Char"/>
    <w:basedOn w:val="DefaultParagraphFont"/>
    <w:link w:val="CommentText"/>
    <w:uiPriority w:val="99"/>
    <w:semiHidden/>
    <w:rsid w:val="00196EB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644428">
      <w:bodyDiv w:val="1"/>
      <w:marLeft w:val="0"/>
      <w:marRight w:val="0"/>
      <w:marTop w:val="0"/>
      <w:marBottom w:val="0"/>
      <w:divBdr>
        <w:top w:val="none" w:sz="0" w:space="0" w:color="auto"/>
        <w:left w:val="none" w:sz="0" w:space="0" w:color="auto"/>
        <w:bottom w:val="none" w:sz="0" w:space="0" w:color="auto"/>
        <w:right w:val="none" w:sz="0" w:space="0" w:color="auto"/>
      </w:divBdr>
    </w:div>
    <w:div w:id="169930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artena-professional.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4759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PBC</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Beraudo, Frederique</dc:creator>
  <cp:keywords/>
  <dc:description/>
  <cp:lastModifiedBy>Sophie Boving</cp:lastModifiedBy>
  <cp:revision>2</cp:revision>
  <cp:lastPrinted>2016-06-21T13:08:00Z</cp:lastPrinted>
  <dcterms:created xsi:type="dcterms:W3CDTF">2016-10-26T15:53:00Z</dcterms:created>
  <dcterms:modified xsi:type="dcterms:W3CDTF">2016-10-26T15:53:00Z</dcterms:modified>
</cp:coreProperties>
</file>