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03890" w14:textId="23DE7850" w:rsidR="00AB6634" w:rsidRDefault="00305CC3" w:rsidP="00451C28">
      <w:pPr>
        <w:rPr>
          <w:rFonts w:asciiTheme="minorHAnsi" w:hAnsiTheme="minorHAnsi" w:cstheme="minorHAnsi"/>
          <w:b/>
          <w:bCs/>
          <w:color w:val="000000" w:themeColor="text1"/>
          <w:sz w:val="32"/>
          <w:szCs w:val="32"/>
        </w:rPr>
      </w:pPr>
      <w:r w:rsidRPr="00305CC3">
        <w:rPr>
          <w:rFonts w:asciiTheme="minorHAnsi" w:hAnsiTheme="minorHAnsi" w:cstheme="minorHAnsi"/>
          <w:b/>
          <w:bCs/>
          <w:color w:val="000000" w:themeColor="text1"/>
          <w:sz w:val="32"/>
          <w:szCs w:val="32"/>
        </w:rPr>
        <w:t>Tiefer Bass mit höchster Präzision: Neumann enthüllt den DSP-gesteuerten Studiomonitor KH 150</w:t>
      </w:r>
    </w:p>
    <w:p w14:paraId="28BA52CE" w14:textId="77777777" w:rsidR="00977989" w:rsidRPr="00BA6E2E" w:rsidRDefault="00977989" w:rsidP="00451C28">
      <w:pPr>
        <w:rPr>
          <w:rFonts w:asciiTheme="minorHAnsi" w:hAnsiTheme="minorHAnsi" w:cstheme="minorHAnsi"/>
          <w:b/>
          <w:caps/>
          <w:color w:val="000000" w:themeColor="text1"/>
          <w:lang w:eastAsia="x-none"/>
        </w:rPr>
      </w:pPr>
    </w:p>
    <w:p w14:paraId="7047585A" w14:textId="74EE02A7" w:rsidR="00E560CE" w:rsidRPr="00FA0FA1" w:rsidRDefault="00977989" w:rsidP="00451C28">
      <w:pPr>
        <w:rPr>
          <w:rFonts w:asciiTheme="minorHAnsi" w:hAnsiTheme="minorHAnsi" w:cstheme="minorHAnsi"/>
          <w:b/>
          <w:i/>
          <w:sz w:val="21"/>
          <w:szCs w:val="21"/>
        </w:rPr>
      </w:pPr>
      <w:r>
        <w:rPr>
          <w:rFonts w:asciiTheme="minorHAnsi" w:hAnsiTheme="minorHAnsi" w:cstheme="minorHAnsi"/>
          <w:b/>
          <w:caps/>
          <w:noProof/>
          <w:color w:val="000000" w:themeColor="text1"/>
          <w:lang w:val="en-US" w:eastAsia="x-none"/>
        </w:rPr>
        <w:drawing>
          <wp:inline distT="0" distB="0" distL="0" distR="0" wp14:anchorId="69E8C4FD" wp14:editId="3A192104">
            <wp:extent cx="5130800" cy="325410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130800" cy="3254104"/>
                    </a:xfrm>
                    <a:prstGeom prst="rect">
                      <a:avLst/>
                    </a:prstGeom>
                    <a:ln>
                      <a:noFill/>
                    </a:ln>
                    <a:extLst>
                      <a:ext uri="{53640926-AAD7-44D8-BBD7-CCE9431645EC}">
                        <a14:shadowObscured xmlns:a14="http://schemas.microsoft.com/office/drawing/2010/main"/>
                      </a:ext>
                    </a:extLst>
                  </pic:spPr>
                </pic:pic>
              </a:graphicData>
            </a:graphic>
          </wp:inline>
        </w:drawing>
      </w:r>
    </w:p>
    <w:p w14:paraId="6737FAA7" w14:textId="77777777" w:rsidR="003057A0" w:rsidRDefault="003057A0" w:rsidP="00AB6634">
      <w:pPr>
        <w:rPr>
          <w:rFonts w:asciiTheme="minorHAnsi" w:hAnsiTheme="minorHAnsi" w:cstheme="minorHAnsi"/>
          <w:b/>
          <w:bCs/>
          <w:color w:val="000000" w:themeColor="text1"/>
        </w:rPr>
      </w:pPr>
    </w:p>
    <w:p w14:paraId="00F6FCD8" w14:textId="20C699A0" w:rsidR="00D43A74" w:rsidRDefault="00305CC3" w:rsidP="00AB6634">
      <w:pPr>
        <w:rPr>
          <w:rFonts w:asciiTheme="minorHAnsi" w:hAnsiTheme="minorHAnsi" w:cstheme="minorHAnsi"/>
          <w:b/>
          <w:bCs/>
          <w:color w:val="000000" w:themeColor="text1"/>
        </w:rPr>
      </w:pPr>
      <w:r w:rsidRPr="00305CC3">
        <w:rPr>
          <w:rFonts w:asciiTheme="minorHAnsi" w:hAnsiTheme="minorHAnsi" w:cstheme="minorHAnsi"/>
          <w:b/>
          <w:bCs/>
          <w:color w:val="000000" w:themeColor="text1"/>
        </w:rPr>
        <w:t xml:space="preserve">Berlin, </w:t>
      </w:r>
      <w:r>
        <w:rPr>
          <w:rFonts w:asciiTheme="minorHAnsi" w:hAnsiTheme="minorHAnsi" w:cstheme="minorHAnsi"/>
          <w:b/>
          <w:bCs/>
          <w:color w:val="000000" w:themeColor="text1"/>
        </w:rPr>
        <w:t>22</w:t>
      </w:r>
      <w:r w:rsidRPr="00305CC3">
        <w:rPr>
          <w:rFonts w:asciiTheme="minorHAnsi" w:hAnsiTheme="minorHAnsi" w:cstheme="minorHAnsi"/>
          <w:b/>
          <w:bCs/>
          <w:color w:val="000000" w:themeColor="text1"/>
        </w:rPr>
        <w:t xml:space="preserve">. August 2022 – Der deutsche Studiospezialist </w:t>
      </w:r>
      <w:proofErr w:type="spellStart"/>
      <w:r w:rsidRPr="00305CC3">
        <w:rPr>
          <w:rFonts w:asciiTheme="minorHAnsi" w:hAnsiTheme="minorHAnsi" w:cstheme="minorHAnsi"/>
          <w:b/>
          <w:bCs/>
          <w:color w:val="000000" w:themeColor="text1"/>
        </w:rPr>
        <w:t>Neumann.Berlin</w:t>
      </w:r>
      <w:proofErr w:type="spellEnd"/>
      <w:r w:rsidRPr="00305CC3">
        <w:rPr>
          <w:rFonts w:asciiTheme="minorHAnsi" w:hAnsiTheme="minorHAnsi" w:cstheme="minorHAnsi"/>
          <w:b/>
          <w:bCs/>
          <w:color w:val="000000" w:themeColor="text1"/>
        </w:rPr>
        <w:t xml:space="preserve"> erweitert sein Portfolio an Studiomonitoren der Referenzklasse mit dem KH 150. Der DSP-gesteuerte 2-Wege-Aktivlautsprecher verfügt über den gleichen hochauflösenden </w:t>
      </w:r>
      <w:proofErr w:type="spellStart"/>
      <w:r w:rsidRPr="00305CC3">
        <w:rPr>
          <w:rFonts w:asciiTheme="minorHAnsi" w:hAnsiTheme="minorHAnsi" w:cstheme="minorHAnsi"/>
          <w:b/>
          <w:bCs/>
          <w:color w:val="000000" w:themeColor="text1"/>
        </w:rPr>
        <w:t>Tweeter</w:t>
      </w:r>
      <w:proofErr w:type="spellEnd"/>
      <w:r w:rsidRPr="00305CC3">
        <w:rPr>
          <w:rFonts w:asciiTheme="minorHAnsi" w:hAnsiTheme="minorHAnsi" w:cstheme="minorHAnsi"/>
          <w:b/>
          <w:bCs/>
          <w:color w:val="000000" w:themeColor="text1"/>
        </w:rPr>
        <w:t xml:space="preserve"> wie alle Neumann-Studiomonitore und einen neu entwickelten 6,5-Zoll-Tieftöner mit </w:t>
      </w:r>
      <w:proofErr w:type="gramStart"/>
      <w:r w:rsidRPr="00305CC3">
        <w:rPr>
          <w:rFonts w:asciiTheme="minorHAnsi" w:hAnsiTheme="minorHAnsi" w:cstheme="minorHAnsi"/>
          <w:b/>
          <w:bCs/>
          <w:color w:val="000000" w:themeColor="text1"/>
        </w:rPr>
        <w:t>extrem geringer</w:t>
      </w:r>
      <w:proofErr w:type="gramEnd"/>
      <w:r w:rsidRPr="00305CC3">
        <w:rPr>
          <w:rFonts w:asciiTheme="minorHAnsi" w:hAnsiTheme="minorHAnsi" w:cstheme="minorHAnsi"/>
          <w:b/>
          <w:bCs/>
          <w:color w:val="000000" w:themeColor="text1"/>
        </w:rPr>
        <w:t xml:space="preserve"> Verzerrung und hoher Schalldruckleistung. Trotz seines recht kompakten Formats überrascht der KH 150 mit hervorragender Klarheit, selbst bei hohen Lautstärken, und einer erweiterten Tieftonwiedergabe. Der KH 150 verfügt über einen außergewöhnlich linearen Frequenzgang von 39 Hz bis 21 kHz (±3</w:t>
      </w:r>
      <w:r w:rsidR="00127E5C">
        <w:rPr>
          <w:rFonts w:asciiTheme="minorHAnsi" w:hAnsiTheme="minorHAnsi" w:cstheme="minorHAnsi"/>
          <w:b/>
          <w:bCs/>
          <w:color w:val="000000" w:themeColor="text1"/>
        </w:rPr>
        <w:t> </w:t>
      </w:r>
      <w:r w:rsidRPr="00305CC3">
        <w:rPr>
          <w:rFonts w:asciiTheme="minorHAnsi" w:hAnsiTheme="minorHAnsi" w:cstheme="minorHAnsi"/>
          <w:b/>
          <w:bCs/>
          <w:color w:val="000000" w:themeColor="text1"/>
        </w:rPr>
        <w:t xml:space="preserve">dB) und wird für alle Anwendungen von Broadcast bis Musikproduktion empfohlen. Einschließlich Stilrichtungen, die auf einen kraftvollen, tiefen Bass und/oder hohe Lautstärken angewiesen sind, wie Urban Music, EDM und Filmmusik. </w:t>
      </w:r>
    </w:p>
    <w:p w14:paraId="471C608C" w14:textId="77777777" w:rsidR="00305CC3" w:rsidRDefault="00305CC3" w:rsidP="00AB6634">
      <w:pPr>
        <w:rPr>
          <w:rFonts w:asciiTheme="minorHAnsi" w:hAnsiTheme="minorHAnsi" w:cstheme="minorHAnsi"/>
          <w:b/>
          <w:bCs/>
          <w:color w:val="000000" w:themeColor="text1"/>
        </w:rPr>
      </w:pPr>
    </w:p>
    <w:p w14:paraId="533E3C5F" w14:textId="6E1B7C2E" w:rsidR="00E24C18" w:rsidRPr="00E24C18" w:rsidRDefault="00E24C18" w:rsidP="00E24C18">
      <w:pPr>
        <w:rPr>
          <w:rFonts w:asciiTheme="minorHAnsi" w:hAnsiTheme="minorHAnsi" w:cstheme="minorHAnsi"/>
          <w:color w:val="000000" w:themeColor="text1"/>
        </w:rPr>
      </w:pPr>
      <w:r w:rsidRPr="00E24C18">
        <w:rPr>
          <w:rFonts w:asciiTheme="minorHAnsi" w:hAnsiTheme="minorHAnsi" w:cstheme="minorHAnsi"/>
          <w:color w:val="000000" w:themeColor="text1"/>
        </w:rPr>
        <w:t xml:space="preserve">„Der KH 150 schließt die Lücke zwischen dem KH 120 und dem KH 310, aber er ist weit mehr als das“, erklärt Portfolio Manager Stephan Mauer. „Seine integrierte DSP-Engine bietet viele Vorteile wie eine </w:t>
      </w:r>
      <w:proofErr w:type="spellStart"/>
      <w:r w:rsidRPr="00E24C18">
        <w:rPr>
          <w:rFonts w:asciiTheme="minorHAnsi" w:hAnsiTheme="minorHAnsi" w:cstheme="minorHAnsi"/>
          <w:color w:val="000000" w:themeColor="text1"/>
        </w:rPr>
        <w:t>phasenlinearisierte</w:t>
      </w:r>
      <w:proofErr w:type="spellEnd"/>
      <w:r w:rsidRPr="00E24C18">
        <w:rPr>
          <w:rFonts w:asciiTheme="minorHAnsi" w:hAnsiTheme="minorHAnsi" w:cstheme="minorHAnsi"/>
          <w:color w:val="000000" w:themeColor="text1"/>
        </w:rPr>
        <w:t xml:space="preserve"> Frequenzweiche und neue Maßstäbe in der tonalen Konsistenz. Der KH 150 wird mit </w:t>
      </w:r>
      <w:proofErr w:type="gramStart"/>
      <w:r w:rsidRPr="00E24C18">
        <w:rPr>
          <w:rFonts w:asciiTheme="minorHAnsi" w:hAnsiTheme="minorHAnsi" w:cstheme="minorHAnsi"/>
          <w:color w:val="000000" w:themeColor="text1"/>
        </w:rPr>
        <w:t>extrem geringen</w:t>
      </w:r>
      <w:proofErr w:type="gramEnd"/>
      <w:r w:rsidRPr="00E24C18">
        <w:rPr>
          <w:rFonts w:asciiTheme="minorHAnsi" w:hAnsiTheme="minorHAnsi" w:cstheme="minorHAnsi"/>
          <w:color w:val="000000" w:themeColor="text1"/>
        </w:rPr>
        <w:t xml:space="preserve"> Toleranzen von maximal ±</w:t>
      </w:r>
      <w:r w:rsidR="00127E5C">
        <w:rPr>
          <w:rFonts w:asciiTheme="minorHAnsi" w:hAnsiTheme="minorHAnsi" w:cstheme="minorHAnsi"/>
          <w:color w:val="000000" w:themeColor="text1"/>
        </w:rPr>
        <w:t> </w:t>
      </w:r>
      <w:r w:rsidRPr="00E24C18">
        <w:rPr>
          <w:rFonts w:asciiTheme="minorHAnsi" w:hAnsiTheme="minorHAnsi" w:cstheme="minorHAnsi"/>
          <w:color w:val="000000" w:themeColor="text1"/>
        </w:rPr>
        <w:t>0,8 dB gefertigt! Und das hört man: Die Stereoabbildung ist messerscharf.“</w:t>
      </w:r>
    </w:p>
    <w:p w14:paraId="159EF90F" w14:textId="77777777" w:rsidR="00E24C18" w:rsidRPr="00E24C18" w:rsidRDefault="00E24C18" w:rsidP="00E24C18">
      <w:pPr>
        <w:rPr>
          <w:rFonts w:asciiTheme="minorHAnsi" w:hAnsiTheme="minorHAnsi" w:cstheme="minorHAnsi"/>
          <w:color w:val="000000" w:themeColor="text1"/>
        </w:rPr>
      </w:pPr>
    </w:p>
    <w:p w14:paraId="0EC5612F" w14:textId="77777777" w:rsidR="00E24C18" w:rsidRPr="00E24C18" w:rsidRDefault="00E24C18" w:rsidP="00E24C18">
      <w:pPr>
        <w:rPr>
          <w:rFonts w:asciiTheme="minorHAnsi" w:hAnsiTheme="minorHAnsi" w:cstheme="minorHAnsi"/>
          <w:color w:val="000000" w:themeColor="text1"/>
        </w:rPr>
      </w:pPr>
      <w:r w:rsidRPr="00E24C18">
        <w:rPr>
          <w:rFonts w:asciiTheme="minorHAnsi" w:hAnsiTheme="minorHAnsi" w:cstheme="minorHAnsi"/>
          <w:color w:val="000000" w:themeColor="text1"/>
        </w:rPr>
        <w:lastRenderedPageBreak/>
        <w:t xml:space="preserve">Die digitale Elektronik ermöglicht zudem die Kalibrierung des KH 150 mittels Neumanns MA 1 </w:t>
      </w:r>
      <w:proofErr w:type="spellStart"/>
      <w:r w:rsidRPr="00E24C18">
        <w:rPr>
          <w:rFonts w:asciiTheme="minorHAnsi" w:hAnsiTheme="minorHAnsi" w:cstheme="minorHAnsi"/>
          <w:color w:val="000000" w:themeColor="text1"/>
        </w:rPr>
        <w:t>Automatic</w:t>
      </w:r>
      <w:proofErr w:type="spellEnd"/>
      <w:r w:rsidRPr="00E24C18">
        <w:rPr>
          <w:rFonts w:asciiTheme="minorHAnsi" w:hAnsiTheme="minorHAnsi" w:cstheme="minorHAnsi"/>
          <w:color w:val="000000" w:themeColor="text1"/>
        </w:rPr>
        <w:t xml:space="preserve"> Monitor Alignment (separat erhältlich). „Der KH 150 folgt der gleichen Philosophie wie alle Neumann-Studiomonitore: höchste Linearität, geringste Verzerrungen, keine Verfärbungen und perfekte Anpassungsfähigkeit an jede akustische Umgebung“, so Neumanns CEO Ralf </w:t>
      </w:r>
      <w:proofErr w:type="spellStart"/>
      <w:r w:rsidRPr="00E24C18">
        <w:rPr>
          <w:rFonts w:asciiTheme="minorHAnsi" w:hAnsiTheme="minorHAnsi" w:cstheme="minorHAnsi"/>
          <w:color w:val="000000" w:themeColor="text1"/>
        </w:rPr>
        <w:t>Oehl</w:t>
      </w:r>
      <w:proofErr w:type="spellEnd"/>
      <w:r w:rsidRPr="00E24C18">
        <w:rPr>
          <w:rFonts w:asciiTheme="minorHAnsi" w:hAnsiTheme="minorHAnsi" w:cstheme="minorHAnsi"/>
          <w:color w:val="000000" w:themeColor="text1"/>
        </w:rPr>
        <w:t xml:space="preserve">. „In unserem Streben nach klanglicher Perfektion optimieren wir nicht nur jeden Parameter des Lautsprechers selbst, sondern beziehen auch die größte Variable mit ein: die Hörumgebung. Die DSP-Engine des KH 150 arbeitet perfekt mit Neumanns wegweisendem MA 1 </w:t>
      </w:r>
      <w:proofErr w:type="spellStart"/>
      <w:r w:rsidRPr="00E24C18">
        <w:rPr>
          <w:rFonts w:asciiTheme="minorHAnsi" w:hAnsiTheme="minorHAnsi" w:cstheme="minorHAnsi"/>
          <w:color w:val="000000" w:themeColor="text1"/>
        </w:rPr>
        <w:t>Automatic</w:t>
      </w:r>
      <w:proofErr w:type="spellEnd"/>
      <w:r w:rsidRPr="00E24C18">
        <w:rPr>
          <w:rFonts w:asciiTheme="minorHAnsi" w:hAnsiTheme="minorHAnsi" w:cstheme="minorHAnsi"/>
          <w:color w:val="000000" w:themeColor="text1"/>
        </w:rPr>
        <w:t xml:space="preserve"> Monitor Alignment zusammen, um in jedem Raum den bestmöglichen Klang zu gewährleisten.“</w:t>
      </w:r>
    </w:p>
    <w:p w14:paraId="452E0C69" w14:textId="77777777" w:rsidR="00E24C18" w:rsidRPr="00E24C18" w:rsidRDefault="00E24C18" w:rsidP="00E24C18">
      <w:pPr>
        <w:rPr>
          <w:rFonts w:asciiTheme="minorHAnsi" w:hAnsiTheme="minorHAnsi" w:cstheme="minorHAnsi"/>
          <w:color w:val="000000" w:themeColor="text1"/>
        </w:rPr>
      </w:pPr>
    </w:p>
    <w:p w14:paraId="129EE4CD" w14:textId="77777777" w:rsidR="00E24C18" w:rsidRPr="00E24C18" w:rsidRDefault="00E24C18" w:rsidP="00E24C18">
      <w:pPr>
        <w:rPr>
          <w:rFonts w:asciiTheme="minorHAnsi" w:hAnsiTheme="minorHAnsi" w:cstheme="minorHAnsi"/>
          <w:color w:val="000000" w:themeColor="text1"/>
        </w:rPr>
      </w:pPr>
      <w:r w:rsidRPr="00E24C18">
        <w:rPr>
          <w:rFonts w:asciiTheme="minorHAnsi" w:hAnsiTheme="minorHAnsi" w:cstheme="minorHAnsi"/>
          <w:color w:val="000000" w:themeColor="text1"/>
        </w:rPr>
        <w:t xml:space="preserve">Darüber hinaus ist der KH 150 </w:t>
      </w:r>
      <w:proofErr w:type="gramStart"/>
      <w:r w:rsidRPr="00E24C18">
        <w:rPr>
          <w:rFonts w:asciiTheme="minorHAnsi" w:hAnsiTheme="minorHAnsi" w:cstheme="minorHAnsi"/>
          <w:color w:val="000000" w:themeColor="text1"/>
        </w:rPr>
        <w:t>extrem energieeffizient</w:t>
      </w:r>
      <w:proofErr w:type="gramEnd"/>
      <w:r w:rsidRPr="00E24C18">
        <w:rPr>
          <w:rFonts w:asciiTheme="minorHAnsi" w:hAnsiTheme="minorHAnsi" w:cstheme="minorHAnsi"/>
          <w:color w:val="000000" w:themeColor="text1"/>
        </w:rPr>
        <w:t>. Neumanns Ingenieure haben mit großer Sorgfalt eine zum Patent angemeldete Verstärkertechnologie entwickelt, die überragende Audio-Performance mit der Energieeffizienz von Class D kombiniert. Obwohl die Verstärker des KH 150 bis zu 145 W an den 6,5-Zoll-Tieftöner und 100 W an den 1“-Hochtöner liefern, verbrauchen sie im Leerlauf nur 17 W. Die Auto-Standby-Funktion reduziert den Stromverbrauch auf 0,3 W, wenn der KH 150 eine Zeit lang nicht benutzt wurde, kann aber deaktiviert werden.</w:t>
      </w:r>
    </w:p>
    <w:p w14:paraId="74BC38FA" w14:textId="77777777" w:rsidR="00E24C18" w:rsidRPr="00E24C18" w:rsidRDefault="00E24C18" w:rsidP="00E24C18">
      <w:pPr>
        <w:rPr>
          <w:rFonts w:asciiTheme="minorHAnsi" w:hAnsiTheme="minorHAnsi" w:cstheme="minorHAnsi"/>
          <w:color w:val="000000" w:themeColor="text1"/>
        </w:rPr>
      </w:pPr>
    </w:p>
    <w:p w14:paraId="73E2CAF9" w14:textId="24D2B03E" w:rsidR="00E24C18" w:rsidRPr="00E24C18" w:rsidRDefault="00E24C18" w:rsidP="00E24C18">
      <w:pPr>
        <w:rPr>
          <w:rFonts w:asciiTheme="minorHAnsi" w:hAnsiTheme="minorHAnsi" w:cstheme="minorHAnsi"/>
          <w:color w:val="000000" w:themeColor="text1"/>
        </w:rPr>
      </w:pPr>
      <w:r w:rsidRPr="00E24C18">
        <w:rPr>
          <w:rFonts w:asciiTheme="minorHAnsi" w:hAnsiTheme="minorHAnsi" w:cstheme="minorHAnsi"/>
          <w:color w:val="000000" w:themeColor="text1"/>
        </w:rPr>
        <w:t>Der KH 150 bietet analoge und digitale Audioeingänge (S/PDIF). Er wird auch in einer AES67-Variante mit redundanten AES67 Audio-Netzwerk-Anschlüssen erhältlich sein und ist damit vollständig konform zu Broadcast-Standards wie ST 2110, Redundanz nach ST</w:t>
      </w:r>
      <w:r w:rsidR="00127E5C">
        <w:rPr>
          <w:rFonts w:asciiTheme="minorHAnsi" w:hAnsiTheme="minorHAnsi" w:cstheme="minorHAnsi"/>
          <w:color w:val="000000" w:themeColor="text1"/>
        </w:rPr>
        <w:t> </w:t>
      </w:r>
      <w:r w:rsidRPr="00E24C18">
        <w:rPr>
          <w:rFonts w:asciiTheme="minorHAnsi" w:hAnsiTheme="minorHAnsi" w:cstheme="minorHAnsi"/>
          <w:color w:val="000000" w:themeColor="text1"/>
        </w:rPr>
        <w:t xml:space="preserve">2022-7 und RAVENNA. Gleichzeitig ist der KH 750 AES67 kompatibel zu DANTE®-generierten AES67-Streams. </w:t>
      </w:r>
    </w:p>
    <w:p w14:paraId="5E91B1E9" w14:textId="77777777" w:rsidR="00E24C18" w:rsidRPr="00E24C18" w:rsidRDefault="00E24C18" w:rsidP="00E24C18">
      <w:pPr>
        <w:rPr>
          <w:rFonts w:asciiTheme="minorHAnsi" w:hAnsiTheme="minorHAnsi" w:cstheme="minorHAnsi"/>
          <w:color w:val="000000" w:themeColor="text1"/>
        </w:rPr>
      </w:pPr>
    </w:p>
    <w:p w14:paraId="42DA6650" w14:textId="7560B0A5" w:rsidR="00A17779" w:rsidRDefault="00E24C18" w:rsidP="00E24C18">
      <w:pPr>
        <w:rPr>
          <w:rFonts w:asciiTheme="minorHAnsi" w:hAnsiTheme="minorHAnsi" w:cstheme="minorHAnsi"/>
          <w:color w:val="000000" w:themeColor="text1"/>
        </w:rPr>
      </w:pPr>
      <w:r w:rsidRPr="00E24C18">
        <w:rPr>
          <w:rFonts w:asciiTheme="minorHAnsi" w:hAnsiTheme="minorHAnsi" w:cstheme="minorHAnsi"/>
          <w:color w:val="000000" w:themeColor="text1"/>
        </w:rPr>
        <w:t xml:space="preserve">Der KH 150 und der KH 150 AES67 sind erhältlich ab </w:t>
      </w:r>
      <w:r w:rsidR="00940BBB">
        <w:rPr>
          <w:rFonts w:asciiTheme="minorHAnsi" w:hAnsiTheme="minorHAnsi" w:cstheme="minorHAnsi"/>
          <w:color w:val="000000" w:themeColor="text1"/>
        </w:rPr>
        <w:t>September</w:t>
      </w:r>
      <w:r w:rsidRPr="00E24C18">
        <w:rPr>
          <w:rFonts w:asciiTheme="minorHAnsi" w:hAnsiTheme="minorHAnsi" w:cstheme="minorHAnsi"/>
          <w:color w:val="000000" w:themeColor="text1"/>
        </w:rPr>
        <w:t xml:space="preserve"> 2022.</w:t>
      </w:r>
      <w:r w:rsidR="00F94FC0">
        <w:rPr>
          <w:rFonts w:asciiTheme="minorHAnsi" w:hAnsiTheme="minorHAnsi" w:cstheme="minorHAnsi"/>
          <w:color w:val="000000" w:themeColor="text1"/>
        </w:rPr>
        <w:t xml:space="preserve"> </w:t>
      </w:r>
      <w:r w:rsidRPr="00E24C18">
        <w:rPr>
          <w:rFonts w:asciiTheme="minorHAnsi" w:hAnsiTheme="minorHAnsi" w:cstheme="minorHAnsi"/>
          <w:color w:val="000000" w:themeColor="text1"/>
        </w:rPr>
        <w:t>Unverbindliche Preisempfehlung</w:t>
      </w:r>
      <w:r w:rsidR="00F94FC0">
        <w:rPr>
          <w:rFonts w:asciiTheme="minorHAnsi" w:hAnsiTheme="minorHAnsi" w:cstheme="minorHAnsi"/>
          <w:color w:val="000000" w:themeColor="text1"/>
        </w:rPr>
        <w:t xml:space="preserve"> </w:t>
      </w:r>
      <w:r w:rsidR="00940BBB" w:rsidRPr="00940BBB">
        <w:rPr>
          <w:rFonts w:asciiTheme="minorHAnsi" w:hAnsiTheme="minorHAnsi" w:cstheme="minorHAnsi"/>
          <w:color w:val="000000" w:themeColor="text1"/>
        </w:rPr>
        <w:t>KH 150</w:t>
      </w:r>
      <w:r w:rsidR="00940BBB">
        <w:rPr>
          <w:rFonts w:asciiTheme="minorHAnsi" w:hAnsiTheme="minorHAnsi" w:cstheme="minorHAnsi"/>
          <w:color w:val="000000" w:themeColor="text1"/>
        </w:rPr>
        <w:t>:</w:t>
      </w:r>
      <w:r w:rsidR="00940BBB" w:rsidRPr="00940BBB">
        <w:rPr>
          <w:rFonts w:asciiTheme="minorHAnsi" w:hAnsiTheme="minorHAnsi" w:cstheme="minorHAnsi"/>
          <w:color w:val="000000" w:themeColor="text1"/>
        </w:rPr>
        <w:t xml:space="preserve"> € 1</w:t>
      </w:r>
      <w:r w:rsidR="00940BBB">
        <w:rPr>
          <w:rFonts w:asciiTheme="minorHAnsi" w:hAnsiTheme="minorHAnsi" w:cstheme="minorHAnsi"/>
          <w:color w:val="000000" w:themeColor="text1"/>
        </w:rPr>
        <w:t>.</w:t>
      </w:r>
      <w:r w:rsidR="00940BBB" w:rsidRPr="00940BBB">
        <w:rPr>
          <w:rFonts w:asciiTheme="minorHAnsi" w:hAnsiTheme="minorHAnsi" w:cstheme="minorHAnsi"/>
          <w:color w:val="000000" w:themeColor="text1"/>
        </w:rPr>
        <w:t>650 / $ 1</w:t>
      </w:r>
      <w:r w:rsidR="00940BBB">
        <w:rPr>
          <w:rFonts w:asciiTheme="minorHAnsi" w:hAnsiTheme="minorHAnsi" w:cstheme="minorHAnsi"/>
          <w:color w:val="000000" w:themeColor="text1"/>
        </w:rPr>
        <w:t>.</w:t>
      </w:r>
      <w:r w:rsidR="00940BBB" w:rsidRPr="00940BBB">
        <w:rPr>
          <w:rFonts w:asciiTheme="minorHAnsi" w:hAnsiTheme="minorHAnsi" w:cstheme="minorHAnsi"/>
          <w:color w:val="000000" w:themeColor="text1"/>
        </w:rPr>
        <w:t xml:space="preserve">750; </w:t>
      </w:r>
      <w:r w:rsidR="00F94FC0">
        <w:rPr>
          <w:rFonts w:asciiTheme="minorHAnsi" w:hAnsiTheme="minorHAnsi" w:cstheme="minorHAnsi"/>
          <w:color w:val="000000" w:themeColor="text1"/>
        </w:rPr>
        <w:br/>
      </w:r>
      <w:r w:rsidR="00940BBB" w:rsidRPr="00940BBB">
        <w:rPr>
          <w:rFonts w:asciiTheme="minorHAnsi" w:hAnsiTheme="minorHAnsi" w:cstheme="minorHAnsi"/>
          <w:color w:val="000000" w:themeColor="text1"/>
        </w:rPr>
        <w:t>KH 150</w:t>
      </w:r>
      <w:r w:rsidR="00F94FC0">
        <w:rPr>
          <w:rFonts w:asciiTheme="minorHAnsi" w:hAnsiTheme="minorHAnsi" w:cstheme="minorHAnsi"/>
          <w:color w:val="000000" w:themeColor="text1"/>
        </w:rPr>
        <w:t xml:space="preserve"> </w:t>
      </w:r>
      <w:r w:rsidR="00940BBB" w:rsidRPr="00940BBB">
        <w:rPr>
          <w:rFonts w:asciiTheme="minorHAnsi" w:hAnsiTheme="minorHAnsi" w:cstheme="minorHAnsi"/>
          <w:color w:val="000000" w:themeColor="text1"/>
        </w:rPr>
        <w:t>AES67</w:t>
      </w:r>
      <w:r w:rsidR="00F94FC0">
        <w:rPr>
          <w:rFonts w:asciiTheme="minorHAnsi" w:hAnsiTheme="minorHAnsi" w:cstheme="minorHAnsi"/>
          <w:color w:val="000000" w:themeColor="text1"/>
        </w:rPr>
        <w:t>:</w:t>
      </w:r>
      <w:r w:rsidR="00940BBB" w:rsidRPr="00940BBB">
        <w:rPr>
          <w:rFonts w:asciiTheme="minorHAnsi" w:hAnsiTheme="minorHAnsi" w:cstheme="minorHAnsi"/>
          <w:color w:val="000000" w:themeColor="text1"/>
        </w:rPr>
        <w:t xml:space="preserve"> € 1.895 / $ 1.999</w:t>
      </w:r>
      <w:r w:rsidR="00940BBB">
        <w:rPr>
          <w:rFonts w:asciiTheme="minorHAnsi" w:hAnsiTheme="minorHAnsi" w:cstheme="minorHAnsi"/>
          <w:color w:val="000000" w:themeColor="text1"/>
        </w:rPr>
        <w:t xml:space="preserve">. </w:t>
      </w:r>
      <w:r w:rsidR="00F94FC0">
        <w:rPr>
          <w:rFonts w:asciiTheme="minorHAnsi" w:hAnsiTheme="minorHAnsi" w:cstheme="minorHAnsi"/>
          <w:color w:val="000000" w:themeColor="text1"/>
        </w:rPr>
        <w:br/>
      </w:r>
      <w:r w:rsidRPr="00E24C18">
        <w:rPr>
          <w:rFonts w:asciiTheme="minorHAnsi" w:hAnsiTheme="minorHAnsi" w:cstheme="minorHAnsi"/>
          <w:color w:val="000000" w:themeColor="text1"/>
        </w:rPr>
        <w:t>Weitere Informationen</w:t>
      </w:r>
      <w:r w:rsidR="00940BBB">
        <w:rPr>
          <w:rFonts w:asciiTheme="minorHAnsi" w:hAnsiTheme="minorHAnsi" w:cstheme="minorHAnsi"/>
          <w:color w:val="000000" w:themeColor="text1"/>
        </w:rPr>
        <w:t xml:space="preserve"> unter </w:t>
      </w:r>
      <w:hyperlink r:id="rId9" w:history="1">
        <w:r w:rsidR="00940BBB">
          <w:rPr>
            <w:rStyle w:val="Hyperlink"/>
            <w:rFonts w:asciiTheme="minorHAnsi" w:hAnsiTheme="minorHAnsi" w:cstheme="minorHAnsi"/>
          </w:rPr>
          <w:t>https://de-de.neumann.com/kh-150</w:t>
        </w:r>
      </w:hyperlink>
    </w:p>
    <w:p w14:paraId="2DB7C1B0" w14:textId="26D8317B" w:rsidR="00154CF8" w:rsidRPr="00D43A74" w:rsidRDefault="00154CF8" w:rsidP="00D43A74">
      <w:pPr>
        <w:rPr>
          <w:rFonts w:asciiTheme="minorHAnsi" w:hAnsiTheme="minorHAnsi" w:cstheme="minorHAnsi"/>
          <w:color w:val="000000" w:themeColor="text1"/>
        </w:rPr>
      </w:pPr>
    </w:p>
    <w:p w14:paraId="3824373E" w14:textId="77777777" w:rsidR="00E24C18" w:rsidRPr="00E24C18" w:rsidRDefault="00E24C18" w:rsidP="00E24C18">
      <w:pPr>
        <w:pStyle w:val="Listenabsatz"/>
        <w:numPr>
          <w:ilvl w:val="0"/>
          <w:numId w:val="12"/>
        </w:numPr>
        <w:spacing w:line="324" w:lineRule="auto"/>
        <w:ind w:left="993" w:hanging="426"/>
        <w:rPr>
          <w:rFonts w:asciiTheme="minorHAnsi" w:hAnsiTheme="minorHAnsi" w:cstheme="minorHAnsi"/>
          <w:color w:val="000000" w:themeColor="text1"/>
        </w:rPr>
      </w:pPr>
      <w:r w:rsidRPr="00E24C18">
        <w:rPr>
          <w:rFonts w:asciiTheme="minorHAnsi" w:hAnsiTheme="minorHAnsi" w:cstheme="minorHAnsi"/>
          <w:color w:val="000000" w:themeColor="text1"/>
        </w:rPr>
        <w:t xml:space="preserve">Linearer Frequenz- und Phasengang </w:t>
      </w:r>
    </w:p>
    <w:p w14:paraId="606818C4" w14:textId="77777777" w:rsidR="00E24C18" w:rsidRPr="00E24C18" w:rsidRDefault="00E24C18" w:rsidP="00E24C18">
      <w:pPr>
        <w:pStyle w:val="Listenabsatz"/>
        <w:numPr>
          <w:ilvl w:val="0"/>
          <w:numId w:val="12"/>
        </w:numPr>
        <w:spacing w:line="324" w:lineRule="auto"/>
        <w:ind w:left="993" w:hanging="426"/>
        <w:rPr>
          <w:rFonts w:asciiTheme="minorHAnsi" w:hAnsiTheme="minorHAnsi" w:cstheme="minorHAnsi"/>
          <w:color w:val="000000" w:themeColor="text1"/>
        </w:rPr>
      </w:pPr>
      <w:r w:rsidRPr="00E24C18">
        <w:rPr>
          <w:rFonts w:asciiTheme="minorHAnsi" w:hAnsiTheme="minorHAnsi" w:cstheme="minorHAnsi"/>
          <w:color w:val="000000" w:themeColor="text1"/>
        </w:rPr>
        <w:t>DSP-Engine für herausragende Performance und automatische Raumanpassung mit MA 1</w:t>
      </w:r>
    </w:p>
    <w:p w14:paraId="148B0FD7" w14:textId="77777777" w:rsidR="00E24C18" w:rsidRPr="00E24C18" w:rsidRDefault="00E24C18" w:rsidP="00E24C18">
      <w:pPr>
        <w:pStyle w:val="Listenabsatz"/>
        <w:numPr>
          <w:ilvl w:val="0"/>
          <w:numId w:val="12"/>
        </w:numPr>
        <w:spacing w:line="324" w:lineRule="auto"/>
        <w:ind w:left="993" w:hanging="426"/>
        <w:rPr>
          <w:rFonts w:asciiTheme="minorHAnsi" w:hAnsiTheme="minorHAnsi" w:cstheme="minorHAnsi"/>
          <w:color w:val="000000" w:themeColor="text1"/>
        </w:rPr>
      </w:pPr>
      <w:r w:rsidRPr="00E24C18">
        <w:rPr>
          <w:rFonts w:asciiTheme="minorHAnsi" w:hAnsiTheme="minorHAnsi" w:cstheme="minorHAnsi"/>
          <w:color w:val="000000" w:themeColor="text1"/>
        </w:rPr>
        <w:t xml:space="preserve">Tiefe Basswiedergabe bis 39 Hz und hohe Pegelreserven </w:t>
      </w:r>
    </w:p>
    <w:p w14:paraId="35EB6F84" w14:textId="77777777" w:rsidR="00E24C18" w:rsidRPr="00E24C18" w:rsidRDefault="00E24C18" w:rsidP="00E24C18">
      <w:pPr>
        <w:pStyle w:val="Listenabsatz"/>
        <w:numPr>
          <w:ilvl w:val="0"/>
          <w:numId w:val="12"/>
        </w:numPr>
        <w:spacing w:line="324" w:lineRule="auto"/>
        <w:ind w:left="993" w:hanging="426"/>
        <w:rPr>
          <w:rFonts w:asciiTheme="minorHAnsi" w:hAnsiTheme="minorHAnsi" w:cstheme="minorHAnsi"/>
          <w:color w:val="000000" w:themeColor="text1"/>
        </w:rPr>
      </w:pPr>
      <w:r w:rsidRPr="00E24C18">
        <w:rPr>
          <w:rFonts w:asciiTheme="minorHAnsi" w:hAnsiTheme="minorHAnsi" w:cstheme="minorHAnsi"/>
          <w:color w:val="000000" w:themeColor="text1"/>
        </w:rPr>
        <w:t>Analoge und S/PDIF-Eingänge, optional mit AES67</w:t>
      </w:r>
    </w:p>
    <w:p w14:paraId="3197DF7A" w14:textId="77777777" w:rsidR="00E24C18" w:rsidRPr="00E24C18" w:rsidRDefault="00E24C18" w:rsidP="00E24C18">
      <w:pPr>
        <w:spacing w:line="324" w:lineRule="auto"/>
        <w:rPr>
          <w:rFonts w:asciiTheme="minorHAnsi" w:hAnsiTheme="minorHAnsi" w:cstheme="minorHAnsi"/>
          <w:color w:val="000000" w:themeColor="text1"/>
        </w:rPr>
      </w:pPr>
    </w:p>
    <w:p w14:paraId="25EC4EEB" w14:textId="77777777" w:rsidR="00977989" w:rsidRDefault="00977989">
      <w:pPr>
        <w:spacing w:line="240" w:lineRule="auto"/>
        <w:rPr>
          <w:rFonts w:asciiTheme="minorHAnsi" w:hAnsiTheme="minorHAnsi" w:cstheme="minorHAnsi"/>
          <w:b/>
          <w:color w:val="000000" w:themeColor="text1"/>
          <w:sz w:val="16"/>
          <w:szCs w:val="16"/>
        </w:rPr>
      </w:pPr>
      <w:r>
        <w:rPr>
          <w:rFonts w:asciiTheme="minorHAnsi" w:hAnsiTheme="minorHAnsi" w:cstheme="minorHAnsi"/>
          <w:b/>
          <w:color w:val="000000" w:themeColor="text1"/>
          <w:sz w:val="16"/>
          <w:szCs w:val="16"/>
        </w:rPr>
        <w:br w:type="page"/>
      </w:r>
    </w:p>
    <w:p w14:paraId="5A9D8F49" w14:textId="30116213" w:rsidR="003B0AE2" w:rsidRDefault="00FA0FA1" w:rsidP="00154CF8">
      <w:pPr>
        <w:spacing w:after="120" w:line="276" w:lineRule="auto"/>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lastRenderedPageBreak/>
        <w:t>Über Neumann</w:t>
      </w:r>
      <w:r w:rsidR="008C6634">
        <w:rPr>
          <w:rFonts w:asciiTheme="minorHAnsi" w:hAnsiTheme="minorHAnsi" w:cstheme="minorHAnsi"/>
          <w:color w:val="000000" w:themeColor="text1"/>
          <w:sz w:val="16"/>
          <w:szCs w:val="16"/>
        </w:rPr>
        <w:br/>
      </w:r>
      <w:r w:rsidR="00154CF8" w:rsidRPr="00154CF8">
        <w:rPr>
          <w:rFonts w:asciiTheme="minorHAnsi" w:hAnsiTheme="minorHAnsi" w:cstheme="minorHAnsi"/>
          <w:color w:val="000000" w:themeColor="text1"/>
          <w:sz w:val="16"/>
          <w:szCs w:val="16"/>
        </w:rPr>
        <w:t>Die Georg Neumann GmbH – bekannt als “</w:t>
      </w:r>
      <w:proofErr w:type="spellStart"/>
      <w:r w:rsidR="00154CF8" w:rsidRPr="00154CF8">
        <w:rPr>
          <w:rFonts w:asciiTheme="minorHAnsi" w:hAnsiTheme="minorHAnsi" w:cstheme="minorHAnsi"/>
          <w:color w:val="000000" w:themeColor="text1"/>
          <w:sz w:val="16"/>
          <w:szCs w:val="16"/>
        </w:rPr>
        <w:t>Neumann.Berlin</w:t>
      </w:r>
      <w:proofErr w:type="spellEnd"/>
      <w:r w:rsidR="00154CF8" w:rsidRPr="00154CF8">
        <w:rPr>
          <w:rFonts w:asciiTheme="minorHAnsi" w:hAnsiTheme="minorHAnsi" w:cstheme="minorHAnsi"/>
          <w:color w:val="000000" w:themeColor="text1"/>
          <w:sz w:val="16"/>
          <w:szCs w:val="16"/>
        </w:rPr>
        <w:t xml:space="preserve">” – ist einer der weltweit führenden Hersteller von professionellem Audio-Equipment, insbesondere im Studiobereich. Zum Portfolio gehören legendäre Mikrofone wie das U 47, M 49, U 67, U 87 und TLM 103. Zahlreiche Produkte des 1928 gegründeten Unternehmens sind mit internationalen Preisen für technische Innovation ausgezeichnet worden. Seit 2010 bringt </w:t>
      </w:r>
      <w:proofErr w:type="spellStart"/>
      <w:r w:rsidR="00154CF8" w:rsidRPr="00154CF8">
        <w:rPr>
          <w:rFonts w:asciiTheme="minorHAnsi" w:hAnsiTheme="minorHAnsi" w:cstheme="minorHAnsi"/>
          <w:color w:val="000000" w:themeColor="text1"/>
          <w:sz w:val="16"/>
          <w:szCs w:val="16"/>
        </w:rPr>
        <w:t>Neumann.Berlin</w:t>
      </w:r>
      <w:proofErr w:type="spellEnd"/>
      <w:r w:rsidR="00154CF8" w:rsidRPr="00154CF8">
        <w:rPr>
          <w:rFonts w:asciiTheme="minorHAnsi" w:hAnsiTheme="minorHAnsi" w:cstheme="minorHAnsi"/>
          <w:color w:val="000000" w:themeColor="text1"/>
          <w:sz w:val="16"/>
          <w:szCs w:val="16"/>
        </w:rPr>
        <w:t xml:space="preserve"> seine Erfahrung auf dem Gebiet der elektroakustischen </w:t>
      </w:r>
      <w:proofErr w:type="spellStart"/>
      <w:r w:rsidR="00154CF8" w:rsidRPr="00154CF8">
        <w:rPr>
          <w:rFonts w:asciiTheme="minorHAnsi" w:hAnsiTheme="minorHAnsi" w:cstheme="minorHAnsi"/>
          <w:color w:val="000000" w:themeColor="text1"/>
          <w:sz w:val="16"/>
          <w:szCs w:val="16"/>
        </w:rPr>
        <w:t>Wandlertechnik</w:t>
      </w:r>
      <w:proofErr w:type="spellEnd"/>
      <w:r w:rsidR="00154CF8" w:rsidRPr="00154CF8">
        <w:rPr>
          <w:rFonts w:asciiTheme="minorHAnsi" w:hAnsiTheme="minorHAnsi" w:cstheme="minorHAnsi"/>
          <w:color w:val="000000" w:themeColor="text1"/>
          <w:sz w:val="16"/>
          <w:szCs w:val="16"/>
        </w:rPr>
        <w:t xml:space="preserve"> auch in den Bereich der Studiomonitore ein. Anfang 2019 kam der erste Neumann Studiokopfhörer auf den Markt und seit 2022 engagiert sich das Unternehmen mit Referenzlösungen verstärkt auch im Live-Bereich. Seit 1991 gehört die Georg Neumann GmbH zur Sennheiser-Gruppe und ist weltweit durch Sennheiser-Vertriebstöchter und -partner vertreten. </w:t>
      </w:r>
      <w:hyperlink r:id="rId10" w:history="1">
        <w:r w:rsidR="00154CF8" w:rsidRPr="00D74330">
          <w:rPr>
            <w:rStyle w:val="Hyperlink"/>
            <w:rFonts w:asciiTheme="minorHAnsi" w:hAnsiTheme="minorHAnsi" w:cstheme="minorHAnsi"/>
            <w:sz w:val="16"/>
            <w:szCs w:val="16"/>
          </w:rPr>
          <w:t>www.neumann.com</w:t>
        </w:r>
      </w:hyperlink>
      <w:r w:rsidR="00154CF8">
        <w:rPr>
          <w:rFonts w:asciiTheme="minorHAnsi" w:hAnsiTheme="minorHAnsi" w:cstheme="minorHAnsi"/>
          <w:color w:val="000000" w:themeColor="text1"/>
          <w:sz w:val="16"/>
          <w:szCs w:val="16"/>
        </w:rPr>
        <w:t>.</w:t>
      </w:r>
    </w:p>
    <w:p w14:paraId="4A7A834B" w14:textId="77777777" w:rsidR="00154CF8" w:rsidRDefault="00154CF8" w:rsidP="00154CF8">
      <w:pPr>
        <w:spacing w:after="120" w:line="276" w:lineRule="auto"/>
        <w:rPr>
          <w:rFonts w:asciiTheme="minorHAnsi" w:hAnsiTheme="minorHAnsi" w:cstheme="minorHAnsi"/>
          <w:b/>
          <w:color w:val="000000" w:themeColor="text1"/>
        </w:rPr>
      </w:pPr>
    </w:p>
    <w:p w14:paraId="3302BBE2" w14:textId="60F60EAB" w:rsidR="00FA0FA1" w:rsidRPr="00FC65B8" w:rsidRDefault="00635799" w:rsidP="00FA0FA1">
      <w:pPr>
        <w:pStyle w:val="Contact"/>
        <w:rPr>
          <w:rFonts w:asciiTheme="minorHAnsi" w:hAnsiTheme="minorHAnsi" w:cstheme="minorHAnsi"/>
          <w:b/>
          <w:color w:val="000000" w:themeColor="text1"/>
        </w:rPr>
      </w:pPr>
      <w:r>
        <w:rPr>
          <w:rFonts w:asciiTheme="minorHAnsi" w:hAnsiTheme="minorHAnsi" w:cstheme="minorHAnsi"/>
          <w:b/>
          <w:color w:val="000000" w:themeColor="text1"/>
        </w:rPr>
        <w:t>Presse-</w:t>
      </w:r>
      <w:r w:rsidR="00FA0FA1" w:rsidRPr="00FC65B8">
        <w:rPr>
          <w:rFonts w:asciiTheme="minorHAnsi" w:hAnsiTheme="minorHAnsi" w:cstheme="minorHAnsi"/>
          <w:b/>
          <w:color w:val="000000" w:themeColor="text1"/>
        </w:rPr>
        <w:t>Kontakt</w:t>
      </w:r>
      <w:r w:rsidR="007506CE" w:rsidRPr="00FC65B8">
        <w:rPr>
          <w:rFonts w:asciiTheme="minorHAnsi" w:hAnsiTheme="minorHAnsi" w:cstheme="minorHAnsi"/>
          <w:b/>
          <w:color w:val="000000" w:themeColor="text1"/>
        </w:rPr>
        <w:t xml:space="preserve"> Neumann</w:t>
      </w:r>
      <w:r w:rsidR="00FA0FA1" w:rsidRPr="00FC65B8">
        <w:rPr>
          <w:rFonts w:asciiTheme="minorHAnsi" w:hAnsiTheme="minorHAnsi" w:cstheme="minorHAnsi"/>
          <w:b/>
          <w:color w:val="000000" w:themeColor="text1"/>
        </w:rPr>
        <w:t>:</w:t>
      </w:r>
    </w:p>
    <w:p w14:paraId="0AEE90C4" w14:textId="77777777" w:rsidR="00FA0FA1" w:rsidRPr="00AB6634" w:rsidRDefault="00FA0FA1" w:rsidP="00FA0FA1">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 xml:space="preserve">Andreas </w:t>
      </w:r>
      <w:proofErr w:type="spellStart"/>
      <w:r w:rsidRPr="00AB6634">
        <w:rPr>
          <w:rFonts w:asciiTheme="minorHAnsi" w:hAnsiTheme="minorHAnsi" w:cstheme="minorHAnsi"/>
          <w:color w:val="000000" w:themeColor="text1"/>
        </w:rPr>
        <w:t>Sablotny</w:t>
      </w:r>
      <w:proofErr w:type="spellEnd"/>
    </w:p>
    <w:p w14:paraId="7D346380" w14:textId="77777777" w:rsidR="00FA0FA1" w:rsidRPr="00AB6634" w:rsidRDefault="00FA0FA1" w:rsidP="00FA0FA1">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5DDA1D75" w14:textId="6F04C4C9" w:rsidR="00FA0FA1" w:rsidRPr="00C74B51" w:rsidRDefault="00FA0FA1" w:rsidP="00FA0FA1">
      <w:pPr>
        <w:pStyle w:val="Contact"/>
        <w:rPr>
          <w:rFonts w:asciiTheme="minorHAnsi" w:hAnsiTheme="minorHAnsi" w:cstheme="minorHAnsi"/>
          <w:color w:val="000000" w:themeColor="text1"/>
        </w:rPr>
      </w:pPr>
      <w:r w:rsidRPr="00C74B51">
        <w:rPr>
          <w:rFonts w:asciiTheme="minorHAnsi" w:hAnsiTheme="minorHAnsi" w:cstheme="minorHAnsi"/>
          <w:color w:val="000000" w:themeColor="text1"/>
        </w:rPr>
        <w:t>T +49 (030) 417724-19</w:t>
      </w:r>
    </w:p>
    <w:p w14:paraId="24FE4B5B" w14:textId="4A9DB11C" w:rsidR="00C74B51" w:rsidRPr="00C74B51" w:rsidRDefault="00C74B51" w:rsidP="00FA0FA1">
      <w:pPr>
        <w:pStyle w:val="Contact"/>
        <w:rPr>
          <w:rFonts w:asciiTheme="minorHAnsi" w:hAnsiTheme="minorHAnsi" w:cstheme="minorHAnsi"/>
          <w:color w:val="000000" w:themeColor="text1"/>
        </w:rPr>
      </w:pPr>
    </w:p>
    <w:p w14:paraId="1EA04ADA" w14:textId="244D9D4B" w:rsidR="00C74B51" w:rsidRDefault="00C74B51" w:rsidP="00FA0FA1">
      <w:pPr>
        <w:pStyle w:val="Contact"/>
        <w:rPr>
          <w:rFonts w:asciiTheme="minorHAnsi" w:hAnsiTheme="minorHAnsi" w:cstheme="minorHAnsi"/>
          <w:color w:val="000000" w:themeColor="text1"/>
        </w:rPr>
      </w:pPr>
      <w:r w:rsidRPr="00C74B51">
        <w:rPr>
          <w:rFonts w:asciiTheme="minorHAnsi" w:hAnsiTheme="minorHAnsi" w:cstheme="minorHAnsi"/>
          <w:b/>
          <w:color w:val="000000" w:themeColor="text1"/>
        </w:rPr>
        <w:t>Presse-Kontakt DACH-Region</w:t>
      </w:r>
      <w:r>
        <w:rPr>
          <w:rFonts w:asciiTheme="minorHAnsi" w:hAnsiTheme="minorHAnsi" w:cstheme="minorHAnsi"/>
          <w:b/>
          <w:color w:val="000000" w:themeColor="text1"/>
        </w:rPr>
        <w:t>:</w:t>
      </w:r>
      <w:r w:rsidRPr="00C74B51">
        <w:rPr>
          <w:rFonts w:asciiTheme="minorHAnsi" w:hAnsiTheme="minorHAnsi" w:cstheme="minorHAnsi"/>
          <w:color w:val="414141" w:themeColor="accent2"/>
          <w:sz w:val="16"/>
          <w:szCs w:val="16"/>
        </w:rPr>
        <w:br/>
      </w:r>
      <w:r>
        <w:rPr>
          <w:rFonts w:asciiTheme="minorHAnsi" w:hAnsiTheme="minorHAnsi" w:cstheme="minorHAnsi"/>
          <w:color w:val="000000" w:themeColor="text1"/>
        </w:rPr>
        <w:t>Maik Robbe</w:t>
      </w:r>
    </w:p>
    <w:p w14:paraId="3678686D" w14:textId="77777777" w:rsidR="00C74B51" w:rsidRPr="00C74B51"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maik.robbe@sennheiser.com</w:t>
      </w:r>
    </w:p>
    <w:p w14:paraId="444ADC2A" w14:textId="4DCFF39C" w:rsidR="00C74B51" w:rsidRPr="00FC65B8"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+44 (0) 7393 462484</w:t>
      </w:r>
    </w:p>
    <w:p w14:paraId="38E3FB34" w14:textId="0CB5EDDF" w:rsidR="00280534" w:rsidRPr="008C7F85" w:rsidRDefault="00280534" w:rsidP="00FA0FA1">
      <w:pPr>
        <w:spacing w:after="120" w:line="276" w:lineRule="auto"/>
        <w:rPr>
          <w:rFonts w:asciiTheme="minorHAnsi" w:hAnsiTheme="minorHAnsi" w:cstheme="minorHAnsi"/>
          <w:lang w:val="en-US"/>
        </w:rPr>
      </w:pPr>
    </w:p>
    <w:sectPr w:rsidR="00280534" w:rsidRPr="008C7F85" w:rsidSect="00A20B43">
      <w:headerReference w:type="default" r:id="rId11"/>
      <w:headerReference w:type="first" r:id="rId12"/>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E8E8B" w14:textId="77777777" w:rsidR="00625B11" w:rsidRDefault="00625B11" w:rsidP="00CF26E7">
      <w:pPr>
        <w:spacing w:line="240" w:lineRule="auto"/>
      </w:pPr>
      <w:r>
        <w:separator/>
      </w:r>
    </w:p>
  </w:endnote>
  <w:endnote w:type="continuationSeparator" w:id="0">
    <w:p w14:paraId="3F0FF3F7" w14:textId="77777777" w:rsidR="00625B11" w:rsidRDefault="00625B1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A863094-FCBC-5146-98DF-7D1DE31F1F6E}"/>
  </w:font>
  <w:font w:name="Times New Roman">
    <w:panose1 w:val="02020603050405020304"/>
    <w:charset w:val="00"/>
    <w:family w:val="roman"/>
    <w:pitch w:val="variable"/>
    <w:sig w:usb0="E0002EFF" w:usb1="C000785B" w:usb2="00000009" w:usb3="00000000" w:csb0="000001FF" w:csb1="00000000"/>
    <w:embedRegular r:id="rId2" w:fontKey="{ABFD3525-7E07-1D4E-B4E7-6E93194E8167}"/>
    <w:embedBold r:id="rId3" w:fontKey="{365EFAEF-6C83-724D-BE4F-03A481EFB240}"/>
  </w:font>
  <w:font w:name="Courier New">
    <w:panose1 w:val="02070309020205020404"/>
    <w:charset w:val="00"/>
    <w:family w:val="modern"/>
    <w:pitch w:val="fixed"/>
    <w:sig w:usb0="E0002EFF" w:usb1="C0007843" w:usb2="00000009" w:usb3="00000000" w:csb0="000001FF" w:csb1="00000000"/>
    <w:embedRegular r:id="rId4" w:fontKey="{EA2DE3EA-A526-FF40-8579-04805DC27D93}"/>
  </w:font>
  <w:font w:name="Wingdings">
    <w:panose1 w:val="05000000000000000000"/>
    <w:charset w:val="4D"/>
    <w:family w:val="decorative"/>
    <w:pitch w:val="variable"/>
    <w:sig w:usb0="00000003" w:usb1="00000000" w:usb2="00000000" w:usb3="00000000" w:csb0="80000001" w:csb1="00000000"/>
    <w:embedRegular r:id="rId5" w:fontKey="{5BF4AD82-6664-1845-B18C-5283B46D923D}"/>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6" w:fontKey="{89684396-34E7-7449-843C-CDAB10BA7C83}"/>
    <w:embedBold r:id="rId7" w:fontKey="{0D09444A-2617-1940-927D-ED37219917F7}"/>
    <w:embedBoldItalic r:id="rId8" w:fontKey="{F6319485-17AC-714A-A067-A5086C010F6E}"/>
  </w:font>
  <w:font w:name="Sennheiser Office">
    <w:panose1 w:val="020B0504020101010102"/>
    <w:charset w:val="00"/>
    <w:family w:val="swiss"/>
    <w:pitch w:val="variable"/>
    <w:sig w:usb0="A00000AF" w:usb1="500020DB" w:usb2="00000000" w:usb3="00000000" w:csb0="00000093" w:csb1="00000000"/>
    <w:embedRegular r:id="rId9" w:fontKey="{58E74FC3-2FB9-BF45-9E74-D6F1CAFF3171}"/>
    <w:embedBold r:id="rId10" w:fontKey="{720C9641-6330-2F4E-80A6-0A6268763F3D}"/>
    <w:embedBoldItalic r:id="rId11" w:fontKey="{C8FAAEB9-4D24-3341-A872-0B5D1BB44CFB}"/>
  </w:font>
  <w:font w:name="Segoe UI">
    <w:panose1 w:val="020B0502040204020203"/>
    <w:charset w:val="00"/>
    <w:family w:val="swiss"/>
    <w:pitch w:val="variable"/>
    <w:sig w:usb0="E4002EFF" w:usb1="C000E47F" w:usb2="00000009" w:usb3="00000000" w:csb0="000001FF" w:csb1="00000000"/>
    <w:embedRegular r:id="rId12" w:fontKey="{99951A01-FBFE-7B40-888A-B52190B746BC}"/>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58B74CFD-DAD9-4B4E-8F6A-19F36D72F785}"/>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4AEF634B-D75B-D944-AC6E-2E0F136E2663}"/>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0C219" w14:textId="77777777" w:rsidR="00625B11" w:rsidRDefault="00625B11" w:rsidP="00CF26E7">
      <w:pPr>
        <w:spacing w:line="240" w:lineRule="auto"/>
      </w:pPr>
      <w:r>
        <w:separator/>
      </w:r>
    </w:p>
  </w:footnote>
  <w:footnote w:type="continuationSeparator" w:id="0">
    <w:p w14:paraId="27B26DD3" w14:textId="77777777" w:rsidR="00625B11" w:rsidRDefault="00625B1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145489A2"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9"/>
  </w:num>
  <w:num w:numId="7" w16cid:durableId="1219391832">
    <w:abstractNumId w:val="4"/>
  </w:num>
  <w:num w:numId="8" w16cid:durableId="1972637946">
    <w:abstractNumId w:val="10"/>
  </w:num>
  <w:num w:numId="9" w16cid:durableId="1582523151">
    <w:abstractNumId w:val="2"/>
  </w:num>
  <w:num w:numId="10" w16cid:durableId="1606113127">
    <w:abstractNumId w:val="5"/>
  </w:num>
  <w:num w:numId="11" w16cid:durableId="1867406072">
    <w:abstractNumId w:val="12"/>
  </w:num>
  <w:num w:numId="12" w16cid:durableId="1459299853">
    <w:abstractNumId w:val="11"/>
  </w:num>
  <w:num w:numId="13" w16cid:durableId="309290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06FA8"/>
    <w:rsid w:val="0002699E"/>
    <w:rsid w:val="00027F42"/>
    <w:rsid w:val="00031F2A"/>
    <w:rsid w:val="00033182"/>
    <w:rsid w:val="00036334"/>
    <w:rsid w:val="000401EB"/>
    <w:rsid w:val="00043993"/>
    <w:rsid w:val="00051C8E"/>
    <w:rsid w:val="00052E12"/>
    <w:rsid w:val="00055E12"/>
    <w:rsid w:val="000808FD"/>
    <w:rsid w:val="000834F5"/>
    <w:rsid w:val="00087835"/>
    <w:rsid w:val="000922DA"/>
    <w:rsid w:val="0009516E"/>
    <w:rsid w:val="000A5CAD"/>
    <w:rsid w:val="000A6BD0"/>
    <w:rsid w:val="000C036D"/>
    <w:rsid w:val="000C5D49"/>
    <w:rsid w:val="000D0839"/>
    <w:rsid w:val="000D49C1"/>
    <w:rsid w:val="000D66DA"/>
    <w:rsid w:val="000E3661"/>
    <w:rsid w:val="000E4907"/>
    <w:rsid w:val="000E6D9B"/>
    <w:rsid w:val="000F18C2"/>
    <w:rsid w:val="000F4E31"/>
    <w:rsid w:val="000F7E1C"/>
    <w:rsid w:val="001064F7"/>
    <w:rsid w:val="001107BC"/>
    <w:rsid w:val="0011643F"/>
    <w:rsid w:val="00127E5C"/>
    <w:rsid w:val="0014028C"/>
    <w:rsid w:val="00154CF8"/>
    <w:rsid w:val="00157C98"/>
    <w:rsid w:val="00162582"/>
    <w:rsid w:val="00166A53"/>
    <w:rsid w:val="00174D2F"/>
    <w:rsid w:val="0017502A"/>
    <w:rsid w:val="00184E77"/>
    <w:rsid w:val="001869E9"/>
    <w:rsid w:val="00187E45"/>
    <w:rsid w:val="001A3791"/>
    <w:rsid w:val="001A6703"/>
    <w:rsid w:val="001B05C7"/>
    <w:rsid w:val="001C0401"/>
    <w:rsid w:val="001D0CC3"/>
    <w:rsid w:val="001E6BD7"/>
    <w:rsid w:val="001F0467"/>
    <w:rsid w:val="001F275C"/>
    <w:rsid w:val="0020279E"/>
    <w:rsid w:val="002053BA"/>
    <w:rsid w:val="00210EFD"/>
    <w:rsid w:val="00213C61"/>
    <w:rsid w:val="0022377B"/>
    <w:rsid w:val="00227AB1"/>
    <w:rsid w:val="002354A9"/>
    <w:rsid w:val="00243C61"/>
    <w:rsid w:val="00245058"/>
    <w:rsid w:val="00245201"/>
    <w:rsid w:val="002611B4"/>
    <w:rsid w:val="00262CA7"/>
    <w:rsid w:val="00266FEB"/>
    <w:rsid w:val="002744A8"/>
    <w:rsid w:val="00275C2D"/>
    <w:rsid w:val="00280534"/>
    <w:rsid w:val="002919D0"/>
    <w:rsid w:val="002938E4"/>
    <w:rsid w:val="00293F7D"/>
    <w:rsid w:val="002949AA"/>
    <w:rsid w:val="00297733"/>
    <w:rsid w:val="002A7771"/>
    <w:rsid w:val="002B0A16"/>
    <w:rsid w:val="002C629A"/>
    <w:rsid w:val="002C69B6"/>
    <w:rsid w:val="002C6BE7"/>
    <w:rsid w:val="002D26EF"/>
    <w:rsid w:val="002D2D00"/>
    <w:rsid w:val="002E1B40"/>
    <w:rsid w:val="002F7F4D"/>
    <w:rsid w:val="00301CB7"/>
    <w:rsid w:val="003057A0"/>
    <w:rsid w:val="00305CC3"/>
    <w:rsid w:val="00311826"/>
    <w:rsid w:val="00311D5F"/>
    <w:rsid w:val="00312A53"/>
    <w:rsid w:val="003154D6"/>
    <w:rsid w:val="00315E38"/>
    <w:rsid w:val="00334743"/>
    <w:rsid w:val="00336916"/>
    <w:rsid w:val="00343A56"/>
    <w:rsid w:val="003442F6"/>
    <w:rsid w:val="00350C01"/>
    <w:rsid w:val="00351AEC"/>
    <w:rsid w:val="00362CAF"/>
    <w:rsid w:val="00367FEB"/>
    <w:rsid w:val="0037085E"/>
    <w:rsid w:val="0037587A"/>
    <w:rsid w:val="00375D35"/>
    <w:rsid w:val="00376FB3"/>
    <w:rsid w:val="00382963"/>
    <w:rsid w:val="00393969"/>
    <w:rsid w:val="00393996"/>
    <w:rsid w:val="00395731"/>
    <w:rsid w:val="00397338"/>
    <w:rsid w:val="003A3466"/>
    <w:rsid w:val="003B0AE2"/>
    <w:rsid w:val="003B3645"/>
    <w:rsid w:val="003B39A1"/>
    <w:rsid w:val="003C141C"/>
    <w:rsid w:val="003C165F"/>
    <w:rsid w:val="003D792B"/>
    <w:rsid w:val="00400525"/>
    <w:rsid w:val="00401154"/>
    <w:rsid w:val="00410A68"/>
    <w:rsid w:val="0041111F"/>
    <w:rsid w:val="00421B9B"/>
    <w:rsid w:val="0044297D"/>
    <w:rsid w:val="00443762"/>
    <w:rsid w:val="00446FB3"/>
    <w:rsid w:val="00451C28"/>
    <w:rsid w:val="00454EB2"/>
    <w:rsid w:val="004620AA"/>
    <w:rsid w:val="00462EDE"/>
    <w:rsid w:val="0046468F"/>
    <w:rsid w:val="004649EB"/>
    <w:rsid w:val="00471F51"/>
    <w:rsid w:val="00474914"/>
    <w:rsid w:val="00485E2F"/>
    <w:rsid w:val="00491BAC"/>
    <w:rsid w:val="0049211B"/>
    <w:rsid w:val="004930B5"/>
    <w:rsid w:val="004A18E8"/>
    <w:rsid w:val="004A3713"/>
    <w:rsid w:val="004A402E"/>
    <w:rsid w:val="004B0A2B"/>
    <w:rsid w:val="004B22D2"/>
    <w:rsid w:val="004B7CE3"/>
    <w:rsid w:val="004C32C6"/>
    <w:rsid w:val="004C425C"/>
    <w:rsid w:val="004E3C5C"/>
    <w:rsid w:val="004F3796"/>
    <w:rsid w:val="00500A75"/>
    <w:rsid w:val="00507C89"/>
    <w:rsid w:val="005250F0"/>
    <w:rsid w:val="00530E48"/>
    <w:rsid w:val="00532511"/>
    <w:rsid w:val="00532FF8"/>
    <w:rsid w:val="0055283C"/>
    <w:rsid w:val="00566061"/>
    <w:rsid w:val="00566C47"/>
    <w:rsid w:val="00575884"/>
    <w:rsid w:val="00582A3B"/>
    <w:rsid w:val="00583FA1"/>
    <w:rsid w:val="00593B57"/>
    <w:rsid w:val="005B0D2E"/>
    <w:rsid w:val="005B4459"/>
    <w:rsid w:val="005B553B"/>
    <w:rsid w:val="005C35A8"/>
    <w:rsid w:val="005C492C"/>
    <w:rsid w:val="005C6B3A"/>
    <w:rsid w:val="005C78F1"/>
    <w:rsid w:val="005E7014"/>
    <w:rsid w:val="005E77A0"/>
    <w:rsid w:val="005F2F1F"/>
    <w:rsid w:val="00603D0C"/>
    <w:rsid w:val="00613BFA"/>
    <w:rsid w:val="00615A9E"/>
    <w:rsid w:val="00625B11"/>
    <w:rsid w:val="00627C37"/>
    <w:rsid w:val="00633C4E"/>
    <w:rsid w:val="00634DA6"/>
    <w:rsid w:val="00635799"/>
    <w:rsid w:val="006419E7"/>
    <w:rsid w:val="006428F7"/>
    <w:rsid w:val="006655D2"/>
    <w:rsid w:val="006A34D9"/>
    <w:rsid w:val="006A6042"/>
    <w:rsid w:val="006B1E7A"/>
    <w:rsid w:val="006B350F"/>
    <w:rsid w:val="006C343F"/>
    <w:rsid w:val="006C4144"/>
    <w:rsid w:val="006D2617"/>
    <w:rsid w:val="006D33FC"/>
    <w:rsid w:val="006D45CF"/>
    <w:rsid w:val="006E15A8"/>
    <w:rsid w:val="007069FD"/>
    <w:rsid w:val="007074A3"/>
    <w:rsid w:val="00714A7F"/>
    <w:rsid w:val="00730659"/>
    <w:rsid w:val="007330F5"/>
    <w:rsid w:val="007356C0"/>
    <w:rsid w:val="00735A9F"/>
    <w:rsid w:val="00737521"/>
    <w:rsid w:val="00740E2A"/>
    <w:rsid w:val="00743192"/>
    <w:rsid w:val="00745BA5"/>
    <w:rsid w:val="007506CE"/>
    <w:rsid w:val="0075278A"/>
    <w:rsid w:val="007676A2"/>
    <w:rsid w:val="00773590"/>
    <w:rsid w:val="007904C2"/>
    <w:rsid w:val="0079791B"/>
    <w:rsid w:val="007A5E9A"/>
    <w:rsid w:val="007A6246"/>
    <w:rsid w:val="007B3825"/>
    <w:rsid w:val="007B383C"/>
    <w:rsid w:val="007B792D"/>
    <w:rsid w:val="007C00CC"/>
    <w:rsid w:val="007C1FBF"/>
    <w:rsid w:val="007C3958"/>
    <w:rsid w:val="007C6E88"/>
    <w:rsid w:val="007E012D"/>
    <w:rsid w:val="007E72A1"/>
    <w:rsid w:val="007F03AE"/>
    <w:rsid w:val="007F1132"/>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7688A"/>
    <w:rsid w:val="00882174"/>
    <w:rsid w:val="008824FF"/>
    <w:rsid w:val="00891275"/>
    <w:rsid w:val="00893898"/>
    <w:rsid w:val="0089518B"/>
    <w:rsid w:val="008A306F"/>
    <w:rsid w:val="008B1710"/>
    <w:rsid w:val="008B336B"/>
    <w:rsid w:val="008C1C03"/>
    <w:rsid w:val="008C26FE"/>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1758"/>
    <w:rsid w:val="009232E9"/>
    <w:rsid w:val="00927812"/>
    <w:rsid w:val="00933C79"/>
    <w:rsid w:val="00940BBB"/>
    <w:rsid w:val="00945A95"/>
    <w:rsid w:val="00946244"/>
    <w:rsid w:val="0094700A"/>
    <w:rsid w:val="0095228D"/>
    <w:rsid w:val="00957D7D"/>
    <w:rsid w:val="00961899"/>
    <w:rsid w:val="009635C9"/>
    <w:rsid w:val="00977989"/>
    <w:rsid w:val="00980325"/>
    <w:rsid w:val="0099477D"/>
    <w:rsid w:val="0099594C"/>
    <w:rsid w:val="009A798D"/>
    <w:rsid w:val="009B2A4F"/>
    <w:rsid w:val="009B6181"/>
    <w:rsid w:val="009C1D53"/>
    <w:rsid w:val="009D0EAD"/>
    <w:rsid w:val="009E221C"/>
    <w:rsid w:val="009E71F2"/>
    <w:rsid w:val="009F37BB"/>
    <w:rsid w:val="00A02855"/>
    <w:rsid w:val="00A05282"/>
    <w:rsid w:val="00A10121"/>
    <w:rsid w:val="00A17779"/>
    <w:rsid w:val="00A20B43"/>
    <w:rsid w:val="00A22F27"/>
    <w:rsid w:val="00A22FA5"/>
    <w:rsid w:val="00A23FD8"/>
    <w:rsid w:val="00A24E64"/>
    <w:rsid w:val="00A2523F"/>
    <w:rsid w:val="00A35E1E"/>
    <w:rsid w:val="00A42F9D"/>
    <w:rsid w:val="00A45AF0"/>
    <w:rsid w:val="00A6247D"/>
    <w:rsid w:val="00A7020B"/>
    <w:rsid w:val="00A70D7D"/>
    <w:rsid w:val="00A76A65"/>
    <w:rsid w:val="00A801AE"/>
    <w:rsid w:val="00A803D0"/>
    <w:rsid w:val="00A86D48"/>
    <w:rsid w:val="00A91C60"/>
    <w:rsid w:val="00A93FF5"/>
    <w:rsid w:val="00A96558"/>
    <w:rsid w:val="00A9668E"/>
    <w:rsid w:val="00AA0134"/>
    <w:rsid w:val="00AA37A8"/>
    <w:rsid w:val="00AB6634"/>
    <w:rsid w:val="00AE51D7"/>
    <w:rsid w:val="00AE5652"/>
    <w:rsid w:val="00B02778"/>
    <w:rsid w:val="00B10B1E"/>
    <w:rsid w:val="00B12BF8"/>
    <w:rsid w:val="00B143E1"/>
    <w:rsid w:val="00B2011D"/>
    <w:rsid w:val="00B31624"/>
    <w:rsid w:val="00B539E3"/>
    <w:rsid w:val="00B53AE9"/>
    <w:rsid w:val="00B61B25"/>
    <w:rsid w:val="00B8122B"/>
    <w:rsid w:val="00B97EA0"/>
    <w:rsid w:val="00BA1D72"/>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6949"/>
    <w:rsid w:val="00C1352F"/>
    <w:rsid w:val="00C14E95"/>
    <w:rsid w:val="00C16D4F"/>
    <w:rsid w:val="00C21489"/>
    <w:rsid w:val="00C21CFC"/>
    <w:rsid w:val="00C3446D"/>
    <w:rsid w:val="00C35680"/>
    <w:rsid w:val="00C464FE"/>
    <w:rsid w:val="00C61AE2"/>
    <w:rsid w:val="00C64E81"/>
    <w:rsid w:val="00C659C8"/>
    <w:rsid w:val="00C66FBA"/>
    <w:rsid w:val="00C73CCB"/>
    <w:rsid w:val="00C74764"/>
    <w:rsid w:val="00C74B51"/>
    <w:rsid w:val="00C82199"/>
    <w:rsid w:val="00C82305"/>
    <w:rsid w:val="00C90C90"/>
    <w:rsid w:val="00C92F6C"/>
    <w:rsid w:val="00C964A3"/>
    <w:rsid w:val="00CA1EB9"/>
    <w:rsid w:val="00CC2ED0"/>
    <w:rsid w:val="00CC6FA2"/>
    <w:rsid w:val="00CD2505"/>
    <w:rsid w:val="00CE58AE"/>
    <w:rsid w:val="00CF26E7"/>
    <w:rsid w:val="00CF2CE6"/>
    <w:rsid w:val="00CF338D"/>
    <w:rsid w:val="00D10DA4"/>
    <w:rsid w:val="00D1289A"/>
    <w:rsid w:val="00D12AB9"/>
    <w:rsid w:val="00D130A7"/>
    <w:rsid w:val="00D145F9"/>
    <w:rsid w:val="00D179A5"/>
    <w:rsid w:val="00D33BCC"/>
    <w:rsid w:val="00D34FB2"/>
    <w:rsid w:val="00D43A74"/>
    <w:rsid w:val="00D54E6A"/>
    <w:rsid w:val="00D64556"/>
    <w:rsid w:val="00D7470D"/>
    <w:rsid w:val="00D76E5F"/>
    <w:rsid w:val="00D839EA"/>
    <w:rsid w:val="00D9317B"/>
    <w:rsid w:val="00DA1385"/>
    <w:rsid w:val="00DB2515"/>
    <w:rsid w:val="00DB5521"/>
    <w:rsid w:val="00DB6648"/>
    <w:rsid w:val="00DC5B64"/>
    <w:rsid w:val="00DE17AA"/>
    <w:rsid w:val="00DE1922"/>
    <w:rsid w:val="00E000F6"/>
    <w:rsid w:val="00E03696"/>
    <w:rsid w:val="00E12CE2"/>
    <w:rsid w:val="00E162FE"/>
    <w:rsid w:val="00E243F0"/>
    <w:rsid w:val="00E24C18"/>
    <w:rsid w:val="00E31B4F"/>
    <w:rsid w:val="00E320EB"/>
    <w:rsid w:val="00E321F1"/>
    <w:rsid w:val="00E3345E"/>
    <w:rsid w:val="00E44C31"/>
    <w:rsid w:val="00E46D95"/>
    <w:rsid w:val="00E560CE"/>
    <w:rsid w:val="00E70B1B"/>
    <w:rsid w:val="00E73767"/>
    <w:rsid w:val="00E854C0"/>
    <w:rsid w:val="00E87357"/>
    <w:rsid w:val="00E87532"/>
    <w:rsid w:val="00E93487"/>
    <w:rsid w:val="00EA06DF"/>
    <w:rsid w:val="00EA3FEC"/>
    <w:rsid w:val="00EB5F2A"/>
    <w:rsid w:val="00EB7EB2"/>
    <w:rsid w:val="00EC50FC"/>
    <w:rsid w:val="00ED0FF3"/>
    <w:rsid w:val="00ED230F"/>
    <w:rsid w:val="00EE3DCA"/>
    <w:rsid w:val="00EE5757"/>
    <w:rsid w:val="00EE71C7"/>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94FC0"/>
    <w:rsid w:val="00FA0FA1"/>
    <w:rsid w:val="00FA353C"/>
    <w:rsid w:val="00FA4739"/>
    <w:rsid w:val="00FB2B6D"/>
    <w:rsid w:val="00FB3795"/>
    <w:rsid w:val="00FC65B8"/>
    <w:rsid w:val="00FC663A"/>
    <w:rsid w:val="00FD0DF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eumann.com" TargetMode="External"/><Relationship Id="rId4" Type="http://schemas.openxmlformats.org/officeDocument/2006/relationships/settings" Target="settings.xml"/><Relationship Id="rId9" Type="http://schemas.openxmlformats.org/officeDocument/2006/relationships/hyperlink" Target="https://de-de.neumann.com/kh-15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3957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2</cp:revision>
  <cp:lastPrinted>2022-08-08T12:55:00Z</cp:lastPrinted>
  <dcterms:created xsi:type="dcterms:W3CDTF">2022-08-16T07:26:00Z</dcterms:created>
  <dcterms:modified xsi:type="dcterms:W3CDTF">2022-08-16T07:26:00Z</dcterms:modified>
</cp:coreProperties>
</file>